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4CADF" w14:textId="77777777" w:rsidR="003D3C28" w:rsidRDefault="003D3C28" w:rsidP="0062006C">
      <w:pPr>
        <w:snapToGrid w:val="0"/>
        <w:spacing w:after="0" w:line="240" w:lineRule="auto"/>
        <w:jc w:val="both"/>
        <w:rPr>
          <w:rFonts w:ascii="Times New Roman" w:eastAsia="楷体" w:hAnsi="Times New Roman"/>
          <w:b/>
          <w:bCs/>
          <w:sz w:val="21"/>
          <w:szCs w:val="18"/>
        </w:rPr>
      </w:pPr>
    </w:p>
    <w:p w14:paraId="42AD76E5" w14:textId="77777777" w:rsidR="003D3C28" w:rsidRDefault="003D3C28" w:rsidP="0062006C">
      <w:pPr>
        <w:snapToGrid w:val="0"/>
        <w:spacing w:after="0" w:line="240" w:lineRule="auto"/>
        <w:jc w:val="both"/>
        <w:rPr>
          <w:rFonts w:ascii="Times New Roman" w:eastAsia="楷体" w:hAnsi="Times New Roman"/>
          <w:b/>
          <w:bCs/>
          <w:sz w:val="21"/>
          <w:szCs w:val="18"/>
        </w:rPr>
      </w:pPr>
    </w:p>
    <w:p w14:paraId="6FC2AB00" w14:textId="41196DE4" w:rsidR="003D3C28" w:rsidRPr="003D3C28" w:rsidRDefault="003D3C28" w:rsidP="003D3C28">
      <w:pPr>
        <w:snapToGrid w:val="0"/>
        <w:spacing w:beforeLines="100" w:before="312" w:afterLines="100" w:after="312" w:line="240" w:lineRule="auto"/>
        <w:jc w:val="both"/>
        <w:rPr>
          <w:rFonts w:ascii="Times New Roman" w:eastAsia="楷体" w:hAnsi="Times New Roman" w:hint="eastAsia"/>
          <w:b/>
          <w:bCs/>
          <w:sz w:val="24"/>
          <w:szCs w:val="21"/>
        </w:rPr>
      </w:pPr>
      <w:r w:rsidRPr="003D3C28">
        <w:rPr>
          <w:rFonts w:ascii="Times New Roman" w:eastAsia="楷体" w:hAnsi="Times New Roman"/>
          <w:b/>
          <w:bCs/>
          <w:sz w:val="24"/>
          <w:szCs w:val="21"/>
        </w:rPr>
        <w:t xml:space="preserve">Appendix </w:t>
      </w:r>
      <w:r>
        <w:rPr>
          <w:rFonts w:ascii="Times New Roman" w:eastAsia="楷体" w:hAnsi="Times New Roman" w:hint="eastAsia"/>
          <w:b/>
          <w:bCs/>
          <w:sz w:val="24"/>
          <w:szCs w:val="21"/>
        </w:rPr>
        <w:t>A</w:t>
      </w:r>
      <w:r>
        <w:rPr>
          <w:rFonts w:ascii="Times New Roman" w:eastAsia="楷体" w:hAnsi="Times New Roman" w:hint="eastAsia"/>
          <w:b/>
          <w:bCs/>
          <w:sz w:val="24"/>
          <w:szCs w:val="21"/>
        </w:rPr>
        <w:t xml:space="preserve"> </w:t>
      </w:r>
    </w:p>
    <w:p w14:paraId="65A61AFA" w14:textId="23C4A398" w:rsidR="0062006C" w:rsidRDefault="0062006C" w:rsidP="003D3C28">
      <w:pPr>
        <w:snapToGrid w:val="0"/>
        <w:spacing w:after="0" w:line="240" w:lineRule="auto"/>
        <w:jc w:val="both"/>
        <w:rPr>
          <w:rFonts w:ascii="Times New Roman" w:eastAsia="楷体" w:hAnsi="Times New Roman"/>
          <w:sz w:val="21"/>
          <w:szCs w:val="18"/>
        </w:rPr>
      </w:pPr>
      <w:r w:rsidRPr="0018491A">
        <w:rPr>
          <w:rFonts w:ascii="Times New Roman" w:eastAsia="楷体" w:hAnsi="Times New Roman"/>
          <w:b/>
          <w:bCs/>
          <w:sz w:val="21"/>
          <w:szCs w:val="18"/>
        </w:rPr>
        <w:t xml:space="preserve">Table </w:t>
      </w:r>
      <w:r>
        <w:rPr>
          <w:rFonts w:ascii="Times New Roman" w:eastAsia="楷体" w:hAnsi="Times New Roman" w:hint="eastAsia"/>
          <w:b/>
          <w:bCs/>
          <w:sz w:val="21"/>
          <w:szCs w:val="18"/>
        </w:rPr>
        <w:t>A</w:t>
      </w:r>
      <w:r w:rsidRPr="0018491A">
        <w:rPr>
          <w:rFonts w:ascii="Times New Roman" w:eastAsia="楷体" w:hAnsi="Times New Roman"/>
          <w:sz w:val="21"/>
          <w:szCs w:val="18"/>
        </w:rPr>
        <w:t xml:space="preserve"> </w:t>
      </w:r>
    </w:p>
    <w:p w14:paraId="3065DC2C" w14:textId="77777777" w:rsidR="0062006C" w:rsidRPr="0018491A" w:rsidRDefault="0062006C" w:rsidP="003D3C28">
      <w:pPr>
        <w:snapToGrid w:val="0"/>
        <w:spacing w:after="0" w:line="240" w:lineRule="auto"/>
        <w:jc w:val="both"/>
        <w:rPr>
          <w:rFonts w:ascii="Times New Roman" w:eastAsia="楷体" w:hAnsi="Times New Roman"/>
          <w:sz w:val="21"/>
          <w:szCs w:val="18"/>
        </w:rPr>
      </w:pPr>
      <w:r w:rsidRPr="0018491A">
        <w:rPr>
          <w:rFonts w:ascii="Times New Roman" w:eastAsia="楷体" w:hAnsi="Times New Roman"/>
          <w:sz w:val="21"/>
          <w:szCs w:val="18"/>
        </w:rPr>
        <w:t>Variable definitions</w:t>
      </w:r>
    </w:p>
    <w:tbl>
      <w:tblPr>
        <w:tblStyle w:val="af2"/>
        <w:tblW w:w="0" w:type="auto"/>
        <w:tblLook w:val="04A0" w:firstRow="1" w:lastRow="0" w:firstColumn="1" w:lastColumn="0" w:noHBand="0" w:noVBand="1"/>
      </w:tblPr>
      <w:tblGrid>
        <w:gridCol w:w="1418"/>
        <w:gridCol w:w="6878"/>
      </w:tblGrid>
      <w:tr w:rsidR="0062006C" w:rsidRPr="0018491A" w14:paraId="11668900" w14:textId="77777777" w:rsidTr="00C06532">
        <w:trPr>
          <w:cnfStyle w:val="100000000000" w:firstRow="1" w:lastRow="0" w:firstColumn="0" w:lastColumn="0" w:oddVBand="0" w:evenVBand="0" w:oddHBand="0" w:evenHBand="0" w:firstRowFirstColumn="0" w:firstRowLastColumn="0" w:lastRowFirstColumn="0" w:lastRowLastColumn="0"/>
        </w:trPr>
        <w:tc>
          <w:tcPr>
            <w:tcW w:w="1418" w:type="dxa"/>
          </w:tcPr>
          <w:p w14:paraId="4EBC62FE"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Variable</w:t>
            </w:r>
          </w:p>
        </w:tc>
        <w:tc>
          <w:tcPr>
            <w:tcW w:w="6878" w:type="dxa"/>
          </w:tcPr>
          <w:p w14:paraId="2C2E9067"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Definition</w:t>
            </w:r>
          </w:p>
        </w:tc>
      </w:tr>
      <w:tr w:rsidR="0062006C" w:rsidRPr="0018491A" w14:paraId="729FCDE3" w14:textId="77777777" w:rsidTr="00C06532">
        <w:tc>
          <w:tcPr>
            <w:tcW w:w="1418" w:type="dxa"/>
          </w:tcPr>
          <w:p w14:paraId="25A286B7"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GreenPat</w:t>
            </w:r>
            <w:r w:rsidRPr="0018491A">
              <w:rPr>
                <w:rFonts w:cs="Times New Roman"/>
                <w:sz w:val="20"/>
                <w:szCs w:val="20"/>
                <w:vertAlign w:val="superscript"/>
              </w:rPr>
              <w:t>Sum</w:t>
            </w:r>
          </w:p>
        </w:tc>
        <w:tc>
          <w:tcPr>
            <w:tcW w:w="6878" w:type="dxa"/>
          </w:tcPr>
          <w:p w14:paraId="6716D96B"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natural logarithm of one plus the total number of green patent applications, including green invention patent applications and green utility model patent applications.</w:t>
            </w:r>
          </w:p>
        </w:tc>
      </w:tr>
      <w:tr w:rsidR="0062006C" w:rsidRPr="0018491A" w14:paraId="1E167DFE" w14:textId="77777777" w:rsidTr="00C06532">
        <w:tc>
          <w:tcPr>
            <w:tcW w:w="1418" w:type="dxa"/>
          </w:tcPr>
          <w:p w14:paraId="77AA6C81"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GreenPat</w:t>
            </w:r>
            <w:r w:rsidRPr="0018491A">
              <w:rPr>
                <w:rFonts w:cs="Times New Roman"/>
                <w:sz w:val="20"/>
                <w:szCs w:val="20"/>
                <w:vertAlign w:val="superscript"/>
              </w:rPr>
              <w:t>Inv</w:t>
            </w:r>
          </w:p>
        </w:tc>
        <w:tc>
          <w:tcPr>
            <w:tcW w:w="6878" w:type="dxa"/>
          </w:tcPr>
          <w:p w14:paraId="6011988F"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natural logarithm of one plus the number of green invention patent applications.</w:t>
            </w:r>
          </w:p>
        </w:tc>
      </w:tr>
      <w:tr w:rsidR="0062006C" w:rsidRPr="0018491A" w14:paraId="7CCA05AD" w14:textId="77777777" w:rsidTr="00C06532">
        <w:tc>
          <w:tcPr>
            <w:tcW w:w="1418" w:type="dxa"/>
          </w:tcPr>
          <w:p w14:paraId="5FEC3D28"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GreenPat</w:t>
            </w:r>
            <w:r w:rsidRPr="0018491A">
              <w:rPr>
                <w:rFonts w:cs="Times New Roman"/>
                <w:sz w:val="20"/>
                <w:szCs w:val="20"/>
                <w:vertAlign w:val="superscript"/>
              </w:rPr>
              <w:t>Uti</w:t>
            </w:r>
          </w:p>
        </w:tc>
        <w:tc>
          <w:tcPr>
            <w:tcW w:w="6878" w:type="dxa"/>
          </w:tcPr>
          <w:p w14:paraId="04F3171A"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natural logarithm of one plus the number of green utility model patent applications.</w:t>
            </w:r>
          </w:p>
        </w:tc>
      </w:tr>
      <w:tr w:rsidR="0062006C" w:rsidRPr="0018491A" w14:paraId="35DC7F36" w14:textId="77777777" w:rsidTr="00C06532">
        <w:tc>
          <w:tcPr>
            <w:tcW w:w="1418" w:type="dxa"/>
          </w:tcPr>
          <w:p w14:paraId="6D48B7C1"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Staggered</w:t>
            </w:r>
          </w:p>
        </w:tc>
        <w:tc>
          <w:tcPr>
            <w:tcW w:w="6878" w:type="dxa"/>
          </w:tcPr>
          <w:p w14:paraId="19BE5556"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A dummy variable that equals one if the firm adopts a staggered board arrangement, and zero otherwise.</w:t>
            </w:r>
          </w:p>
        </w:tc>
      </w:tr>
      <w:tr w:rsidR="0062006C" w:rsidRPr="0018491A" w14:paraId="377AA679" w14:textId="77777777" w:rsidTr="00C06532">
        <w:tc>
          <w:tcPr>
            <w:tcW w:w="1418" w:type="dxa"/>
          </w:tcPr>
          <w:p w14:paraId="67091295"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Age</w:t>
            </w:r>
          </w:p>
        </w:tc>
        <w:tc>
          <w:tcPr>
            <w:tcW w:w="6878" w:type="dxa"/>
          </w:tcPr>
          <w:p w14:paraId="621AC168"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natural logarithm of one plus the number of years since the firm’s establishment.</w:t>
            </w:r>
          </w:p>
        </w:tc>
      </w:tr>
      <w:tr w:rsidR="0062006C" w:rsidRPr="0018491A" w14:paraId="765348CF" w14:textId="77777777" w:rsidTr="00C06532">
        <w:tc>
          <w:tcPr>
            <w:tcW w:w="1418" w:type="dxa"/>
          </w:tcPr>
          <w:p w14:paraId="775134D0"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Size</w:t>
            </w:r>
          </w:p>
        </w:tc>
        <w:tc>
          <w:tcPr>
            <w:tcW w:w="6878" w:type="dxa"/>
          </w:tcPr>
          <w:p w14:paraId="01640CFF"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natural logarithm of the firm’s total assets.</w:t>
            </w:r>
          </w:p>
        </w:tc>
      </w:tr>
      <w:tr w:rsidR="0062006C" w:rsidRPr="0018491A" w14:paraId="52F135A0" w14:textId="77777777" w:rsidTr="00C06532">
        <w:tc>
          <w:tcPr>
            <w:tcW w:w="1418" w:type="dxa"/>
          </w:tcPr>
          <w:p w14:paraId="741D138D"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SOE</w:t>
            </w:r>
          </w:p>
        </w:tc>
        <w:tc>
          <w:tcPr>
            <w:tcW w:w="6878" w:type="dxa"/>
          </w:tcPr>
          <w:p w14:paraId="1A83F240"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A dummy variable that equals one if the firm is a state-owned enterprise, and zero otherwise.</w:t>
            </w:r>
          </w:p>
        </w:tc>
      </w:tr>
      <w:tr w:rsidR="0062006C" w:rsidRPr="0018491A" w14:paraId="3AF655AB" w14:textId="77777777" w:rsidTr="00C06532">
        <w:tc>
          <w:tcPr>
            <w:tcW w:w="1418" w:type="dxa"/>
          </w:tcPr>
          <w:p w14:paraId="0AA313B2"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Growth</w:t>
            </w:r>
          </w:p>
        </w:tc>
        <w:tc>
          <w:tcPr>
            <w:tcW w:w="6878" w:type="dxa"/>
          </w:tcPr>
          <w:p w14:paraId="2D373B9A"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growth rate of sales revenue.</w:t>
            </w:r>
          </w:p>
        </w:tc>
      </w:tr>
      <w:tr w:rsidR="0062006C" w:rsidRPr="0018491A" w14:paraId="21D35044" w14:textId="77777777" w:rsidTr="00C06532">
        <w:tc>
          <w:tcPr>
            <w:tcW w:w="1418" w:type="dxa"/>
          </w:tcPr>
          <w:p w14:paraId="174148FB"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TobinQ</w:t>
            </w:r>
          </w:p>
        </w:tc>
        <w:tc>
          <w:tcPr>
            <w:tcW w:w="6878" w:type="dxa"/>
          </w:tcPr>
          <w:p w14:paraId="3E998014"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ratio of the firm’s market value plus total liabilities to total assets.</w:t>
            </w:r>
          </w:p>
        </w:tc>
      </w:tr>
      <w:tr w:rsidR="0062006C" w:rsidRPr="0018491A" w14:paraId="4CFF1933" w14:textId="77777777" w:rsidTr="00C06532">
        <w:tc>
          <w:tcPr>
            <w:tcW w:w="1418" w:type="dxa"/>
          </w:tcPr>
          <w:p w14:paraId="42BB01BE"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Cashflow</w:t>
            </w:r>
          </w:p>
        </w:tc>
        <w:tc>
          <w:tcPr>
            <w:tcW w:w="6878" w:type="dxa"/>
          </w:tcPr>
          <w:p w14:paraId="1B3EA2FA"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Operating cash flow scaled by total assets.</w:t>
            </w:r>
          </w:p>
        </w:tc>
      </w:tr>
      <w:tr w:rsidR="0062006C" w:rsidRPr="0018491A" w14:paraId="455319A8" w14:textId="77777777" w:rsidTr="00C06532">
        <w:tc>
          <w:tcPr>
            <w:tcW w:w="1418" w:type="dxa"/>
          </w:tcPr>
          <w:p w14:paraId="7176A532"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ROA</w:t>
            </w:r>
          </w:p>
        </w:tc>
        <w:tc>
          <w:tcPr>
            <w:tcW w:w="6878" w:type="dxa"/>
          </w:tcPr>
          <w:p w14:paraId="6FAC700A"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Return on assets, measured as net profit divided by total assets.</w:t>
            </w:r>
          </w:p>
        </w:tc>
      </w:tr>
      <w:tr w:rsidR="0062006C" w:rsidRPr="0018491A" w14:paraId="419808A7" w14:textId="77777777" w:rsidTr="00C06532">
        <w:tc>
          <w:tcPr>
            <w:tcW w:w="1418" w:type="dxa"/>
          </w:tcPr>
          <w:p w14:paraId="200C1CC6"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Lev</w:t>
            </w:r>
          </w:p>
        </w:tc>
        <w:tc>
          <w:tcPr>
            <w:tcW w:w="6878" w:type="dxa"/>
          </w:tcPr>
          <w:p w14:paraId="0BB88A23"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Financial leverage, measured as total liabilities divided by total assets.</w:t>
            </w:r>
          </w:p>
        </w:tc>
      </w:tr>
      <w:tr w:rsidR="0062006C" w:rsidRPr="0018491A" w14:paraId="6266A955" w14:textId="77777777" w:rsidTr="00C06532">
        <w:tc>
          <w:tcPr>
            <w:tcW w:w="1418" w:type="dxa"/>
          </w:tcPr>
          <w:p w14:paraId="0090C165"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Liquid</w:t>
            </w:r>
          </w:p>
        </w:tc>
        <w:tc>
          <w:tcPr>
            <w:tcW w:w="6878" w:type="dxa"/>
          </w:tcPr>
          <w:p w14:paraId="4C57E12F"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Liquidity ratio, measured as current assets divided by current liabilities.</w:t>
            </w:r>
          </w:p>
        </w:tc>
      </w:tr>
      <w:tr w:rsidR="0062006C" w:rsidRPr="0018491A" w14:paraId="0B238285" w14:textId="77777777" w:rsidTr="00C06532">
        <w:tc>
          <w:tcPr>
            <w:tcW w:w="1418" w:type="dxa"/>
          </w:tcPr>
          <w:p w14:paraId="177AFE58"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BM</w:t>
            </w:r>
          </w:p>
        </w:tc>
        <w:tc>
          <w:tcPr>
            <w:tcW w:w="6878" w:type="dxa"/>
          </w:tcPr>
          <w:p w14:paraId="647C2EFD"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Book-to-market ratio, measured as book value divided by market value.</w:t>
            </w:r>
          </w:p>
        </w:tc>
      </w:tr>
      <w:tr w:rsidR="0062006C" w:rsidRPr="0018491A" w14:paraId="201D443A" w14:textId="77777777" w:rsidTr="00C06532">
        <w:tc>
          <w:tcPr>
            <w:tcW w:w="1418" w:type="dxa"/>
          </w:tcPr>
          <w:p w14:paraId="6C52DD4A"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Dual</w:t>
            </w:r>
          </w:p>
        </w:tc>
        <w:tc>
          <w:tcPr>
            <w:tcW w:w="6878" w:type="dxa"/>
          </w:tcPr>
          <w:p w14:paraId="420049D5"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A dummy variable that equals one if the chairman concurrently serves as the general manager, and zero otherwise.</w:t>
            </w:r>
          </w:p>
        </w:tc>
      </w:tr>
      <w:tr w:rsidR="0062006C" w:rsidRPr="0018491A" w14:paraId="1D0A5E7A" w14:textId="77777777" w:rsidTr="00C06532">
        <w:tc>
          <w:tcPr>
            <w:tcW w:w="1418" w:type="dxa"/>
          </w:tcPr>
          <w:p w14:paraId="1DCF225D"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Board</w:t>
            </w:r>
          </w:p>
        </w:tc>
        <w:tc>
          <w:tcPr>
            <w:tcW w:w="6878" w:type="dxa"/>
          </w:tcPr>
          <w:p w14:paraId="2E661397"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natural logarithm of the number of directors on the board.</w:t>
            </w:r>
          </w:p>
        </w:tc>
      </w:tr>
      <w:tr w:rsidR="0062006C" w:rsidRPr="0018491A" w14:paraId="5398BB5B" w14:textId="77777777" w:rsidTr="00C06532">
        <w:tc>
          <w:tcPr>
            <w:tcW w:w="1418" w:type="dxa"/>
          </w:tcPr>
          <w:p w14:paraId="31D720E6"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Indep</w:t>
            </w:r>
          </w:p>
        </w:tc>
        <w:tc>
          <w:tcPr>
            <w:tcW w:w="6878" w:type="dxa"/>
          </w:tcPr>
          <w:p w14:paraId="2515E256"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proportion of independent directors on the board.</w:t>
            </w:r>
          </w:p>
        </w:tc>
      </w:tr>
      <w:tr w:rsidR="0062006C" w:rsidRPr="0018491A" w14:paraId="5E34EBFC" w14:textId="77777777" w:rsidTr="00C06532">
        <w:tc>
          <w:tcPr>
            <w:tcW w:w="1418" w:type="dxa"/>
          </w:tcPr>
          <w:p w14:paraId="25588227"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Top1</w:t>
            </w:r>
          </w:p>
        </w:tc>
        <w:tc>
          <w:tcPr>
            <w:tcW w:w="6878" w:type="dxa"/>
          </w:tcPr>
          <w:p w14:paraId="4F85E1D1"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shareholding percentage of the largest shareholder.</w:t>
            </w:r>
          </w:p>
        </w:tc>
      </w:tr>
      <w:tr w:rsidR="0062006C" w:rsidRPr="0018491A" w14:paraId="1A6C6026" w14:textId="77777777" w:rsidTr="00C06532">
        <w:tc>
          <w:tcPr>
            <w:tcW w:w="1418" w:type="dxa"/>
          </w:tcPr>
          <w:p w14:paraId="2F4E1351"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EquityBalance</w:t>
            </w:r>
          </w:p>
        </w:tc>
        <w:tc>
          <w:tcPr>
            <w:tcW w:w="6878" w:type="dxa"/>
          </w:tcPr>
          <w:p w14:paraId="6147CC10" w14:textId="77777777" w:rsidR="0062006C" w:rsidRPr="0018491A" w:rsidRDefault="0062006C" w:rsidP="00C06532">
            <w:pPr>
              <w:snapToGrid w:val="0"/>
              <w:spacing w:line="240" w:lineRule="auto"/>
              <w:jc w:val="both"/>
              <w:rPr>
                <w:rFonts w:cs="Times New Roman"/>
                <w:sz w:val="20"/>
                <w:szCs w:val="20"/>
              </w:rPr>
            </w:pPr>
            <w:r w:rsidRPr="0018491A">
              <w:rPr>
                <w:rFonts w:cs="Times New Roman"/>
                <w:sz w:val="20"/>
                <w:szCs w:val="20"/>
              </w:rPr>
              <w:t>The ratio of shares held by the second to fifth largest shareholders to shares held by the largest shareholder.</w:t>
            </w:r>
          </w:p>
        </w:tc>
      </w:tr>
    </w:tbl>
    <w:p w14:paraId="4AB15F94" w14:textId="77777777" w:rsidR="0062006C" w:rsidRDefault="0062006C" w:rsidP="0062006C">
      <w:pPr>
        <w:snapToGrid w:val="0"/>
        <w:spacing w:after="0" w:line="240" w:lineRule="auto"/>
        <w:jc w:val="both"/>
        <w:rPr>
          <w:rFonts w:ascii="Times New Roman" w:eastAsia="楷体" w:hAnsi="Times New Roman" w:cs="Times New Roman"/>
          <w:sz w:val="18"/>
          <w:szCs w:val="18"/>
        </w:rPr>
      </w:pPr>
      <w:r w:rsidRPr="00B87975">
        <w:rPr>
          <w:rFonts w:ascii="Times New Roman" w:eastAsia="楷体" w:hAnsi="Times New Roman" w:cs="Times New Roman"/>
          <w:sz w:val="18"/>
          <w:szCs w:val="18"/>
          <w:u w:val="single"/>
        </w:rPr>
        <w:t>Notes:</w:t>
      </w:r>
      <w:r w:rsidRPr="00B87975">
        <w:rPr>
          <w:rFonts w:ascii="Times New Roman" w:eastAsia="楷体" w:hAnsi="Times New Roman" w:cs="Times New Roman"/>
          <w:sz w:val="18"/>
          <w:szCs w:val="18"/>
        </w:rPr>
        <w:t xml:space="preserve"> </w:t>
      </w:r>
      <w:r w:rsidRPr="000E3221">
        <w:rPr>
          <w:rFonts w:ascii="Times New Roman" w:eastAsia="楷体" w:hAnsi="Times New Roman" w:cs="Times New Roman"/>
          <w:sz w:val="18"/>
          <w:szCs w:val="18"/>
        </w:rPr>
        <w:t>The sample consists of firms listed on the Shanghai and Shenzhen stock exchanges from 2007 to 202</w:t>
      </w:r>
      <w:r>
        <w:rPr>
          <w:rFonts w:ascii="Times New Roman" w:eastAsia="楷体" w:hAnsi="Times New Roman" w:cs="Times New Roman" w:hint="eastAsia"/>
          <w:sz w:val="18"/>
          <w:szCs w:val="18"/>
        </w:rPr>
        <w:t>3</w:t>
      </w:r>
      <w:r w:rsidRPr="000E3221">
        <w:rPr>
          <w:rFonts w:ascii="Times New Roman" w:eastAsia="楷体" w:hAnsi="Times New Roman" w:cs="Times New Roman"/>
          <w:sz w:val="18"/>
          <w:szCs w:val="18"/>
        </w:rPr>
        <w:t xml:space="preserve">. </w:t>
      </w:r>
    </w:p>
    <w:p w14:paraId="5DA28EFE" w14:textId="77777777" w:rsidR="003D3C28" w:rsidRDefault="003D3C28" w:rsidP="003D3C28">
      <w:pPr>
        <w:snapToGrid w:val="0"/>
        <w:spacing w:beforeLines="100" w:before="312" w:afterLines="100" w:after="312" w:line="240" w:lineRule="auto"/>
        <w:jc w:val="both"/>
        <w:rPr>
          <w:rFonts w:ascii="Times New Roman" w:eastAsia="楷体" w:hAnsi="Times New Roman" w:hint="eastAsia"/>
          <w:b/>
          <w:bCs/>
          <w:sz w:val="24"/>
          <w:szCs w:val="21"/>
        </w:rPr>
      </w:pPr>
    </w:p>
    <w:p w14:paraId="077B2D20" w14:textId="77777777" w:rsidR="003D3C28" w:rsidRDefault="003D3C28" w:rsidP="003D3C28">
      <w:pPr>
        <w:snapToGrid w:val="0"/>
        <w:spacing w:beforeLines="100" w:before="312" w:afterLines="100" w:after="312" w:line="240" w:lineRule="auto"/>
        <w:jc w:val="both"/>
        <w:rPr>
          <w:rFonts w:ascii="Times New Roman" w:eastAsia="楷体" w:hAnsi="Times New Roman"/>
          <w:b/>
          <w:bCs/>
          <w:sz w:val="24"/>
          <w:szCs w:val="21"/>
        </w:rPr>
      </w:pPr>
      <w:bookmarkStart w:id="0" w:name="OLE_LINK4"/>
      <w:r w:rsidRPr="003D3C28">
        <w:rPr>
          <w:rFonts w:ascii="Times New Roman" w:eastAsia="楷体" w:hAnsi="Times New Roman"/>
          <w:b/>
          <w:bCs/>
          <w:sz w:val="24"/>
          <w:szCs w:val="21"/>
        </w:rPr>
        <w:t xml:space="preserve">Appendix </w:t>
      </w:r>
      <w:r w:rsidRPr="003D3C28">
        <w:rPr>
          <w:rFonts w:ascii="Times New Roman" w:eastAsia="楷体" w:hAnsi="Times New Roman" w:hint="eastAsia"/>
          <w:b/>
          <w:bCs/>
          <w:sz w:val="24"/>
          <w:szCs w:val="21"/>
        </w:rPr>
        <w:t>B</w:t>
      </w:r>
      <w:r>
        <w:rPr>
          <w:rFonts w:ascii="Times New Roman" w:eastAsia="楷体" w:hAnsi="Times New Roman" w:hint="eastAsia"/>
          <w:b/>
          <w:bCs/>
          <w:sz w:val="24"/>
          <w:szCs w:val="21"/>
        </w:rPr>
        <w:t xml:space="preserve"> </w:t>
      </w:r>
    </w:p>
    <w:bookmarkEnd w:id="0"/>
    <w:p w14:paraId="5A2B9892" w14:textId="690F3543" w:rsidR="003D3C28" w:rsidRPr="003D3C28" w:rsidRDefault="003D3C28" w:rsidP="003D3C28">
      <w:pPr>
        <w:snapToGrid w:val="0"/>
        <w:spacing w:beforeLines="100" w:before="312" w:afterLines="100" w:after="312" w:line="240" w:lineRule="auto"/>
        <w:jc w:val="both"/>
        <w:rPr>
          <w:rFonts w:ascii="Times New Roman" w:eastAsia="楷体" w:hAnsi="Times New Roman" w:hint="eastAsia"/>
          <w:b/>
          <w:bCs/>
          <w:sz w:val="24"/>
          <w:szCs w:val="21"/>
        </w:rPr>
      </w:pPr>
      <w:r>
        <w:rPr>
          <w:rFonts w:ascii="Times New Roman" w:eastAsia="楷体" w:hAnsi="Times New Roman" w:hint="eastAsia"/>
          <w:b/>
          <w:bCs/>
          <w:sz w:val="24"/>
          <w:szCs w:val="21"/>
        </w:rPr>
        <w:t>P</w:t>
      </w:r>
      <w:r w:rsidRPr="00BC5F24">
        <w:rPr>
          <w:rFonts w:ascii="Times New Roman" w:eastAsia="楷体" w:hAnsi="Times New Roman"/>
          <w:b/>
          <w:bCs/>
          <w:sz w:val="24"/>
          <w:szCs w:val="21"/>
        </w:rPr>
        <w:t>olicy implications, and suggestions for further research</w:t>
      </w:r>
    </w:p>
    <w:p w14:paraId="5588F9C5" w14:textId="77777777" w:rsidR="003D3C28" w:rsidRPr="00794DF4" w:rsidRDefault="003D3C28" w:rsidP="003D3C28">
      <w:pPr>
        <w:spacing w:after="0" w:line="240" w:lineRule="auto"/>
        <w:ind w:firstLineChars="200" w:firstLine="400"/>
        <w:jc w:val="both"/>
        <w:rPr>
          <w:rFonts w:ascii="Times New Roman" w:eastAsia="Times New Roman" w:hAnsi="Times New Roman"/>
          <w:sz w:val="20"/>
        </w:rPr>
      </w:pPr>
      <w:r w:rsidRPr="00794DF4">
        <w:rPr>
          <w:rFonts w:ascii="Times New Roman" w:eastAsia="Times New Roman" w:hAnsi="Times New Roman"/>
          <w:sz w:val="20"/>
        </w:rPr>
        <w:t>These findings have important implications for regulators and corporate managers. From a regulatory perspective, staggered boards should not be viewed simply as governance arrangements that weaken shareholder monitoring or protect insiders. For strategic activities such as green innovation, which involve long investment horizons, high risks, and limited short-term returns, an appropriate degree of board stability may help reduce managerial short-termism and strengthen firms’ commitment to long-term green transformation. Therefore, when evaluating staggered board provisions, regulators should avoid a one-size-fits-all assessment and instead consider firms’ information environments, ownership structures, external competitive pressures, and long-term development needs. In particular, for firms with weak external monitoring or insufficient internal checks and balances, staggered boards may serve a complementary governance role.</w:t>
      </w:r>
    </w:p>
    <w:p w14:paraId="02E2E784" w14:textId="77777777" w:rsidR="003D3C28" w:rsidRDefault="003D3C28" w:rsidP="003D3C28">
      <w:pPr>
        <w:spacing w:after="0" w:line="240" w:lineRule="auto"/>
        <w:ind w:firstLineChars="200" w:firstLine="400"/>
        <w:jc w:val="both"/>
        <w:rPr>
          <w:rFonts w:ascii="Times New Roman" w:hAnsi="Times New Roman" w:hint="eastAsia"/>
          <w:sz w:val="20"/>
        </w:rPr>
      </w:pPr>
      <w:r w:rsidRPr="00794DF4">
        <w:rPr>
          <w:rFonts w:ascii="Times New Roman" w:eastAsia="Times New Roman" w:hAnsi="Times New Roman"/>
          <w:sz w:val="20"/>
        </w:rPr>
        <w:t xml:space="preserve">For corporate managers, our results suggest that board governance arrangements can shape firms’ </w:t>
      </w:r>
      <w:r w:rsidRPr="00794DF4">
        <w:rPr>
          <w:rFonts w:ascii="Times New Roman" w:eastAsia="Times New Roman" w:hAnsi="Times New Roman"/>
          <w:sz w:val="20"/>
        </w:rPr>
        <w:lastRenderedPageBreak/>
        <w:t>long-term innovation capabilities. In promoting green innovation and green transformation, firms require not only financial, technological, and policy support, but also stable governance structures that sustain long-term investment. If staggered boards are used solely as a control-rights defense mechanism, they may exacerbate managerial entrenchment. However, when combined with transparent information disclosure, effective board monitoring, and a clear long-term strategy, staggered boards may become an important governance arrangement that supports corporate green innovation. Therefore, firms should maintain board stability while strengthening internal accountability mechanisms, so that stability does not evolve into insider protection.</w:t>
      </w:r>
    </w:p>
    <w:p w14:paraId="55D86A79" w14:textId="77777777" w:rsidR="003D3C28" w:rsidRDefault="003D3C28" w:rsidP="003D3C28">
      <w:pPr>
        <w:spacing w:after="0" w:line="240" w:lineRule="auto"/>
        <w:ind w:firstLineChars="200" w:firstLine="400"/>
        <w:jc w:val="both"/>
        <w:rPr>
          <w:rFonts w:ascii="Times New Roman" w:hAnsi="Times New Roman"/>
          <w:sz w:val="20"/>
        </w:rPr>
      </w:pPr>
      <w:r w:rsidRPr="00794DF4">
        <w:rPr>
          <w:rFonts w:ascii="Times New Roman" w:hAnsi="Times New Roman"/>
          <w:sz w:val="20"/>
        </w:rPr>
        <w:t>Future research may extend this study in several directions. First, subsequent studies could examine whether our findings generalize to countries with different institutional and regulatory environments, particularly economies with more developed markets for corporate control or stronger investor protection. Second, whether external shocks, such as changes in green policies, capital market fluctuations, and corporate governance regulatory reforms, alter the relationship between staggered boards and green innovation remains an important question for future research. Finally, future studies could explore whether staggered boards affect other long-term strategic behaviors, such as digital transformation, sustainable investment, R&amp;D quality improvement, and low-carbon technology deployment.</w:t>
      </w:r>
    </w:p>
    <w:p w14:paraId="6A7994A6" w14:textId="77777777" w:rsidR="003D3C28" w:rsidRPr="003D3C28" w:rsidRDefault="003D3C28" w:rsidP="003D3C28"/>
    <w:p w14:paraId="700DFAC0" w14:textId="77777777" w:rsidR="003D3C28" w:rsidRPr="003D3C28" w:rsidRDefault="003D3C28"/>
    <w:p w14:paraId="7E3B87FD" w14:textId="77777777" w:rsidR="003D3C28" w:rsidRDefault="003D3C28"/>
    <w:p w14:paraId="129A3720" w14:textId="77777777" w:rsidR="003D3C28" w:rsidRDefault="003D3C28"/>
    <w:p w14:paraId="092C7B27" w14:textId="77777777" w:rsidR="003D3C28" w:rsidRDefault="003D3C28"/>
    <w:p w14:paraId="0378C403" w14:textId="77777777" w:rsidR="003D3C28" w:rsidRDefault="003D3C28">
      <w:pPr>
        <w:rPr>
          <w:rFonts w:hint="eastAsia"/>
        </w:rPr>
      </w:pPr>
    </w:p>
    <w:p w14:paraId="349C3AF0" w14:textId="77777777" w:rsidR="003D3C28" w:rsidRPr="0062006C" w:rsidRDefault="003D3C28">
      <w:pPr>
        <w:rPr>
          <w:rFonts w:hint="eastAsia"/>
        </w:rPr>
      </w:pPr>
    </w:p>
    <w:sectPr w:rsidR="003D3C28" w:rsidRPr="006200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5B404" w14:textId="77777777" w:rsidR="0097088F" w:rsidRDefault="0097088F" w:rsidP="0062006C">
      <w:pPr>
        <w:spacing w:after="0" w:line="240" w:lineRule="auto"/>
        <w:rPr>
          <w:rFonts w:hint="eastAsia"/>
        </w:rPr>
      </w:pPr>
      <w:r>
        <w:separator/>
      </w:r>
    </w:p>
  </w:endnote>
  <w:endnote w:type="continuationSeparator" w:id="0">
    <w:p w14:paraId="28462D06" w14:textId="77777777" w:rsidR="0097088F" w:rsidRDefault="0097088F" w:rsidP="0062006C">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9A672" w14:textId="77777777" w:rsidR="0097088F" w:rsidRDefault="0097088F" w:rsidP="0062006C">
      <w:pPr>
        <w:spacing w:after="0" w:line="240" w:lineRule="auto"/>
        <w:rPr>
          <w:rFonts w:hint="eastAsia"/>
        </w:rPr>
      </w:pPr>
      <w:r>
        <w:separator/>
      </w:r>
    </w:p>
  </w:footnote>
  <w:footnote w:type="continuationSeparator" w:id="0">
    <w:p w14:paraId="4872B2F2" w14:textId="77777777" w:rsidR="0097088F" w:rsidRDefault="0097088F" w:rsidP="0062006C">
      <w:pPr>
        <w:spacing w:after="0" w:line="240" w:lineRule="auto"/>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5AB"/>
    <w:rsid w:val="0011723E"/>
    <w:rsid w:val="00236754"/>
    <w:rsid w:val="003D3C28"/>
    <w:rsid w:val="00450F9B"/>
    <w:rsid w:val="004675AB"/>
    <w:rsid w:val="004A0D4F"/>
    <w:rsid w:val="004B4DF1"/>
    <w:rsid w:val="00504330"/>
    <w:rsid w:val="0062006C"/>
    <w:rsid w:val="007D52BD"/>
    <w:rsid w:val="00877617"/>
    <w:rsid w:val="0097088F"/>
    <w:rsid w:val="00AC71B0"/>
    <w:rsid w:val="00AE536A"/>
    <w:rsid w:val="00BD0D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DB210"/>
  <w15:chartTrackingRefBased/>
  <w15:docId w15:val="{7E5E3A47-0985-41CD-9582-3D01EF4C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006C"/>
    <w:pPr>
      <w:widowControl w:val="0"/>
    </w:pPr>
  </w:style>
  <w:style w:type="paragraph" w:styleId="1">
    <w:name w:val="heading 1"/>
    <w:basedOn w:val="a"/>
    <w:next w:val="a"/>
    <w:link w:val="10"/>
    <w:uiPriority w:val="9"/>
    <w:qFormat/>
    <w:rsid w:val="004675AB"/>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4675AB"/>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4675AB"/>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4675AB"/>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4675AB"/>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4675AB"/>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4675AB"/>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4675AB"/>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4675AB"/>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4675A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4675A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4675A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4675AB"/>
    <w:rPr>
      <w:rFonts w:cstheme="majorBidi"/>
      <w:color w:val="0F4761" w:themeColor="accent1" w:themeShade="BF"/>
      <w:sz w:val="28"/>
      <w:szCs w:val="28"/>
    </w:rPr>
  </w:style>
  <w:style w:type="character" w:customStyle="1" w:styleId="50">
    <w:name w:val="标题 5 字符"/>
    <w:basedOn w:val="a0"/>
    <w:link w:val="5"/>
    <w:uiPriority w:val="9"/>
    <w:semiHidden/>
    <w:rsid w:val="004675AB"/>
    <w:rPr>
      <w:rFonts w:cstheme="majorBidi"/>
      <w:color w:val="0F4761" w:themeColor="accent1" w:themeShade="BF"/>
      <w:sz w:val="24"/>
    </w:rPr>
  </w:style>
  <w:style w:type="character" w:customStyle="1" w:styleId="60">
    <w:name w:val="标题 6 字符"/>
    <w:basedOn w:val="a0"/>
    <w:link w:val="6"/>
    <w:uiPriority w:val="9"/>
    <w:semiHidden/>
    <w:rsid w:val="004675AB"/>
    <w:rPr>
      <w:rFonts w:cstheme="majorBidi"/>
      <w:b/>
      <w:bCs/>
      <w:color w:val="0F4761" w:themeColor="accent1" w:themeShade="BF"/>
    </w:rPr>
  </w:style>
  <w:style w:type="character" w:customStyle="1" w:styleId="70">
    <w:name w:val="标题 7 字符"/>
    <w:basedOn w:val="a0"/>
    <w:link w:val="7"/>
    <w:uiPriority w:val="9"/>
    <w:semiHidden/>
    <w:rsid w:val="004675AB"/>
    <w:rPr>
      <w:rFonts w:cstheme="majorBidi"/>
      <w:b/>
      <w:bCs/>
      <w:color w:val="595959" w:themeColor="text1" w:themeTint="A6"/>
    </w:rPr>
  </w:style>
  <w:style w:type="character" w:customStyle="1" w:styleId="80">
    <w:name w:val="标题 8 字符"/>
    <w:basedOn w:val="a0"/>
    <w:link w:val="8"/>
    <w:uiPriority w:val="9"/>
    <w:semiHidden/>
    <w:rsid w:val="004675AB"/>
    <w:rPr>
      <w:rFonts w:cstheme="majorBidi"/>
      <w:color w:val="595959" w:themeColor="text1" w:themeTint="A6"/>
    </w:rPr>
  </w:style>
  <w:style w:type="character" w:customStyle="1" w:styleId="90">
    <w:name w:val="标题 9 字符"/>
    <w:basedOn w:val="a0"/>
    <w:link w:val="9"/>
    <w:uiPriority w:val="9"/>
    <w:semiHidden/>
    <w:rsid w:val="004675AB"/>
    <w:rPr>
      <w:rFonts w:eastAsiaTheme="majorEastAsia" w:cstheme="majorBidi"/>
      <w:color w:val="595959" w:themeColor="text1" w:themeTint="A6"/>
    </w:rPr>
  </w:style>
  <w:style w:type="paragraph" w:styleId="a3">
    <w:name w:val="Title"/>
    <w:basedOn w:val="a"/>
    <w:next w:val="a"/>
    <w:link w:val="a4"/>
    <w:uiPriority w:val="10"/>
    <w:qFormat/>
    <w:rsid w:val="004675A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4675A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675A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4675A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675AB"/>
    <w:pPr>
      <w:spacing w:before="160"/>
      <w:jc w:val="center"/>
    </w:pPr>
    <w:rPr>
      <w:i/>
      <w:iCs/>
      <w:color w:val="404040" w:themeColor="text1" w:themeTint="BF"/>
    </w:rPr>
  </w:style>
  <w:style w:type="character" w:customStyle="1" w:styleId="a8">
    <w:name w:val="引用 字符"/>
    <w:basedOn w:val="a0"/>
    <w:link w:val="a7"/>
    <w:uiPriority w:val="29"/>
    <w:rsid w:val="004675AB"/>
    <w:rPr>
      <w:i/>
      <w:iCs/>
      <w:color w:val="404040" w:themeColor="text1" w:themeTint="BF"/>
    </w:rPr>
  </w:style>
  <w:style w:type="paragraph" w:styleId="a9">
    <w:name w:val="List Paragraph"/>
    <w:basedOn w:val="a"/>
    <w:uiPriority w:val="34"/>
    <w:qFormat/>
    <w:rsid w:val="004675AB"/>
    <w:pPr>
      <w:ind w:left="720"/>
      <w:contextualSpacing/>
    </w:pPr>
  </w:style>
  <w:style w:type="character" w:styleId="aa">
    <w:name w:val="Intense Emphasis"/>
    <w:basedOn w:val="a0"/>
    <w:uiPriority w:val="21"/>
    <w:qFormat/>
    <w:rsid w:val="004675AB"/>
    <w:rPr>
      <w:i/>
      <w:iCs/>
      <w:color w:val="0F4761" w:themeColor="accent1" w:themeShade="BF"/>
    </w:rPr>
  </w:style>
  <w:style w:type="paragraph" w:styleId="ab">
    <w:name w:val="Intense Quote"/>
    <w:basedOn w:val="a"/>
    <w:next w:val="a"/>
    <w:link w:val="ac"/>
    <w:uiPriority w:val="30"/>
    <w:qFormat/>
    <w:rsid w:val="004675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4675AB"/>
    <w:rPr>
      <w:i/>
      <w:iCs/>
      <w:color w:val="0F4761" w:themeColor="accent1" w:themeShade="BF"/>
    </w:rPr>
  </w:style>
  <w:style w:type="character" w:styleId="ad">
    <w:name w:val="Intense Reference"/>
    <w:basedOn w:val="a0"/>
    <w:uiPriority w:val="32"/>
    <w:qFormat/>
    <w:rsid w:val="004675AB"/>
    <w:rPr>
      <w:b/>
      <w:bCs/>
      <w:smallCaps/>
      <w:color w:val="0F4761" w:themeColor="accent1" w:themeShade="BF"/>
      <w:spacing w:val="5"/>
    </w:rPr>
  </w:style>
  <w:style w:type="paragraph" w:styleId="ae">
    <w:name w:val="header"/>
    <w:basedOn w:val="a"/>
    <w:link w:val="af"/>
    <w:uiPriority w:val="99"/>
    <w:unhideWhenUsed/>
    <w:rsid w:val="0062006C"/>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62006C"/>
    <w:rPr>
      <w:sz w:val="18"/>
      <w:szCs w:val="18"/>
    </w:rPr>
  </w:style>
  <w:style w:type="paragraph" w:styleId="af0">
    <w:name w:val="footer"/>
    <w:basedOn w:val="a"/>
    <w:link w:val="af1"/>
    <w:uiPriority w:val="99"/>
    <w:unhideWhenUsed/>
    <w:rsid w:val="0062006C"/>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62006C"/>
    <w:rPr>
      <w:sz w:val="18"/>
      <w:szCs w:val="18"/>
    </w:rPr>
  </w:style>
  <w:style w:type="table" w:customStyle="1" w:styleId="af2">
    <w:name w:val="三线表"/>
    <w:basedOn w:val="a1"/>
    <w:uiPriority w:val="99"/>
    <w:rsid w:val="0062006C"/>
    <w:pPr>
      <w:spacing w:after="0" w:line="360" w:lineRule="exact"/>
      <w:jc w:val="center"/>
    </w:pPr>
    <w:rPr>
      <w:rFonts w:ascii="Times New Roman" w:eastAsia="楷体" w:hAnsi="Times New Roman"/>
      <w:sz w:val="21"/>
    </w:rPr>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672</Words>
  <Characters>3832</Characters>
  <Application>Microsoft Office Word</Application>
  <DocSecurity>0</DocSecurity>
  <Lines>31</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zhibo xu</dc:creator>
  <cp:keywords/>
  <dc:description/>
  <cp:lastModifiedBy>zhibo xu</cp:lastModifiedBy>
  <cp:revision>4</cp:revision>
  <dcterms:created xsi:type="dcterms:W3CDTF">2026-07-31T03:03:00Z</dcterms:created>
  <dcterms:modified xsi:type="dcterms:W3CDTF">2026-07-31T04:16:00Z</dcterms:modified>
</cp:coreProperties>
</file>