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7C39" w14:textId="63708B28" w:rsidR="00700C4A" w:rsidRPr="00114759" w:rsidRDefault="00114759" w:rsidP="00185A1E">
      <w:pPr>
        <w:spacing w:after="0" w:line="480" w:lineRule="auto"/>
        <w:rPr>
          <w:rFonts w:ascii="Times New Roman" w:eastAsia="Calibri" w:hAnsi="Times New Roman" w:cs="Times New Roman"/>
          <w:b/>
          <w:bCs/>
          <w:kern w:val="0"/>
          <w14:ligatures w14:val="none"/>
        </w:rPr>
      </w:pPr>
      <w:r w:rsidRPr="00114759">
        <w:rPr>
          <w:rFonts w:ascii="Times New Roman" w:eastAsia="Calibri" w:hAnsi="Times New Roman" w:cs="Times New Roman"/>
          <w:b/>
          <w:bCs/>
          <w:kern w:val="0"/>
          <w14:ligatures w14:val="none"/>
        </w:rPr>
        <w:t>ADDITIONAL FILE 1</w:t>
      </w:r>
    </w:p>
    <w:p w14:paraId="414E9471" w14:textId="3633BE55" w:rsidR="00700C4A" w:rsidRPr="00700C4A" w:rsidRDefault="00700C4A" w:rsidP="004C317E">
      <w:pPr>
        <w:spacing w:after="0" w:line="480" w:lineRule="auto"/>
        <w:rPr>
          <w:rFonts w:ascii="Times New Roman" w:eastAsia="Calibri" w:hAnsi="Times New Roman" w:cs="Times New Roman"/>
          <w:kern w:val="0"/>
          <w:sz w:val="20"/>
          <w:szCs w:val="20"/>
          <w14:ligatures w14:val="none"/>
        </w:rPr>
      </w:pPr>
      <w:r w:rsidRPr="00700C4A">
        <w:rPr>
          <w:rFonts w:ascii="Times New Roman" w:eastAsia="Calibri" w:hAnsi="Times New Roman" w:cs="Times New Roman"/>
          <w:kern w:val="0"/>
          <w:sz w:val="20"/>
          <w:szCs w:val="20"/>
          <w14:ligatures w14:val="none"/>
        </w:rPr>
        <w:t xml:space="preserve">Table S1: Additional example datasets and parameters to consider as constraints or exclusions across Steps 1-3 (in either energy or value mapping, depending on the restrictions, stakeholder preferences, and policy context of a given project area). These datasets and thresholds are derived in part from </w:t>
      </w:r>
      <w:r w:rsidRPr="00700C4A">
        <w:rPr>
          <w:rFonts w:ascii="Times New Roman" w:eastAsia="Calibri" w:hAnsi="Times New Roman" w:cs="Times New Roman"/>
          <w:kern w:val="0"/>
          <w:sz w:val="20"/>
          <w:szCs w:val="20"/>
          <w14:ligatures w14:val="none"/>
        </w:rPr>
        <w:fldChar w:fldCharType="begin"/>
      </w:r>
      <w:r w:rsidR="00437D43">
        <w:rPr>
          <w:rFonts w:ascii="Times New Roman" w:eastAsia="Calibri" w:hAnsi="Times New Roman" w:cs="Times New Roman"/>
          <w:kern w:val="0"/>
          <w:sz w:val="20"/>
          <w:szCs w:val="20"/>
          <w14:ligatures w14:val="none"/>
        </w:rPr>
        <w:instrText xml:space="preserve"> ADDIN ZOTERO_ITEM CSL_CITATION {"citationID":"a1EkKiZ8","properties":{"formattedCitation":"(Ryberg et al. 2020)","plainCitation":"(Ryberg et al. 2020)","noteIndex":0},"citationItems":[{"id":"X0yxryBb/cL9kXA6A","uris":["http://zotero.org/users/local/lhhPszt0/items/9PRE5AFJ"],"itemData":{"id":620,"type":"article-journal","abstract":"When and where renewable energy sources such as onshore wind turbines generate energy depends heavily on their spatial distribution. This distribution, however, derives from the preferences and restrictions imposed by local stake-holders and dictates the overall onshore wind land eligibility. Unfortunately, due to inconsistent analysis methods and a shifting sociotechnical landscape, current understanding of land eligibility is insufficient. Therefore the Geospatial Land Availability for Energy Systems (GLAES) model, a general framework for land eligibility investigation, is used to conduct a uniformly-constrained pan-European investigation of onshore wind land eligibility in which 31 socially and technologically driven constraints are imposed. A detailed characterization of the average wind resource and current land usage within the eligible areas is then discussed. Constraint sensitivity is then evaluated at both the European and national levels including the construction of a detailed sensitivity trend for all constraints. Ultimately, it is found that 26.24% of land is eligible across Europe, with the highest shares possessed by Spain, France and Sweden. On average across Europe, onshore wind land eligibility is most sensitive to the minimal wind speed, the maximal terrain slope, the maximal distance from power lines, and the minimal distance from settlements.","container-title":"Renewable Energy","DOI":"10.1016/j.renene.2019.06.127","ISSN":"0960-1481","journalAbbreviation":"Renewable Energy","page":"921-931","source":"ScienceDirect","title":"Uniformly constrained land eligibility for onshore European wind power","volume":"146","author":[{"family":"Ryberg","given":"David Severin"},{"family":"Tulemat","given":"Zena"},{"family":"Stolten","given":"Detlef"},{"family":"Robinius","given":"Martin"}],"issued":{"date-parts":[["2020",2,1]]}}}],"schema":"https://github.com/citation-style-language/schema/raw/master/csl-citation.json"} </w:instrText>
      </w:r>
      <w:r w:rsidRPr="00700C4A">
        <w:rPr>
          <w:rFonts w:ascii="Times New Roman" w:eastAsia="Calibri" w:hAnsi="Times New Roman" w:cs="Times New Roman"/>
          <w:kern w:val="0"/>
          <w:sz w:val="20"/>
          <w:szCs w:val="20"/>
          <w14:ligatures w14:val="none"/>
        </w:rPr>
        <w:fldChar w:fldCharType="separate"/>
      </w:r>
      <w:r w:rsidRPr="00700C4A">
        <w:rPr>
          <w:rFonts w:ascii="Times New Roman" w:eastAsia="Calibri" w:hAnsi="Times New Roman" w:cs="Times New Roman"/>
          <w:kern w:val="0"/>
          <w:sz w:val="20"/>
          <w:szCs w:val="22"/>
          <w14:ligatures w14:val="none"/>
        </w:rPr>
        <w:t>(Ryberg et al. 2020)</w:t>
      </w:r>
      <w:r w:rsidRPr="00700C4A">
        <w:rPr>
          <w:rFonts w:ascii="Times New Roman" w:eastAsia="Calibri" w:hAnsi="Times New Roman" w:cs="Times New Roman"/>
          <w:kern w:val="0"/>
          <w:sz w:val="20"/>
          <w:szCs w:val="20"/>
          <w14:ligatures w14:val="none"/>
        </w:rPr>
        <w:fldChar w:fldCharType="end"/>
      </w:r>
      <w:r w:rsidRPr="00700C4A">
        <w:rPr>
          <w:rFonts w:ascii="Times New Roman" w:eastAsia="Calibri" w:hAnsi="Times New Roman" w:cs="Times New Roman"/>
          <w:kern w:val="0"/>
          <w:sz w:val="20"/>
          <w:szCs w:val="20"/>
          <w14:ligatures w14:val="none"/>
        </w:rPr>
        <w:t xml:space="preserve">, however the suggested thresholds outlined here serve as a preliminary guide and should be further adjusted to the regional or local context as appropriate. </w:t>
      </w:r>
    </w:p>
    <w:tbl>
      <w:tblPr>
        <w:tblStyle w:val="PlainTable51"/>
        <w:tblW w:w="9360" w:type="dxa"/>
        <w:tblLook w:val="04A0" w:firstRow="1" w:lastRow="0" w:firstColumn="1" w:lastColumn="0" w:noHBand="0" w:noVBand="1"/>
      </w:tblPr>
      <w:tblGrid>
        <w:gridCol w:w="4215"/>
        <w:gridCol w:w="1240"/>
        <w:gridCol w:w="867"/>
        <w:gridCol w:w="867"/>
        <w:gridCol w:w="867"/>
        <w:gridCol w:w="1304"/>
      </w:tblGrid>
      <w:tr w:rsidR="00700C4A" w:rsidRPr="00700C4A" w14:paraId="4ED0A089" w14:textId="77777777" w:rsidTr="00114759">
        <w:trPr>
          <w:cnfStyle w:val="100000000000" w:firstRow="1" w:lastRow="0" w:firstColumn="0" w:lastColumn="0" w:oddVBand="0" w:evenVBand="0" w:oddHBand="0" w:evenHBand="0" w:firstRowFirstColumn="0" w:firstRowLastColumn="0" w:lastRowFirstColumn="0" w:lastRowLastColumn="0"/>
          <w:trHeight w:val="583"/>
        </w:trPr>
        <w:tc>
          <w:tcPr>
            <w:cnfStyle w:val="001000000100" w:firstRow="0" w:lastRow="0" w:firstColumn="1" w:lastColumn="0" w:oddVBand="0" w:evenVBand="0" w:oddHBand="0" w:evenHBand="0" w:firstRowFirstColumn="1" w:firstRowLastColumn="0" w:lastRowFirstColumn="0" w:lastRowLastColumn="0"/>
            <w:tcW w:w="4215" w:type="dxa"/>
            <w:vAlign w:val="center"/>
            <w:hideMark/>
          </w:tcPr>
          <w:p w14:paraId="7EA180E6" w14:textId="745CB832" w:rsidR="00700C4A" w:rsidRPr="00700C4A" w:rsidRDefault="000B4BF6" w:rsidP="00114759">
            <w:pPr>
              <w:jc w:val="left"/>
              <w:rPr>
                <w:rFonts w:ascii="Times New Roman" w:hAnsi="Times New Roman"/>
                <w:b/>
                <w:bCs/>
                <w:color w:val="000000"/>
                <w:sz w:val="20"/>
                <w:szCs w:val="20"/>
              </w:rPr>
            </w:pPr>
            <w:r>
              <w:rPr>
                <w:rFonts w:ascii="Times New Roman" w:hAnsi="Times New Roman"/>
                <w:b/>
                <w:bCs/>
                <w:color w:val="000000"/>
                <w:sz w:val="20"/>
                <w:szCs w:val="20"/>
              </w:rPr>
              <w:t>Detailed exclusions</w:t>
            </w:r>
          </w:p>
        </w:tc>
        <w:tc>
          <w:tcPr>
            <w:tcW w:w="1240" w:type="dxa"/>
            <w:noWrap/>
            <w:vAlign w:val="center"/>
            <w:hideMark/>
          </w:tcPr>
          <w:p w14:paraId="14DAED32" w14:textId="77777777" w:rsidR="00700C4A" w:rsidRPr="00700C4A" w:rsidRDefault="00700C4A" w:rsidP="00700C4A">
            <w:pPr>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700C4A">
              <w:rPr>
                <w:rFonts w:ascii="Times New Roman" w:hAnsi="Times New Roman"/>
                <w:b/>
                <w:bCs/>
                <w:color w:val="000000"/>
                <w:sz w:val="20"/>
                <w:szCs w:val="20"/>
              </w:rPr>
              <w:t>Excludes</w:t>
            </w:r>
          </w:p>
        </w:tc>
        <w:tc>
          <w:tcPr>
            <w:tcW w:w="867" w:type="dxa"/>
            <w:noWrap/>
            <w:vAlign w:val="center"/>
            <w:hideMark/>
          </w:tcPr>
          <w:p w14:paraId="2DCA5189" w14:textId="77777777" w:rsidR="00700C4A" w:rsidRPr="00700C4A" w:rsidRDefault="00700C4A" w:rsidP="00700C4A">
            <w:pPr>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700C4A">
              <w:rPr>
                <w:rFonts w:ascii="Times New Roman" w:hAnsi="Times New Roman"/>
                <w:b/>
                <w:bCs/>
                <w:color w:val="000000"/>
                <w:sz w:val="20"/>
                <w:szCs w:val="20"/>
              </w:rPr>
              <w:t>Low</w:t>
            </w:r>
          </w:p>
        </w:tc>
        <w:tc>
          <w:tcPr>
            <w:tcW w:w="867" w:type="dxa"/>
            <w:noWrap/>
            <w:vAlign w:val="center"/>
            <w:hideMark/>
          </w:tcPr>
          <w:p w14:paraId="45A6BB5A" w14:textId="77777777" w:rsidR="00700C4A" w:rsidRPr="00700C4A" w:rsidRDefault="00700C4A" w:rsidP="00700C4A">
            <w:pPr>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700C4A">
              <w:rPr>
                <w:rFonts w:ascii="Times New Roman" w:hAnsi="Times New Roman"/>
                <w:b/>
                <w:bCs/>
                <w:color w:val="000000"/>
                <w:sz w:val="20"/>
                <w:szCs w:val="20"/>
              </w:rPr>
              <w:t>Typical</w:t>
            </w:r>
          </w:p>
        </w:tc>
        <w:tc>
          <w:tcPr>
            <w:tcW w:w="867" w:type="dxa"/>
            <w:noWrap/>
            <w:vAlign w:val="center"/>
            <w:hideMark/>
          </w:tcPr>
          <w:p w14:paraId="286E4995" w14:textId="77777777" w:rsidR="00700C4A" w:rsidRPr="00700C4A" w:rsidRDefault="00700C4A" w:rsidP="00700C4A">
            <w:pPr>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700C4A">
              <w:rPr>
                <w:rFonts w:ascii="Times New Roman" w:hAnsi="Times New Roman"/>
                <w:b/>
                <w:bCs/>
                <w:color w:val="000000"/>
                <w:sz w:val="20"/>
                <w:szCs w:val="20"/>
              </w:rPr>
              <w:t>High</w:t>
            </w:r>
          </w:p>
        </w:tc>
        <w:tc>
          <w:tcPr>
            <w:tcW w:w="1304" w:type="dxa"/>
            <w:noWrap/>
            <w:vAlign w:val="center"/>
            <w:hideMark/>
          </w:tcPr>
          <w:p w14:paraId="2A09A376" w14:textId="77777777" w:rsidR="00700C4A" w:rsidRPr="00700C4A" w:rsidRDefault="00700C4A" w:rsidP="00700C4A">
            <w:pPr>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rPr>
            </w:pPr>
            <w:r w:rsidRPr="00700C4A">
              <w:rPr>
                <w:rFonts w:ascii="Times New Roman" w:hAnsi="Times New Roman"/>
                <w:b/>
                <w:bCs/>
                <w:color w:val="000000"/>
                <w:sz w:val="20"/>
                <w:szCs w:val="20"/>
              </w:rPr>
              <w:t>Unit</w:t>
            </w:r>
          </w:p>
        </w:tc>
      </w:tr>
      <w:tr w:rsidR="00700C4A" w:rsidRPr="00700C4A" w14:paraId="33E2A079"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D9D9D9"/>
            <w:noWrap/>
            <w:hideMark/>
          </w:tcPr>
          <w:p w14:paraId="34AB8A3A" w14:textId="77777777" w:rsidR="00700C4A" w:rsidRPr="00700C4A" w:rsidRDefault="00700C4A" w:rsidP="00B369B4">
            <w:pPr>
              <w:jc w:val="left"/>
              <w:rPr>
                <w:rFonts w:ascii="Times New Roman" w:hAnsi="Times New Roman"/>
                <w:b/>
                <w:bCs/>
                <w:sz w:val="20"/>
                <w:szCs w:val="20"/>
              </w:rPr>
            </w:pPr>
            <w:r w:rsidRPr="00700C4A">
              <w:rPr>
                <w:rFonts w:ascii="Times New Roman" w:hAnsi="Times New Roman"/>
                <w:b/>
                <w:bCs/>
                <w:color w:val="000000"/>
                <w:sz w:val="20"/>
                <w:szCs w:val="20"/>
              </w:rPr>
              <w:t>ECONOMIC</w:t>
            </w:r>
          </w:p>
        </w:tc>
      </w:tr>
      <w:tr w:rsidR="00700C4A" w:rsidRPr="00700C4A" w14:paraId="2ED2C2B1"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8330DCA"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Resource</w:t>
            </w:r>
          </w:p>
        </w:tc>
        <w:tc>
          <w:tcPr>
            <w:tcW w:w="1240" w:type="dxa"/>
            <w:noWrap/>
            <w:vAlign w:val="center"/>
            <w:hideMark/>
          </w:tcPr>
          <w:p w14:paraId="79A4AAF6" w14:textId="77777777" w:rsidR="00700C4A" w:rsidRPr="00700C4A" w:rsidRDefault="00700C4A" w:rsidP="00700C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867" w:type="dxa"/>
            <w:noWrap/>
            <w:vAlign w:val="center"/>
            <w:hideMark/>
          </w:tcPr>
          <w:p w14:paraId="3D3FA27E" w14:textId="77777777" w:rsidR="00700C4A" w:rsidRPr="00700C4A" w:rsidRDefault="00700C4A" w:rsidP="00700C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867" w:type="dxa"/>
            <w:noWrap/>
            <w:vAlign w:val="center"/>
            <w:hideMark/>
          </w:tcPr>
          <w:p w14:paraId="4D4990D1" w14:textId="77777777" w:rsidR="00700C4A" w:rsidRPr="00700C4A" w:rsidRDefault="00700C4A" w:rsidP="00700C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867" w:type="dxa"/>
            <w:noWrap/>
            <w:vAlign w:val="center"/>
            <w:hideMark/>
          </w:tcPr>
          <w:p w14:paraId="1A4581FD" w14:textId="77777777" w:rsidR="00700C4A" w:rsidRPr="00700C4A" w:rsidRDefault="00700C4A" w:rsidP="00700C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304" w:type="dxa"/>
            <w:noWrap/>
            <w:vAlign w:val="center"/>
            <w:hideMark/>
          </w:tcPr>
          <w:p w14:paraId="77987523" w14:textId="77777777" w:rsidR="00700C4A" w:rsidRPr="00700C4A" w:rsidRDefault="00700C4A" w:rsidP="00700C4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700C4A" w:rsidRPr="00700C4A" w14:paraId="2C376ED7"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683C741"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Wind speed</w:t>
            </w:r>
          </w:p>
        </w:tc>
        <w:tc>
          <w:tcPr>
            <w:tcW w:w="1240" w:type="dxa"/>
            <w:noWrap/>
            <w:vAlign w:val="center"/>
            <w:hideMark/>
          </w:tcPr>
          <w:p w14:paraId="68800957"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values below</w:t>
            </w:r>
          </w:p>
        </w:tc>
        <w:tc>
          <w:tcPr>
            <w:tcW w:w="867" w:type="dxa"/>
            <w:noWrap/>
            <w:vAlign w:val="center"/>
            <w:hideMark/>
          </w:tcPr>
          <w:p w14:paraId="12F32AB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w:t>
            </w:r>
          </w:p>
        </w:tc>
        <w:tc>
          <w:tcPr>
            <w:tcW w:w="867" w:type="dxa"/>
            <w:noWrap/>
            <w:vAlign w:val="center"/>
            <w:hideMark/>
          </w:tcPr>
          <w:p w14:paraId="15B9AB3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w:t>
            </w:r>
          </w:p>
        </w:tc>
        <w:tc>
          <w:tcPr>
            <w:tcW w:w="867" w:type="dxa"/>
            <w:noWrap/>
            <w:vAlign w:val="center"/>
            <w:hideMark/>
          </w:tcPr>
          <w:p w14:paraId="0EE9E11B"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7</w:t>
            </w:r>
          </w:p>
        </w:tc>
        <w:tc>
          <w:tcPr>
            <w:tcW w:w="1304" w:type="dxa"/>
            <w:noWrap/>
            <w:vAlign w:val="center"/>
            <w:hideMark/>
          </w:tcPr>
          <w:p w14:paraId="3D6D7BE9"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m/s</w:t>
            </w:r>
          </w:p>
        </w:tc>
      </w:tr>
      <w:tr w:rsidR="00700C4A" w:rsidRPr="00700C4A" w14:paraId="0354096D"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5A3F5BC"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 xml:space="preserve"> Global Horizontal Irradiance (GHI)  </w:t>
            </w:r>
          </w:p>
        </w:tc>
        <w:tc>
          <w:tcPr>
            <w:tcW w:w="1240" w:type="dxa"/>
            <w:noWrap/>
            <w:vAlign w:val="center"/>
            <w:hideMark/>
          </w:tcPr>
          <w:p w14:paraId="5E172003"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values below</w:t>
            </w:r>
          </w:p>
        </w:tc>
        <w:tc>
          <w:tcPr>
            <w:tcW w:w="867" w:type="dxa"/>
            <w:noWrap/>
            <w:vAlign w:val="center"/>
            <w:hideMark/>
          </w:tcPr>
          <w:p w14:paraId="3833F074"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none</w:t>
            </w:r>
          </w:p>
        </w:tc>
        <w:tc>
          <w:tcPr>
            <w:tcW w:w="867" w:type="dxa"/>
            <w:noWrap/>
            <w:vAlign w:val="center"/>
            <w:hideMark/>
          </w:tcPr>
          <w:p w14:paraId="3B9C520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w:t>
            </w:r>
          </w:p>
        </w:tc>
        <w:tc>
          <w:tcPr>
            <w:tcW w:w="867" w:type="dxa"/>
            <w:noWrap/>
            <w:vAlign w:val="center"/>
            <w:hideMark/>
          </w:tcPr>
          <w:p w14:paraId="7704BA99"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w:t>
            </w:r>
          </w:p>
        </w:tc>
        <w:tc>
          <w:tcPr>
            <w:tcW w:w="1304" w:type="dxa"/>
            <w:noWrap/>
            <w:vAlign w:val="center"/>
            <w:hideMark/>
          </w:tcPr>
          <w:p w14:paraId="0B7785C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kWh/m</w:t>
            </w:r>
            <w:r w:rsidRPr="00700C4A">
              <w:rPr>
                <w:rFonts w:ascii="Times New Roman" w:eastAsia="Times New Roman" w:hAnsi="Times New Roman" w:cs="Times New Roman"/>
                <w:color w:val="000000"/>
                <w:sz w:val="20"/>
                <w:szCs w:val="20"/>
                <w:vertAlign w:val="superscript"/>
              </w:rPr>
              <w:t>2</w:t>
            </w:r>
            <w:r w:rsidRPr="00700C4A">
              <w:rPr>
                <w:rFonts w:ascii="Times New Roman" w:eastAsia="Times New Roman" w:hAnsi="Times New Roman" w:cs="Times New Roman"/>
                <w:color w:val="000000"/>
                <w:sz w:val="20"/>
                <w:szCs w:val="20"/>
              </w:rPr>
              <w:t xml:space="preserve"> per day</w:t>
            </w:r>
          </w:p>
        </w:tc>
      </w:tr>
      <w:tr w:rsidR="00700C4A" w:rsidRPr="00700C4A" w14:paraId="16DE7CDE"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9FA3DD0"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Road access</w:t>
            </w:r>
          </w:p>
        </w:tc>
        <w:tc>
          <w:tcPr>
            <w:tcW w:w="1240" w:type="dxa"/>
            <w:noWrap/>
            <w:vAlign w:val="center"/>
            <w:hideMark/>
          </w:tcPr>
          <w:p w14:paraId="20223CA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distances above</w:t>
            </w:r>
          </w:p>
        </w:tc>
        <w:tc>
          <w:tcPr>
            <w:tcW w:w="867" w:type="dxa"/>
            <w:noWrap/>
            <w:vAlign w:val="center"/>
            <w:hideMark/>
          </w:tcPr>
          <w:p w14:paraId="5C7D3585"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45</w:t>
            </w:r>
          </w:p>
        </w:tc>
        <w:tc>
          <w:tcPr>
            <w:tcW w:w="867" w:type="dxa"/>
            <w:noWrap/>
            <w:vAlign w:val="center"/>
            <w:hideMark/>
          </w:tcPr>
          <w:p w14:paraId="4A7B164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w:t>
            </w:r>
          </w:p>
        </w:tc>
        <w:tc>
          <w:tcPr>
            <w:tcW w:w="867" w:type="dxa"/>
            <w:noWrap/>
            <w:vAlign w:val="center"/>
            <w:hideMark/>
          </w:tcPr>
          <w:p w14:paraId="6F121E9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1304" w:type="dxa"/>
            <w:noWrap/>
            <w:vAlign w:val="center"/>
            <w:hideMark/>
          </w:tcPr>
          <w:p w14:paraId="252BA82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0D45B3B1"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706919ED"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Electric grid connection</w:t>
            </w:r>
          </w:p>
        </w:tc>
        <w:tc>
          <w:tcPr>
            <w:tcW w:w="1240" w:type="dxa"/>
            <w:noWrap/>
            <w:vAlign w:val="center"/>
            <w:hideMark/>
          </w:tcPr>
          <w:p w14:paraId="0B148BA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distances above</w:t>
            </w:r>
          </w:p>
        </w:tc>
        <w:tc>
          <w:tcPr>
            <w:tcW w:w="867" w:type="dxa"/>
            <w:noWrap/>
            <w:vAlign w:val="center"/>
            <w:hideMark/>
          </w:tcPr>
          <w:p w14:paraId="2E3EC84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45</w:t>
            </w:r>
          </w:p>
        </w:tc>
        <w:tc>
          <w:tcPr>
            <w:tcW w:w="867" w:type="dxa"/>
            <w:noWrap/>
            <w:vAlign w:val="center"/>
            <w:hideMark/>
          </w:tcPr>
          <w:p w14:paraId="39955B1A"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w:t>
            </w:r>
          </w:p>
        </w:tc>
        <w:tc>
          <w:tcPr>
            <w:tcW w:w="867" w:type="dxa"/>
            <w:noWrap/>
            <w:vAlign w:val="center"/>
            <w:hideMark/>
          </w:tcPr>
          <w:p w14:paraId="31D4C71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1304" w:type="dxa"/>
            <w:noWrap/>
            <w:vAlign w:val="center"/>
            <w:hideMark/>
          </w:tcPr>
          <w:p w14:paraId="4AE6A49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3FF8B8AE"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60B378F"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Land value</w:t>
            </w:r>
          </w:p>
        </w:tc>
        <w:tc>
          <w:tcPr>
            <w:tcW w:w="1240" w:type="dxa"/>
            <w:noWrap/>
            <w:vAlign w:val="center"/>
            <w:hideMark/>
          </w:tcPr>
          <w:p w14:paraId="375F53D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cost above</w:t>
            </w:r>
          </w:p>
        </w:tc>
        <w:tc>
          <w:tcPr>
            <w:tcW w:w="867" w:type="dxa"/>
            <w:noWrap/>
            <w:vAlign w:val="center"/>
            <w:hideMark/>
          </w:tcPr>
          <w:p w14:paraId="5F21739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w:t>
            </w:r>
          </w:p>
        </w:tc>
        <w:tc>
          <w:tcPr>
            <w:tcW w:w="867" w:type="dxa"/>
            <w:noWrap/>
            <w:vAlign w:val="center"/>
            <w:hideMark/>
          </w:tcPr>
          <w:p w14:paraId="215B6E8C"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w:t>
            </w:r>
          </w:p>
        </w:tc>
        <w:tc>
          <w:tcPr>
            <w:tcW w:w="867" w:type="dxa"/>
            <w:noWrap/>
            <w:vAlign w:val="center"/>
            <w:hideMark/>
          </w:tcPr>
          <w:p w14:paraId="4BACC7C7"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w:t>
            </w:r>
          </w:p>
        </w:tc>
        <w:tc>
          <w:tcPr>
            <w:tcW w:w="1304" w:type="dxa"/>
            <w:noWrap/>
            <w:vAlign w:val="center"/>
            <w:hideMark/>
          </w:tcPr>
          <w:p w14:paraId="3E78EBB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w:t>
            </w:r>
          </w:p>
        </w:tc>
      </w:tr>
      <w:tr w:rsidR="00700C4A" w:rsidRPr="00700C4A" w14:paraId="63530071"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D9D9D9"/>
            <w:noWrap/>
            <w:vAlign w:val="center"/>
            <w:hideMark/>
          </w:tcPr>
          <w:p w14:paraId="43D1D130" w14:textId="77777777" w:rsidR="00700C4A" w:rsidRPr="00700C4A" w:rsidRDefault="00700C4A" w:rsidP="00B369B4">
            <w:pPr>
              <w:jc w:val="left"/>
              <w:rPr>
                <w:rFonts w:ascii="Times New Roman" w:hAnsi="Times New Roman"/>
                <w:b/>
                <w:bCs/>
                <w:sz w:val="20"/>
                <w:szCs w:val="20"/>
              </w:rPr>
            </w:pPr>
            <w:r w:rsidRPr="00700C4A">
              <w:rPr>
                <w:rFonts w:ascii="Times New Roman" w:hAnsi="Times New Roman"/>
                <w:b/>
                <w:bCs/>
                <w:color w:val="000000"/>
                <w:sz w:val="20"/>
                <w:szCs w:val="20"/>
              </w:rPr>
              <w:t>CURRENT INFRASTRUCTURE</w:t>
            </w:r>
          </w:p>
        </w:tc>
      </w:tr>
      <w:tr w:rsidR="00700C4A" w:rsidRPr="00700C4A" w14:paraId="7553ACFC"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0244DF5F"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 xml:space="preserve">Settlements/Buildings </w:t>
            </w:r>
          </w:p>
        </w:tc>
        <w:tc>
          <w:tcPr>
            <w:tcW w:w="1240" w:type="dxa"/>
            <w:noWrap/>
            <w:vAlign w:val="center"/>
            <w:hideMark/>
          </w:tcPr>
          <w:p w14:paraId="2739FDB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76C6B31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3FD15BE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800</w:t>
            </w:r>
          </w:p>
        </w:tc>
        <w:tc>
          <w:tcPr>
            <w:tcW w:w="867" w:type="dxa"/>
            <w:noWrap/>
            <w:vAlign w:val="center"/>
            <w:hideMark/>
          </w:tcPr>
          <w:p w14:paraId="5DBEE7E8"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1000</w:t>
            </w:r>
          </w:p>
        </w:tc>
        <w:tc>
          <w:tcPr>
            <w:tcW w:w="1304" w:type="dxa"/>
            <w:noWrap/>
            <w:vAlign w:val="center"/>
            <w:hideMark/>
          </w:tcPr>
          <w:p w14:paraId="7FD3A45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09C20499"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26203F9A"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Urban</w:t>
            </w:r>
          </w:p>
        </w:tc>
        <w:tc>
          <w:tcPr>
            <w:tcW w:w="1240" w:type="dxa"/>
            <w:noWrap/>
            <w:vAlign w:val="center"/>
            <w:hideMark/>
          </w:tcPr>
          <w:p w14:paraId="3E34BAC1"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07ED66B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398A43D6"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867" w:type="dxa"/>
            <w:noWrap/>
            <w:vAlign w:val="center"/>
            <w:hideMark/>
          </w:tcPr>
          <w:p w14:paraId="08593BE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w:t>
            </w:r>
          </w:p>
        </w:tc>
        <w:tc>
          <w:tcPr>
            <w:tcW w:w="1304" w:type="dxa"/>
            <w:noWrap/>
            <w:vAlign w:val="center"/>
            <w:hideMark/>
          </w:tcPr>
          <w:p w14:paraId="625C4B4F"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503AE7DB"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73370E76"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Rural</w:t>
            </w:r>
          </w:p>
        </w:tc>
        <w:tc>
          <w:tcPr>
            <w:tcW w:w="1240" w:type="dxa"/>
            <w:noWrap/>
            <w:vAlign w:val="center"/>
            <w:hideMark/>
          </w:tcPr>
          <w:p w14:paraId="2232BD8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0F9CC26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240</w:t>
            </w:r>
          </w:p>
        </w:tc>
        <w:tc>
          <w:tcPr>
            <w:tcW w:w="867" w:type="dxa"/>
            <w:noWrap/>
            <w:vAlign w:val="center"/>
            <w:hideMark/>
          </w:tcPr>
          <w:p w14:paraId="0BDB8ACB"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867" w:type="dxa"/>
            <w:noWrap/>
            <w:vAlign w:val="center"/>
            <w:hideMark/>
          </w:tcPr>
          <w:p w14:paraId="0068544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2000</w:t>
            </w:r>
          </w:p>
        </w:tc>
        <w:tc>
          <w:tcPr>
            <w:tcW w:w="1304" w:type="dxa"/>
            <w:noWrap/>
            <w:vAlign w:val="center"/>
            <w:hideMark/>
          </w:tcPr>
          <w:p w14:paraId="3D751888"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1B38DB4A"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7EDDAB99"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Roads</w:t>
            </w:r>
          </w:p>
        </w:tc>
        <w:tc>
          <w:tcPr>
            <w:tcW w:w="1240" w:type="dxa"/>
            <w:noWrap/>
            <w:vAlign w:val="center"/>
            <w:hideMark/>
          </w:tcPr>
          <w:p w14:paraId="190D1421"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25CA001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w:t>
            </w:r>
          </w:p>
        </w:tc>
        <w:tc>
          <w:tcPr>
            <w:tcW w:w="867" w:type="dxa"/>
            <w:noWrap/>
            <w:vAlign w:val="center"/>
            <w:hideMark/>
          </w:tcPr>
          <w:p w14:paraId="517264D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150</w:t>
            </w:r>
          </w:p>
        </w:tc>
        <w:tc>
          <w:tcPr>
            <w:tcW w:w="867" w:type="dxa"/>
            <w:noWrap/>
            <w:vAlign w:val="center"/>
            <w:hideMark/>
          </w:tcPr>
          <w:p w14:paraId="2C93A14A"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1304" w:type="dxa"/>
            <w:noWrap/>
            <w:vAlign w:val="center"/>
            <w:hideMark/>
          </w:tcPr>
          <w:p w14:paraId="369F6029"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26263BBC"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F4169EA"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Major roads</w:t>
            </w:r>
          </w:p>
        </w:tc>
        <w:tc>
          <w:tcPr>
            <w:tcW w:w="1240" w:type="dxa"/>
            <w:noWrap/>
            <w:vAlign w:val="center"/>
            <w:hideMark/>
          </w:tcPr>
          <w:p w14:paraId="3B89338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198A0C0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w:t>
            </w:r>
          </w:p>
        </w:tc>
        <w:tc>
          <w:tcPr>
            <w:tcW w:w="867" w:type="dxa"/>
            <w:noWrap/>
            <w:vAlign w:val="center"/>
            <w:hideMark/>
          </w:tcPr>
          <w:p w14:paraId="5FFBF71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200</w:t>
            </w:r>
          </w:p>
        </w:tc>
        <w:tc>
          <w:tcPr>
            <w:tcW w:w="867" w:type="dxa"/>
            <w:noWrap/>
            <w:vAlign w:val="center"/>
            <w:hideMark/>
          </w:tcPr>
          <w:p w14:paraId="60429D3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1304" w:type="dxa"/>
            <w:noWrap/>
            <w:vAlign w:val="center"/>
            <w:hideMark/>
          </w:tcPr>
          <w:p w14:paraId="769751B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3CCDE02A"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23CE70F1"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Minor roads</w:t>
            </w:r>
          </w:p>
        </w:tc>
        <w:tc>
          <w:tcPr>
            <w:tcW w:w="1240" w:type="dxa"/>
            <w:noWrap/>
            <w:vAlign w:val="center"/>
            <w:hideMark/>
          </w:tcPr>
          <w:p w14:paraId="41CF98A1"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541F327A"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w:t>
            </w:r>
          </w:p>
        </w:tc>
        <w:tc>
          <w:tcPr>
            <w:tcW w:w="867" w:type="dxa"/>
            <w:noWrap/>
            <w:vAlign w:val="center"/>
            <w:hideMark/>
          </w:tcPr>
          <w:p w14:paraId="4BE051E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w:t>
            </w:r>
          </w:p>
        </w:tc>
        <w:tc>
          <w:tcPr>
            <w:tcW w:w="867" w:type="dxa"/>
            <w:noWrap/>
            <w:vAlign w:val="center"/>
            <w:hideMark/>
          </w:tcPr>
          <w:p w14:paraId="77B3E89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1304" w:type="dxa"/>
            <w:noWrap/>
            <w:vAlign w:val="center"/>
            <w:hideMark/>
          </w:tcPr>
          <w:p w14:paraId="4BEF77A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4BD691F9"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11D8253"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Airports</w:t>
            </w:r>
          </w:p>
        </w:tc>
        <w:tc>
          <w:tcPr>
            <w:tcW w:w="1240" w:type="dxa"/>
            <w:noWrap/>
            <w:vAlign w:val="center"/>
            <w:hideMark/>
          </w:tcPr>
          <w:p w14:paraId="241D868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1BBF348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114FC597"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w:t>
            </w:r>
          </w:p>
        </w:tc>
        <w:tc>
          <w:tcPr>
            <w:tcW w:w="867" w:type="dxa"/>
            <w:noWrap/>
            <w:vAlign w:val="center"/>
            <w:hideMark/>
          </w:tcPr>
          <w:p w14:paraId="3C5BE675"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8</w:t>
            </w:r>
          </w:p>
        </w:tc>
        <w:tc>
          <w:tcPr>
            <w:tcW w:w="1304" w:type="dxa"/>
            <w:noWrap/>
            <w:vAlign w:val="center"/>
            <w:hideMark/>
          </w:tcPr>
          <w:p w14:paraId="2CA4DD9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7B3A5A73"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01AAD14E"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Large &amp; Commercial airports</w:t>
            </w:r>
          </w:p>
        </w:tc>
        <w:tc>
          <w:tcPr>
            <w:tcW w:w="1240" w:type="dxa"/>
            <w:noWrap/>
            <w:vAlign w:val="center"/>
            <w:hideMark/>
          </w:tcPr>
          <w:p w14:paraId="112C5AA1"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6D9D9C4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5281D6D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w:t>
            </w:r>
          </w:p>
        </w:tc>
        <w:tc>
          <w:tcPr>
            <w:tcW w:w="867" w:type="dxa"/>
            <w:noWrap/>
            <w:vAlign w:val="center"/>
            <w:hideMark/>
          </w:tcPr>
          <w:p w14:paraId="5A1CD29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25</w:t>
            </w:r>
          </w:p>
        </w:tc>
        <w:tc>
          <w:tcPr>
            <w:tcW w:w="1304" w:type="dxa"/>
            <w:noWrap/>
            <w:vAlign w:val="center"/>
            <w:hideMark/>
          </w:tcPr>
          <w:p w14:paraId="1EC80A2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7FE9C6F4"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08ACD748"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lastRenderedPageBreak/>
              <w:t>Airfields</w:t>
            </w:r>
          </w:p>
        </w:tc>
        <w:tc>
          <w:tcPr>
            <w:tcW w:w="1240" w:type="dxa"/>
            <w:noWrap/>
            <w:vAlign w:val="center"/>
            <w:hideMark/>
          </w:tcPr>
          <w:p w14:paraId="69CB8F0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413B611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1E080C1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w:t>
            </w:r>
          </w:p>
        </w:tc>
        <w:tc>
          <w:tcPr>
            <w:tcW w:w="867" w:type="dxa"/>
            <w:noWrap/>
            <w:vAlign w:val="center"/>
            <w:hideMark/>
          </w:tcPr>
          <w:p w14:paraId="35C3ACD0"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8</w:t>
            </w:r>
          </w:p>
        </w:tc>
        <w:tc>
          <w:tcPr>
            <w:tcW w:w="1304" w:type="dxa"/>
            <w:noWrap/>
            <w:vAlign w:val="center"/>
            <w:hideMark/>
          </w:tcPr>
          <w:p w14:paraId="2EC969B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0B7DA8FF"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6827C4C"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Railways</w:t>
            </w:r>
          </w:p>
        </w:tc>
        <w:tc>
          <w:tcPr>
            <w:tcW w:w="1240" w:type="dxa"/>
            <w:noWrap/>
            <w:vAlign w:val="center"/>
            <w:hideMark/>
          </w:tcPr>
          <w:p w14:paraId="16E73A9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3FC06C0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w:t>
            </w:r>
          </w:p>
        </w:tc>
        <w:tc>
          <w:tcPr>
            <w:tcW w:w="867" w:type="dxa"/>
            <w:noWrap/>
            <w:vAlign w:val="center"/>
            <w:hideMark/>
          </w:tcPr>
          <w:p w14:paraId="53FE38D1"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150</w:t>
            </w:r>
          </w:p>
        </w:tc>
        <w:tc>
          <w:tcPr>
            <w:tcW w:w="867" w:type="dxa"/>
            <w:noWrap/>
            <w:vAlign w:val="center"/>
            <w:hideMark/>
          </w:tcPr>
          <w:p w14:paraId="5AD67AB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1304" w:type="dxa"/>
            <w:noWrap/>
            <w:vAlign w:val="center"/>
            <w:hideMark/>
          </w:tcPr>
          <w:p w14:paraId="712DF78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21E31498"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EC905E4"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Powerlines</w:t>
            </w:r>
          </w:p>
        </w:tc>
        <w:tc>
          <w:tcPr>
            <w:tcW w:w="1240" w:type="dxa"/>
            <w:noWrap/>
            <w:vAlign w:val="center"/>
            <w:hideMark/>
          </w:tcPr>
          <w:p w14:paraId="30F3F21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199A41E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w:t>
            </w:r>
          </w:p>
        </w:tc>
        <w:tc>
          <w:tcPr>
            <w:tcW w:w="867" w:type="dxa"/>
            <w:noWrap/>
            <w:vAlign w:val="center"/>
            <w:hideMark/>
          </w:tcPr>
          <w:p w14:paraId="4DE01370"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200</w:t>
            </w:r>
          </w:p>
        </w:tc>
        <w:tc>
          <w:tcPr>
            <w:tcW w:w="867" w:type="dxa"/>
            <w:noWrap/>
            <w:vAlign w:val="center"/>
            <w:hideMark/>
          </w:tcPr>
          <w:p w14:paraId="2856909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240</w:t>
            </w:r>
          </w:p>
        </w:tc>
        <w:tc>
          <w:tcPr>
            <w:tcW w:w="1304" w:type="dxa"/>
            <w:noWrap/>
            <w:vAlign w:val="center"/>
            <w:hideMark/>
          </w:tcPr>
          <w:p w14:paraId="1BF50590"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09C9B849"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F99D64D"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Mining/industrial areas</w:t>
            </w:r>
          </w:p>
        </w:tc>
        <w:tc>
          <w:tcPr>
            <w:tcW w:w="1240" w:type="dxa"/>
            <w:noWrap/>
            <w:vAlign w:val="center"/>
            <w:hideMark/>
          </w:tcPr>
          <w:p w14:paraId="6BBEFB99"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18C6FC31"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24C5B4F3"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w:t>
            </w:r>
          </w:p>
        </w:tc>
        <w:tc>
          <w:tcPr>
            <w:tcW w:w="867" w:type="dxa"/>
            <w:noWrap/>
            <w:vAlign w:val="center"/>
            <w:hideMark/>
          </w:tcPr>
          <w:p w14:paraId="4FBB9D40"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1304" w:type="dxa"/>
            <w:noWrap/>
            <w:vAlign w:val="center"/>
            <w:hideMark/>
          </w:tcPr>
          <w:p w14:paraId="6B8C8B5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36DF4A43"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AAF86CA"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Power plants</w:t>
            </w:r>
          </w:p>
        </w:tc>
        <w:tc>
          <w:tcPr>
            <w:tcW w:w="1240" w:type="dxa"/>
            <w:noWrap/>
            <w:vAlign w:val="center"/>
            <w:hideMark/>
          </w:tcPr>
          <w:p w14:paraId="5AD2A4A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5E04BB58"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w:t>
            </w:r>
          </w:p>
        </w:tc>
        <w:tc>
          <w:tcPr>
            <w:tcW w:w="867" w:type="dxa"/>
            <w:noWrap/>
            <w:vAlign w:val="center"/>
            <w:hideMark/>
          </w:tcPr>
          <w:p w14:paraId="7693FCC7"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150</w:t>
            </w:r>
          </w:p>
        </w:tc>
        <w:tc>
          <w:tcPr>
            <w:tcW w:w="867" w:type="dxa"/>
            <w:noWrap/>
            <w:vAlign w:val="center"/>
            <w:hideMark/>
          </w:tcPr>
          <w:p w14:paraId="26554805"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200</w:t>
            </w:r>
          </w:p>
        </w:tc>
        <w:tc>
          <w:tcPr>
            <w:tcW w:w="1304" w:type="dxa"/>
            <w:noWrap/>
            <w:vAlign w:val="center"/>
            <w:hideMark/>
          </w:tcPr>
          <w:p w14:paraId="30B8A6A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61B37823"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2F30B925"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PV solar farm</w:t>
            </w:r>
          </w:p>
        </w:tc>
        <w:tc>
          <w:tcPr>
            <w:tcW w:w="1240" w:type="dxa"/>
            <w:noWrap/>
            <w:vAlign w:val="center"/>
            <w:hideMark/>
          </w:tcPr>
          <w:p w14:paraId="7B3B7AE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33E62404"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1F00874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867" w:type="dxa"/>
            <w:noWrap/>
            <w:vAlign w:val="center"/>
            <w:hideMark/>
          </w:tcPr>
          <w:p w14:paraId="725319EA"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304" w:type="dxa"/>
            <w:noWrap/>
            <w:vAlign w:val="center"/>
            <w:hideMark/>
          </w:tcPr>
          <w:p w14:paraId="791625C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4BF366AD"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3D14CFE0"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Wind turbines</w:t>
            </w:r>
          </w:p>
        </w:tc>
        <w:tc>
          <w:tcPr>
            <w:tcW w:w="1240" w:type="dxa"/>
            <w:noWrap/>
            <w:vAlign w:val="center"/>
            <w:hideMark/>
          </w:tcPr>
          <w:p w14:paraId="6277933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2056E8A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4128932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300</w:t>
            </w:r>
          </w:p>
        </w:tc>
        <w:tc>
          <w:tcPr>
            <w:tcW w:w="867" w:type="dxa"/>
            <w:noWrap/>
            <w:vAlign w:val="center"/>
            <w:hideMark/>
          </w:tcPr>
          <w:p w14:paraId="4CA13CD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700</w:t>
            </w:r>
          </w:p>
        </w:tc>
        <w:tc>
          <w:tcPr>
            <w:tcW w:w="1304" w:type="dxa"/>
            <w:noWrap/>
            <w:vAlign w:val="center"/>
            <w:hideMark/>
          </w:tcPr>
          <w:p w14:paraId="60A8EF5B"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047177CB"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53B6D4E9"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Gas lines</w:t>
            </w:r>
          </w:p>
        </w:tc>
        <w:tc>
          <w:tcPr>
            <w:tcW w:w="1240" w:type="dxa"/>
            <w:noWrap/>
            <w:vAlign w:val="center"/>
            <w:hideMark/>
          </w:tcPr>
          <w:p w14:paraId="2812D539"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758AB8B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w:t>
            </w:r>
          </w:p>
        </w:tc>
        <w:tc>
          <w:tcPr>
            <w:tcW w:w="867" w:type="dxa"/>
            <w:noWrap/>
            <w:vAlign w:val="center"/>
            <w:hideMark/>
          </w:tcPr>
          <w:p w14:paraId="65DDD3A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150</w:t>
            </w:r>
          </w:p>
        </w:tc>
        <w:tc>
          <w:tcPr>
            <w:tcW w:w="867" w:type="dxa"/>
            <w:noWrap/>
            <w:vAlign w:val="center"/>
            <w:hideMark/>
          </w:tcPr>
          <w:p w14:paraId="0A0D489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300</w:t>
            </w:r>
          </w:p>
        </w:tc>
        <w:tc>
          <w:tcPr>
            <w:tcW w:w="1304" w:type="dxa"/>
            <w:noWrap/>
            <w:vAlign w:val="center"/>
            <w:hideMark/>
          </w:tcPr>
          <w:p w14:paraId="3AA5C48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5C0DBFCE"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00D46D2"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Radio/cell towers (wind only)</w:t>
            </w:r>
          </w:p>
        </w:tc>
        <w:tc>
          <w:tcPr>
            <w:tcW w:w="1240" w:type="dxa"/>
            <w:noWrap/>
            <w:vAlign w:val="center"/>
            <w:hideMark/>
          </w:tcPr>
          <w:p w14:paraId="68628FD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283656F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400</w:t>
            </w:r>
          </w:p>
        </w:tc>
        <w:tc>
          <w:tcPr>
            <w:tcW w:w="867" w:type="dxa"/>
            <w:noWrap/>
            <w:vAlign w:val="center"/>
            <w:hideMark/>
          </w:tcPr>
          <w:p w14:paraId="47B2623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867" w:type="dxa"/>
            <w:noWrap/>
            <w:vAlign w:val="center"/>
            <w:hideMark/>
          </w:tcPr>
          <w:p w14:paraId="216E01A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600</w:t>
            </w:r>
          </w:p>
        </w:tc>
        <w:tc>
          <w:tcPr>
            <w:tcW w:w="1304" w:type="dxa"/>
            <w:noWrap/>
            <w:vAlign w:val="center"/>
            <w:hideMark/>
          </w:tcPr>
          <w:p w14:paraId="1442A70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69651CA2"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D9D9D9"/>
            <w:noWrap/>
            <w:vAlign w:val="center"/>
            <w:hideMark/>
          </w:tcPr>
          <w:p w14:paraId="16843800" w14:textId="77777777" w:rsidR="00700C4A" w:rsidRPr="00700C4A" w:rsidRDefault="00700C4A" w:rsidP="00B369B4">
            <w:pPr>
              <w:jc w:val="left"/>
              <w:rPr>
                <w:rFonts w:ascii="Times New Roman" w:hAnsi="Times New Roman"/>
                <w:b/>
                <w:bCs/>
                <w:sz w:val="20"/>
                <w:szCs w:val="20"/>
              </w:rPr>
            </w:pPr>
            <w:r w:rsidRPr="00700C4A">
              <w:rPr>
                <w:rFonts w:ascii="Times New Roman" w:hAnsi="Times New Roman"/>
                <w:b/>
                <w:bCs/>
                <w:color w:val="000000"/>
                <w:sz w:val="20"/>
                <w:szCs w:val="20"/>
              </w:rPr>
              <w:t>BIOPHYSICAL</w:t>
            </w:r>
          </w:p>
        </w:tc>
      </w:tr>
      <w:tr w:rsidR="00700C4A" w:rsidRPr="00700C4A" w14:paraId="57F62A87"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7085B60"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Slope</w:t>
            </w:r>
          </w:p>
        </w:tc>
        <w:tc>
          <w:tcPr>
            <w:tcW w:w="2107" w:type="dxa"/>
            <w:gridSpan w:val="2"/>
            <w:noWrap/>
            <w:vAlign w:val="center"/>
            <w:hideMark/>
          </w:tcPr>
          <w:p w14:paraId="46A65AA0" w14:textId="77777777" w:rsidR="00700C4A" w:rsidRPr="00700C4A" w:rsidRDefault="00700C4A" w:rsidP="00700C4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867" w:type="dxa"/>
            <w:noWrap/>
            <w:vAlign w:val="center"/>
            <w:hideMark/>
          </w:tcPr>
          <w:p w14:paraId="76EF836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867" w:type="dxa"/>
            <w:noWrap/>
            <w:vAlign w:val="center"/>
            <w:hideMark/>
          </w:tcPr>
          <w:p w14:paraId="5D916ACC"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304" w:type="dxa"/>
            <w:noWrap/>
            <w:vAlign w:val="center"/>
            <w:hideMark/>
          </w:tcPr>
          <w:p w14:paraId="2EBB0687"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700C4A" w:rsidRPr="00700C4A" w14:paraId="446DB3B8"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9CA73CF"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 xml:space="preserve">PV </w:t>
            </w:r>
          </w:p>
        </w:tc>
        <w:tc>
          <w:tcPr>
            <w:tcW w:w="1240" w:type="dxa"/>
            <w:noWrap/>
            <w:vAlign w:val="center"/>
            <w:hideMark/>
          </w:tcPr>
          <w:p w14:paraId="06C97BDC"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values above</w:t>
            </w:r>
          </w:p>
        </w:tc>
        <w:tc>
          <w:tcPr>
            <w:tcW w:w="867" w:type="dxa"/>
            <w:noWrap/>
            <w:vAlign w:val="center"/>
            <w:hideMark/>
          </w:tcPr>
          <w:p w14:paraId="7AA1481D"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867" w:type="dxa"/>
            <w:noWrap/>
            <w:vAlign w:val="center"/>
            <w:hideMark/>
          </w:tcPr>
          <w:p w14:paraId="18586C49"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w:t>
            </w:r>
          </w:p>
        </w:tc>
        <w:tc>
          <w:tcPr>
            <w:tcW w:w="867" w:type="dxa"/>
            <w:noWrap/>
            <w:vAlign w:val="center"/>
            <w:hideMark/>
          </w:tcPr>
          <w:p w14:paraId="133EE7CA"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w:t>
            </w:r>
          </w:p>
        </w:tc>
        <w:tc>
          <w:tcPr>
            <w:tcW w:w="1304" w:type="dxa"/>
            <w:noWrap/>
            <w:vAlign w:val="center"/>
            <w:hideMark/>
          </w:tcPr>
          <w:p w14:paraId="6F4EFDD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degrees</w:t>
            </w:r>
          </w:p>
        </w:tc>
      </w:tr>
      <w:tr w:rsidR="00700C4A" w:rsidRPr="00700C4A" w14:paraId="5B65EDC9"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3F9468BE"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Wind</w:t>
            </w:r>
          </w:p>
        </w:tc>
        <w:tc>
          <w:tcPr>
            <w:tcW w:w="1240" w:type="dxa"/>
            <w:noWrap/>
            <w:vAlign w:val="center"/>
            <w:hideMark/>
          </w:tcPr>
          <w:p w14:paraId="3B83252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values above</w:t>
            </w:r>
          </w:p>
        </w:tc>
        <w:tc>
          <w:tcPr>
            <w:tcW w:w="867" w:type="dxa"/>
            <w:noWrap/>
            <w:vAlign w:val="center"/>
            <w:hideMark/>
          </w:tcPr>
          <w:p w14:paraId="3134303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867" w:type="dxa"/>
            <w:noWrap/>
            <w:vAlign w:val="center"/>
            <w:hideMark/>
          </w:tcPr>
          <w:p w14:paraId="3A2B786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w:t>
            </w:r>
          </w:p>
        </w:tc>
        <w:tc>
          <w:tcPr>
            <w:tcW w:w="867" w:type="dxa"/>
            <w:noWrap/>
            <w:vAlign w:val="center"/>
            <w:hideMark/>
          </w:tcPr>
          <w:p w14:paraId="30B755B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w:t>
            </w:r>
          </w:p>
        </w:tc>
        <w:tc>
          <w:tcPr>
            <w:tcW w:w="1304" w:type="dxa"/>
            <w:noWrap/>
            <w:vAlign w:val="center"/>
            <w:hideMark/>
          </w:tcPr>
          <w:p w14:paraId="045F69A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degrees</w:t>
            </w:r>
          </w:p>
        </w:tc>
      </w:tr>
      <w:tr w:rsidR="00700C4A" w:rsidRPr="00700C4A" w14:paraId="115F9410"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70600CFC"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Water</w:t>
            </w:r>
          </w:p>
        </w:tc>
        <w:tc>
          <w:tcPr>
            <w:tcW w:w="1240" w:type="dxa"/>
            <w:noWrap/>
            <w:vAlign w:val="center"/>
            <w:hideMark/>
          </w:tcPr>
          <w:p w14:paraId="2FDF1F00"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1DB51BC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47F7F796"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300</w:t>
            </w:r>
          </w:p>
        </w:tc>
        <w:tc>
          <w:tcPr>
            <w:tcW w:w="867" w:type="dxa"/>
            <w:noWrap/>
            <w:vAlign w:val="center"/>
            <w:hideMark/>
          </w:tcPr>
          <w:p w14:paraId="0EE22237"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3000</w:t>
            </w:r>
          </w:p>
        </w:tc>
        <w:tc>
          <w:tcPr>
            <w:tcW w:w="1304" w:type="dxa"/>
            <w:noWrap/>
            <w:vAlign w:val="center"/>
            <w:hideMark/>
          </w:tcPr>
          <w:p w14:paraId="144760F7"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7BA4FADF"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ABFE35C"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Lakes</w:t>
            </w:r>
          </w:p>
        </w:tc>
        <w:tc>
          <w:tcPr>
            <w:tcW w:w="1240" w:type="dxa"/>
            <w:noWrap/>
            <w:vAlign w:val="center"/>
            <w:hideMark/>
          </w:tcPr>
          <w:p w14:paraId="4E82071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6D566F1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w:t>
            </w:r>
          </w:p>
        </w:tc>
        <w:tc>
          <w:tcPr>
            <w:tcW w:w="867" w:type="dxa"/>
            <w:noWrap/>
            <w:vAlign w:val="center"/>
            <w:hideMark/>
          </w:tcPr>
          <w:p w14:paraId="27F1BE79"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400</w:t>
            </w:r>
          </w:p>
        </w:tc>
        <w:tc>
          <w:tcPr>
            <w:tcW w:w="867" w:type="dxa"/>
            <w:noWrap/>
            <w:vAlign w:val="center"/>
            <w:hideMark/>
          </w:tcPr>
          <w:p w14:paraId="0024E31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4000</w:t>
            </w:r>
          </w:p>
        </w:tc>
        <w:tc>
          <w:tcPr>
            <w:tcW w:w="1304" w:type="dxa"/>
            <w:noWrap/>
            <w:vAlign w:val="center"/>
            <w:hideMark/>
          </w:tcPr>
          <w:p w14:paraId="222835C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78E38BF4"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03393FD7"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Rivers</w:t>
            </w:r>
          </w:p>
        </w:tc>
        <w:tc>
          <w:tcPr>
            <w:tcW w:w="1240" w:type="dxa"/>
            <w:noWrap/>
            <w:vAlign w:val="center"/>
            <w:hideMark/>
          </w:tcPr>
          <w:p w14:paraId="4652D447"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72A671F9"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w:t>
            </w:r>
          </w:p>
        </w:tc>
        <w:tc>
          <w:tcPr>
            <w:tcW w:w="867" w:type="dxa"/>
            <w:noWrap/>
            <w:vAlign w:val="center"/>
            <w:hideMark/>
          </w:tcPr>
          <w:p w14:paraId="766F478D"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200</w:t>
            </w:r>
          </w:p>
        </w:tc>
        <w:tc>
          <w:tcPr>
            <w:tcW w:w="867" w:type="dxa"/>
            <w:noWrap/>
            <w:vAlign w:val="center"/>
            <w:hideMark/>
          </w:tcPr>
          <w:p w14:paraId="2618F43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400</w:t>
            </w:r>
          </w:p>
        </w:tc>
        <w:tc>
          <w:tcPr>
            <w:tcW w:w="1304" w:type="dxa"/>
            <w:noWrap/>
            <w:vAlign w:val="center"/>
            <w:hideMark/>
          </w:tcPr>
          <w:p w14:paraId="265DD5E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4627B80C"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C7D00B5"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Sea coastlines</w:t>
            </w:r>
          </w:p>
        </w:tc>
        <w:tc>
          <w:tcPr>
            <w:tcW w:w="1240" w:type="dxa"/>
            <w:noWrap/>
            <w:vAlign w:val="center"/>
            <w:hideMark/>
          </w:tcPr>
          <w:p w14:paraId="7290FD5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3F53C76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0C166BC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867" w:type="dxa"/>
            <w:noWrap/>
            <w:vAlign w:val="center"/>
            <w:hideMark/>
          </w:tcPr>
          <w:p w14:paraId="533085B5"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w:t>
            </w:r>
          </w:p>
        </w:tc>
        <w:tc>
          <w:tcPr>
            <w:tcW w:w="1304" w:type="dxa"/>
            <w:noWrap/>
            <w:vAlign w:val="center"/>
            <w:hideMark/>
          </w:tcPr>
          <w:p w14:paraId="07864C3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74883C2D"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7CCC6FCF"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Elevation (wind only)</w:t>
            </w:r>
          </w:p>
        </w:tc>
        <w:tc>
          <w:tcPr>
            <w:tcW w:w="1240" w:type="dxa"/>
            <w:noWrap/>
            <w:vAlign w:val="center"/>
            <w:hideMark/>
          </w:tcPr>
          <w:p w14:paraId="49EA550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values above</w:t>
            </w:r>
          </w:p>
        </w:tc>
        <w:tc>
          <w:tcPr>
            <w:tcW w:w="867" w:type="dxa"/>
            <w:noWrap/>
            <w:vAlign w:val="center"/>
            <w:hideMark/>
          </w:tcPr>
          <w:p w14:paraId="3DCCDF0F"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1500</w:t>
            </w:r>
          </w:p>
        </w:tc>
        <w:tc>
          <w:tcPr>
            <w:tcW w:w="867" w:type="dxa"/>
            <w:noWrap/>
            <w:vAlign w:val="center"/>
            <w:hideMark/>
          </w:tcPr>
          <w:p w14:paraId="77962367"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2000</w:t>
            </w:r>
          </w:p>
        </w:tc>
        <w:tc>
          <w:tcPr>
            <w:tcW w:w="867" w:type="dxa"/>
            <w:noWrap/>
            <w:vAlign w:val="center"/>
            <w:hideMark/>
          </w:tcPr>
          <w:p w14:paraId="55D9284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3000</w:t>
            </w:r>
          </w:p>
        </w:tc>
        <w:tc>
          <w:tcPr>
            <w:tcW w:w="1304" w:type="dxa"/>
            <w:noWrap/>
            <w:vAlign w:val="center"/>
            <w:hideMark/>
          </w:tcPr>
          <w:p w14:paraId="06EAB0AB"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04D0537B"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2979830F"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Soils</w:t>
            </w:r>
          </w:p>
        </w:tc>
        <w:tc>
          <w:tcPr>
            <w:tcW w:w="1240" w:type="dxa"/>
            <w:noWrap/>
            <w:vAlign w:val="center"/>
            <w:hideMark/>
          </w:tcPr>
          <w:p w14:paraId="35A5A1E7"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867" w:type="dxa"/>
            <w:noWrap/>
            <w:vAlign w:val="center"/>
            <w:hideMark/>
          </w:tcPr>
          <w:p w14:paraId="2E40F16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67" w:type="dxa"/>
            <w:noWrap/>
            <w:vAlign w:val="center"/>
            <w:hideMark/>
          </w:tcPr>
          <w:p w14:paraId="0C792DF9"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67" w:type="dxa"/>
            <w:noWrap/>
            <w:vAlign w:val="center"/>
            <w:hideMark/>
          </w:tcPr>
          <w:p w14:paraId="1FE5561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304" w:type="dxa"/>
            <w:noWrap/>
            <w:vAlign w:val="center"/>
            <w:hideMark/>
          </w:tcPr>
          <w:p w14:paraId="3C257A4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700C4A" w:rsidRPr="00700C4A" w14:paraId="763AC1E4"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71F41D1"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Sandy</w:t>
            </w:r>
          </w:p>
        </w:tc>
        <w:tc>
          <w:tcPr>
            <w:tcW w:w="1240" w:type="dxa"/>
            <w:noWrap/>
            <w:vAlign w:val="center"/>
            <w:hideMark/>
          </w:tcPr>
          <w:p w14:paraId="152CC83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720AB9C7"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2085FD8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867" w:type="dxa"/>
            <w:noWrap/>
            <w:vAlign w:val="center"/>
            <w:hideMark/>
          </w:tcPr>
          <w:p w14:paraId="4F5C162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4</w:t>
            </w:r>
          </w:p>
        </w:tc>
        <w:tc>
          <w:tcPr>
            <w:tcW w:w="1304" w:type="dxa"/>
            <w:noWrap/>
            <w:vAlign w:val="center"/>
            <w:hideMark/>
          </w:tcPr>
          <w:p w14:paraId="1ACAEEE0"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01758FD3"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72D42B6"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Landcover</w:t>
            </w:r>
          </w:p>
        </w:tc>
        <w:tc>
          <w:tcPr>
            <w:tcW w:w="1240" w:type="dxa"/>
            <w:noWrap/>
            <w:vAlign w:val="center"/>
            <w:hideMark/>
          </w:tcPr>
          <w:p w14:paraId="2E6515C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867" w:type="dxa"/>
            <w:noWrap/>
            <w:vAlign w:val="center"/>
            <w:hideMark/>
          </w:tcPr>
          <w:p w14:paraId="7700A4EA"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67" w:type="dxa"/>
            <w:noWrap/>
            <w:vAlign w:val="center"/>
            <w:hideMark/>
          </w:tcPr>
          <w:p w14:paraId="6EC3A55C"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67" w:type="dxa"/>
            <w:noWrap/>
            <w:vAlign w:val="center"/>
            <w:hideMark/>
          </w:tcPr>
          <w:p w14:paraId="62AB9A1B"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304" w:type="dxa"/>
            <w:noWrap/>
            <w:vAlign w:val="center"/>
            <w:hideMark/>
          </w:tcPr>
          <w:p w14:paraId="6C43D5F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700C4A" w:rsidRPr="00700C4A" w14:paraId="43C25B3F"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tcPr>
          <w:p w14:paraId="161B529E"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lastRenderedPageBreak/>
              <w:t>Artificial surfaces</w:t>
            </w:r>
          </w:p>
          <w:p w14:paraId="313D3D62"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(wind &amp; large-scale solar)</w:t>
            </w:r>
          </w:p>
        </w:tc>
        <w:tc>
          <w:tcPr>
            <w:tcW w:w="1240" w:type="dxa"/>
            <w:shd w:val="clear" w:color="auto" w:fill="FFFFFF"/>
            <w:noWrap/>
            <w:vAlign w:val="center"/>
          </w:tcPr>
          <w:p w14:paraId="1568B09C"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shd w:val="clear" w:color="auto" w:fill="FFFFFF"/>
            <w:noWrap/>
            <w:vAlign w:val="center"/>
          </w:tcPr>
          <w:p w14:paraId="6C4BFDE4"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shd w:val="clear" w:color="auto" w:fill="FFFFFF"/>
            <w:noWrap/>
            <w:vAlign w:val="center"/>
          </w:tcPr>
          <w:p w14:paraId="3A57F247"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 xml:space="preserve">0 </w:t>
            </w:r>
          </w:p>
        </w:tc>
        <w:tc>
          <w:tcPr>
            <w:tcW w:w="867" w:type="dxa"/>
            <w:shd w:val="clear" w:color="auto" w:fill="FFFFFF"/>
            <w:noWrap/>
            <w:vAlign w:val="center"/>
          </w:tcPr>
          <w:p w14:paraId="5AF652F3"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500</w:t>
            </w:r>
          </w:p>
        </w:tc>
        <w:tc>
          <w:tcPr>
            <w:tcW w:w="1304" w:type="dxa"/>
            <w:shd w:val="clear" w:color="auto" w:fill="FFFFFF"/>
            <w:noWrap/>
            <w:vAlign w:val="center"/>
          </w:tcPr>
          <w:p w14:paraId="36D9273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7C74AB90"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23359CE"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Woodlands</w:t>
            </w:r>
          </w:p>
        </w:tc>
        <w:tc>
          <w:tcPr>
            <w:tcW w:w="1240" w:type="dxa"/>
            <w:noWrap/>
            <w:vAlign w:val="center"/>
            <w:hideMark/>
          </w:tcPr>
          <w:p w14:paraId="5708E61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0B70BBC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7EE19C6F"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300</w:t>
            </w:r>
          </w:p>
        </w:tc>
        <w:tc>
          <w:tcPr>
            <w:tcW w:w="867" w:type="dxa"/>
            <w:noWrap/>
            <w:vAlign w:val="center"/>
            <w:hideMark/>
          </w:tcPr>
          <w:p w14:paraId="303B3CEB"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1000</w:t>
            </w:r>
          </w:p>
        </w:tc>
        <w:tc>
          <w:tcPr>
            <w:tcW w:w="1304" w:type="dxa"/>
            <w:noWrap/>
            <w:vAlign w:val="center"/>
            <w:hideMark/>
          </w:tcPr>
          <w:p w14:paraId="6B9CE11B"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198BE417"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22E69CBD"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Wetlands</w:t>
            </w:r>
          </w:p>
        </w:tc>
        <w:tc>
          <w:tcPr>
            <w:tcW w:w="1240" w:type="dxa"/>
            <w:noWrap/>
            <w:vAlign w:val="center"/>
            <w:hideMark/>
          </w:tcPr>
          <w:p w14:paraId="0417C80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1F6114A0"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6A61096D"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867" w:type="dxa"/>
            <w:noWrap/>
            <w:vAlign w:val="center"/>
            <w:hideMark/>
          </w:tcPr>
          <w:p w14:paraId="27B3897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w:t>
            </w:r>
          </w:p>
        </w:tc>
        <w:tc>
          <w:tcPr>
            <w:tcW w:w="1304" w:type="dxa"/>
            <w:noWrap/>
            <w:vAlign w:val="center"/>
            <w:hideMark/>
          </w:tcPr>
          <w:p w14:paraId="2DAE7A0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1B80F4BD"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26BA0AC4"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Croplands (PV only)</w:t>
            </w:r>
          </w:p>
        </w:tc>
        <w:tc>
          <w:tcPr>
            <w:tcW w:w="1240" w:type="dxa"/>
            <w:noWrap/>
            <w:vAlign w:val="center"/>
            <w:hideMark/>
          </w:tcPr>
          <w:p w14:paraId="4A3BD4D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7460716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32EB529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50</w:t>
            </w:r>
          </w:p>
        </w:tc>
        <w:tc>
          <w:tcPr>
            <w:tcW w:w="867" w:type="dxa"/>
            <w:noWrap/>
            <w:vAlign w:val="center"/>
            <w:hideMark/>
          </w:tcPr>
          <w:p w14:paraId="08CC1A2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240</w:t>
            </w:r>
          </w:p>
        </w:tc>
        <w:tc>
          <w:tcPr>
            <w:tcW w:w="1304" w:type="dxa"/>
            <w:noWrap/>
            <w:vAlign w:val="center"/>
            <w:hideMark/>
          </w:tcPr>
          <w:p w14:paraId="19137BCC"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323C4B34"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3D39AFE8"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Rock and ice</w:t>
            </w:r>
          </w:p>
        </w:tc>
        <w:tc>
          <w:tcPr>
            <w:tcW w:w="2107" w:type="dxa"/>
            <w:gridSpan w:val="2"/>
            <w:noWrap/>
            <w:vAlign w:val="center"/>
            <w:hideMark/>
          </w:tcPr>
          <w:p w14:paraId="691E286D"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4501D2EF"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p>
        </w:tc>
        <w:tc>
          <w:tcPr>
            <w:tcW w:w="867" w:type="dxa"/>
            <w:noWrap/>
            <w:vAlign w:val="center"/>
            <w:hideMark/>
          </w:tcPr>
          <w:p w14:paraId="720605E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304" w:type="dxa"/>
            <w:noWrap/>
            <w:vAlign w:val="center"/>
            <w:hideMark/>
          </w:tcPr>
          <w:p w14:paraId="6C1D11AF"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m</w:t>
            </w:r>
          </w:p>
        </w:tc>
      </w:tr>
      <w:tr w:rsidR="00700C4A" w:rsidRPr="00700C4A" w14:paraId="6B65D239"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D9D9D9"/>
            <w:noWrap/>
            <w:vAlign w:val="center"/>
            <w:hideMark/>
          </w:tcPr>
          <w:p w14:paraId="4E1DE1A2" w14:textId="77777777" w:rsidR="00700C4A" w:rsidRPr="00700C4A" w:rsidRDefault="00700C4A" w:rsidP="00B369B4">
            <w:pPr>
              <w:jc w:val="left"/>
              <w:rPr>
                <w:rFonts w:ascii="Times New Roman" w:hAnsi="Times New Roman"/>
                <w:b/>
                <w:bCs/>
                <w:sz w:val="20"/>
                <w:szCs w:val="20"/>
              </w:rPr>
            </w:pPr>
            <w:r w:rsidRPr="00700C4A">
              <w:rPr>
                <w:rFonts w:ascii="Times New Roman" w:hAnsi="Times New Roman"/>
                <w:b/>
                <w:bCs/>
                <w:color w:val="000000"/>
                <w:sz w:val="20"/>
                <w:szCs w:val="20"/>
              </w:rPr>
              <w:t>REGULATORY (OTHER)</w:t>
            </w:r>
          </w:p>
        </w:tc>
      </w:tr>
      <w:tr w:rsidR="00700C4A" w:rsidRPr="00700C4A" w14:paraId="363CE5AC"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3C3ED4C3"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Protected areas</w:t>
            </w:r>
          </w:p>
        </w:tc>
        <w:tc>
          <w:tcPr>
            <w:tcW w:w="1240" w:type="dxa"/>
            <w:noWrap/>
            <w:vAlign w:val="center"/>
            <w:hideMark/>
          </w:tcPr>
          <w:p w14:paraId="517500A6"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867" w:type="dxa"/>
            <w:noWrap/>
            <w:vAlign w:val="center"/>
            <w:hideMark/>
          </w:tcPr>
          <w:p w14:paraId="10A6C8E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0</w:t>
            </w:r>
          </w:p>
        </w:tc>
        <w:tc>
          <w:tcPr>
            <w:tcW w:w="867" w:type="dxa"/>
            <w:noWrap/>
            <w:vAlign w:val="center"/>
            <w:hideMark/>
          </w:tcPr>
          <w:p w14:paraId="697635A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1</w:t>
            </w:r>
          </w:p>
        </w:tc>
        <w:tc>
          <w:tcPr>
            <w:tcW w:w="867" w:type="dxa"/>
            <w:noWrap/>
            <w:vAlign w:val="center"/>
            <w:hideMark/>
          </w:tcPr>
          <w:p w14:paraId="76F4816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3</w:t>
            </w:r>
          </w:p>
        </w:tc>
        <w:tc>
          <w:tcPr>
            <w:tcW w:w="1304" w:type="dxa"/>
            <w:noWrap/>
            <w:vAlign w:val="center"/>
            <w:hideMark/>
          </w:tcPr>
          <w:p w14:paraId="1D147E45"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km</w:t>
            </w:r>
          </w:p>
        </w:tc>
      </w:tr>
      <w:tr w:rsidR="00700C4A" w:rsidRPr="00700C4A" w14:paraId="0BEFBB3D"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5943D1B2"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Local zoning restrictions</w:t>
            </w:r>
          </w:p>
        </w:tc>
        <w:tc>
          <w:tcPr>
            <w:tcW w:w="1240" w:type="dxa"/>
            <w:noWrap/>
            <w:vAlign w:val="center"/>
            <w:hideMark/>
          </w:tcPr>
          <w:p w14:paraId="19D08E2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70EB3F7E"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0933A709"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06EECD62"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Military zones</w:t>
            </w:r>
          </w:p>
        </w:tc>
        <w:tc>
          <w:tcPr>
            <w:tcW w:w="1240" w:type="dxa"/>
            <w:noWrap/>
            <w:vAlign w:val="center"/>
            <w:hideMark/>
          </w:tcPr>
          <w:p w14:paraId="1249E140"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37531404" w14:textId="77777777" w:rsidR="00700C4A" w:rsidRPr="00700C4A" w:rsidRDefault="00700C4A" w:rsidP="00B369B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7C07137C"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D9D9D9"/>
            <w:noWrap/>
            <w:vAlign w:val="center"/>
            <w:hideMark/>
          </w:tcPr>
          <w:p w14:paraId="1D9BC5FC" w14:textId="3F5DC4FD" w:rsidR="00700C4A" w:rsidRPr="00700C4A" w:rsidRDefault="00700C4A" w:rsidP="00B369B4">
            <w:pPr>
              <w:jc w:val="left"/>
              <w:rPr>
                <w:rFonts w:ascii="Times New Roman" w:hAnsi="Times New Roman"/>
                <w:b/>
                <w:bCs/>
                <w:color w:val="000000"/>
                <w:sz w:val="20"/>
                <w:szCs w:val="20"/>
              </w:rPr>
            </w:pPr>
            <w:r w:rsidRPr="00700C4A">
              <w:rPr>
                <w:rFonts w:ascii="Times New Roman" w:hAnsi="Times New Roman"/>
                <w:b/>
                <w:bCs/>
                <w:color w:val="000000"/>
                <w:sz w:val="20"/>
                <w:szCs w:val="20"/>
              </w:rPr>
              <w:t>ENVIRONMENTAL (see Guidance Framework Step 2 and Table 2 for more detail)</w:t>
            </w:r>
          </w:p>
        </w:tc>
      </w:tr>
      <w:tr w:rsidR="00700C4A" w:rsidRPr="00700C4A" w14:paraId="2E736718"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36836C11"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Critical habitat</w:t>
            </w:r>
          </w:p>
        </w:tc>
        <w:tc>
          <w:tcPr>
            <w:tcW w:w="1240" w:type="dxa"/>
            <w:noWrap/>
            <w:vAlign w:val="center"/>
            <w:hideMark/>
          </w:tcPr>
          <w:p w14:paraId="6AD590E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1E25E29D"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792DA628"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C46D731"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Critical migration corridors</w:t>
            </w:r>
          </w:p>
        </w:tc>
        <w:tc>
          <w:tcPr>
            <w:tcW w:w="1240" w:type="dxa"/>
            <w:noWrap/>
            <w:vAlign w:val="center"/>
            <w:hideMark/>
          </w:tcPr>
          <w:p w14:paraId="64BA339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565AEC72"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28F7E49B"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74C3714"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Natura 2000 sites</w:t>
            </w:r>
          </w:p>
        </w:tc>
        <w:tc>
          <w:tcPr>
            <w:tcW w:w="1240" w:type="dxa"/>
            <w:noWrap/>
            <w:vAlign w:val="center"/>
            <w:hideMark/>
          </w:tcPr>
          <w:p w14:paraId="71E9DF7E"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342FCDD3"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Context and often policy-dependent</w:t>
            </w:r>
          </w:p>
        </w:tc>
      </w:tr>
      <w:tr w:rsidR="00700C4A" w:rsidRPr="00700C4A" w14:paraId="1F99751A"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4909D6B0"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Key Biodiversity Areas</w:t>
            </w:r>
          </w:p>
        </w:tc>
        <w:tc>
          <w:tcPr>
            <w:tcW w:w="1240" w:type="dxa"/>
            <w:noWrap/>
            <w:vAlign w:val="center"/>
            <w:hideMark/>
          </w:tcPr>
          <w:p w14:paraId="197E099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13438030"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4CC4E2FC"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9360" w:type="dxa"/>
            <w:gridSpan w:val="6"/>
            <w:shd w:val="clear" w:color="auto" w:fill="D9D9D9"/>
            <w:noWrap/>
            <w:vAlign w:val="center"/>
            <w:hideMark/>
          </w:tcPr>
          <w:p w14:paraId="5D2E1ABE" w14:textId="77777777" w:rsidR="00700C4A" w:rsidRPr="00700C4A" w:rsidRDefault="00700C4A" w:rsidP="00B369B4">
            <w:pPr>
              <w:jc w:val="left"/>
              <w:rPr>
                <w:rFonts w:ascii="Times New Roman" w:hAnsi="Times New Roman"/>
                <w:color w:val="000000"/>
                <w:sz w:val="20"/>
                <w:szCs w:val="20"/>
              </w:rPr>
            </w:pPr>
            <w:r w:rsidRPr="00700C4A">
              <w:rPr>
                <w:rFonts w:ascii="Times New Roman" w:hAnsi="Times New Roman"/>
                <w:b/>
                <w:bCs/>
                <w:color w:val="000000"/>
                <w:sz w:val="20"/>
                <w:szCs w:val="20"/>
              </w:rPr>
              <w:t>SOCIAL (see Step 3 and Table 2 for more detail)</w:t>
            </w:r>
          </w:p>
        </w:tc>
      </w:tr>
      <w:tr w:rsidR="00700C4A" w:rsidRPr="00700C4A" w14:paraId="22E02476"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3844AFF8"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Cultural and historic sites</w:t>
            </w:r>
          </w:p>
        </w:tc>
        <w:tc>
          <w:tcPr>
            <w:tcW w:w="1240" w:type="dxa"/>
            <w:noWrap/>
            <w:vAlign w:val="center"/>
            <w:hideMark/>
          </w:tcPr>
          <w:p w14:paraId="3E1F8F71"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5BCEAD6D"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319AE624"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0BE391FF"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Spiritual sites</w:t>
            </w:r>
          </w:p>
        </w:tc>
        <w:tc>
          <w:tcPr>
            <w:tcW w:w="1240" w:type="dxa"/>
            <w:noWrap/>
            <w:vAlign w:val="center"/>
            <w:hideMark/>
          </w:tcPr>
          <w:p w14:paraId="34648FEC"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10F211A0"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7AB64B3F"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1E7BC3B4"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Recreational areas</w:t>
            </w:r>
          </w:p>
        </w:tc>
        <w:tc>
          <w:tcPr>
            <w:tcW w:w="1240" w:type="dxa"/>
            <w:noWrap/>
            <w:vAlign w:val="center"/>
            <w:hideMark/>
          </w:tcPr>
          <w:p w14:paraId="0D0F94F4"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29D20FD6"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164C6C25"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3E71AD2B"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Tourist zones</w:t>
            </w:r>
          </w:p>
        </w:tc>
        <w:tc>
          <w:tcPr>
            <w:tcW w:w="1240" w:type="dxa"/>
            <w:noWrap/>
            <w:vAlign w:val="center"/>
            <w:hideMark/>
          </w:tcPr>
          <w:p w14:paraId="2A0D1913"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5387A832"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Context and often policy-dependent</w:t>
            </w:r>
          </w:p>
        </w:tc>
      </w:tr>
      <w:tr w:rsidR="00700C4A" w:rsidRPr="00700C4A" w14:paraId="59B7604A"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0CDD8316"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Visually aesthetic landscapes</w:t>
            </w:r>
          </w:p>
        </w:tc>
        <w:tc>
          <w:tcPr>
            <w:tcW w:w="1240" w:type="dxa"/>
            <w:noWrap/>
            <w:vAlign w:val="center"/>
            <w:hideMark/>
          </w:tcPr>
          <w:p w14:paraId="28FAACF3"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33C9A478"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700C4A">
              <w:rPr>
                <w:rFonts w:ascii="Times New Roman" w:eastAsia="Times New Roman" w:hAnsi="Times New Roman" w:cs="Times New Roman"/>
                <w:color w:val="000000"/>
                <w:sz w:val="20"/>
                <w:szCs w:val="20"/>
              </w:rPr>
              <w:t>Context-dependent</w:t>
            </w:r>
          </w:p>
        </w:tc>
      </w:tr>
      <w:tr w:rsidR="00700C4A" w:rsidRPr="00700C4A" w14:paraId="4F39483F"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AF5E8C6"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Indigenous Peoples and Local Communities (IPLC) lands</w:t>
            </w:r>
          </w:p>
        </w:tc>
        <w:tc>
          <w:tcPr>
            <w:tcW w:w="1240" w:type="dxa"/>
            <w:noWrap/>
            <w:vAlign w:val="center"/>
            <w:hideMark/>
          </w:tcPr>
          <w:p w14:paraId="76EFD15D"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693FCA1A"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Context and often policy-dependent</w:t>
            </w:r>
          </w:p>
        </w:tc>
      </w:tr>
      <w:tr w:rsidR="00700C4A" w:rsidRPr="00700C4A" w14:paraId="66B2522C" w14:textId="77777777" w:rsidTr="00700C4A">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3957BF1"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lastRenderedPageBreak/>
              <w:t>Population centers or settlements</w:t>
            </w:r>
          </w:p>
        </w:tc>
        <w:tc>
          <w:tcPr>
            <w:tcW w:w="1240" w:type="dxa"/>
            <w:noWrap/>
            <w:vAlign w:val="center"/>
            <w:hideMark/>
          </w:tcPr>
          <w:p w14:paraId="78C0AB55"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feature + buffer</w:t>
            </w:r>
          </w:p>
        </w:tc>
        <w:tc>
          <w:tcPr>
            <w:tcW w:w="3905" w:type="dxa"/>
            <w:gridSpan w:val="4"/>
            <w:noWrap/>
            <w:vAlign w:val="center"/>
            <w:hideMark/>
          </w:tcPr>
          <w:p w14:paraId="1279D378" w14:textId="77777777" w:rsidR="00700C4A" w:rsidRPr="00700C4A" w:rsidRDefault="00700C4A" w:rsidP="00700C4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Context and often policy-dependent</w:t>
            </w:r>
          </w:p>
        </w:tc>
      </w:tr>
      <w:tr w:rsidR="00700C4A" w:rsidRPr="00700C4A" w14:paraId="5B221234" w14:textId="77777777" w:rsidTr="00700C4A">
        <w:trPr>
          <w:trHeight w:val="292"/>
        </w:trPr>
        <w:tc>
          <w:tcPr>
            <w:cnfStyle w:val="001000000000" w:firstRow="0" w:lastRow="0" w:firstColumn="1" w:lastColumn="0" w:oddVBand="0" w:evenVBand="0" w:oddHBand="0" w:evenHBand="0" w:firstRowFirstColumn="0" w:firstRowLastColumn="0" w:lastRowFirstColumn="0" w:lastRowLastColumn="0"/>
            <w:tcW w:w="4215" w:type="dxa"/>
            <w:noWrap/>
            <w:hideMark/>
          </w:tcPr>
          <w:p w14:paraId="620748EF" w14:textId="77777777" w:rsidR="00700C4A" w:rsidRPr="00700C4A" w:rsidRDefault="00700C4A" w:rsidP="00700C4A">
            <w:pPr>
              <w:rPr>
                <w:rFonts w:ascii="Times New Roman" w:hAnsi="Times New Roman"/>
                <w:color w:val="000000"/>
                <w:sz w:val="20"/>
                <w:szCs w:val="20"/>
              </w:rPr>
            </w:pPr>
            <w:r w:rsidRPr="00700C4A">
              <w:rPr>
                <w:rFonts w:ascii="Times New Roman" w:hAnsi="Times New Roman"/>
                <w:color w:val="000000"/>
                <w:sz w:val="20"/>
                <w:szCs w:val="20"/>
              </w:rPr>
              <w:t>Population density</w:t>
            </w:r>
          </w:p>
        </w:tc>
        <w:tc>
          <w:tcPr>
            <w:tcW w:w="1240" w:type="dxa"/>
            <w:noWrap/>
            <w:vAlign w:val="center"/>
            <w:hideMark/>
          </w:tcPr>
          <w:p w14:paraId="4C85E8B1"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values above</w:t>
            </w:r>
          </w:p>
        </w:tc>
        <w:tc>
          <w:tcPr>
            <w:tcW w:w="3905" w:type="dxa"/>
            <w:gridSpan w:val="4"/>
            <w:noWrap/>
            <w:vAlign w:val="center"/>
            <w:hideMark/>
          </w:tcPr>
          <w:p w14:paraId="483CAF68" w14:textId="77777777" w:rsidR="00700C4A" w:rsidRPr="00700C4A" w:rsidRDefault="00700C4A" w:rsidP="00700C4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700C4A">
              <w:rPr>
                <w:rFonts w:ascii="Times New Roman" w:eastAsia="Times New Roman" w:hAnsi="Times New Roman" w:cs="Times New Roman"/>
                <w:color w:val="000000"/>
                <w:sz w:val="20"/>
                <w:szCs w:val="20"/>
              </w:rPr>
              <w:t>Context and often policy-dependent</w:t>
            </w:r>
          </w:p>
        </w:tc>
      </w:tr>
    </w:tbl>
    <w:p w14:paraId="45214489" w14:textId="77777777" w:rsidR="00700C4A" w:rsidRPr="00700C4A" w:rsidRDefault="00700C4A" w:rsidP="00700C4A">
      <w:pPr>
        <w:spacing w:beforeLines="120" w:before="288" w:after="0" w:line="259" w:lineRule="auto"/>
        <w:rPr>
          <w:rFonts w:ascii="Times New Roman" w:eastAsia="Calibri" w:hAnsi="Times New Roman" w:cs="Times New Roman"/>
          <w:kern w:val="0"/>
          <w14:ligatures w14:val="none"/>
        </w:rPr>
      </w:pPr>
    </w:p>
    <w:p w14:paraId="168F89E2" w14:textId="0C3A647F" w:rsidR="00153098" w:rsidRDefault="00153098">
      <w:r>
        <w:br w:type="page"/>
      </w:r>
    </w:p>
    <w:p w14:paraId="6F65EDCF" w14:textId="0F66963F" w:rsidR="00153098" w:rsidRPr="00EE4762" w:rsidRDefault="00153098" w:rsidP="00153098">
      <w:pPr>
        <w:rPr>
          <w:rFonts w:ascii="Times New Roman" w:eastAsia="Calibri" w:hAnsi="Times New Roman" w:cs="Times New Roman"/>
          <w:sz w:val="20"/>
          <w:szCs w:val="20"/>
        </w:rPr>
      </w:pPr>
      <w:r w:rsidRPr="00EE4762">
        <w:rPr>
          <w:rFonts w:ascii="Times New Roman" w:eastAsia="Calibri" w:hAnsi="Times New Roman" w:cs="Times New Roman"/>
          <w:sz w:val="20"/>
          <w:szCs w:val="20"/>
        </w:rPr>
        <w:lastRenderedPageBreak/>
        <w:t xml:space="preserve">Table </w:t>
      </w:r>
      <w:r w:rsidR="00817EFF">
        <w:rPr>
          <w:rFonts w:ascii="Times New Roman" w:eastAsia="Calibri" w:hAnsi="Times New Roman" w:cs="Times New Roman"/>
          <w:sz w:val="20"/>
          <w:szCs w:val="20"/>
        </w:rPr>
        <w:t>S</w:t>
      </w:r>
      <w:r w:rsidRPr="00EE4762">
        <w:rPr>
          <w:rFonts w:ascii="Times New Roman" w:eastAsia="Calibri" w:hAnsi="Times New Roman" w:cs="Times New Roman"/>
          <w:sz w:val="20"/>
          <w:szCs w:val="20"/>
        </w:rPr>
        <w:t>2</w:t>
      </w:r>
      <w:r>
        <w:rPr>
          <w:rFonts w:ascii="Times New Roman" w:eastAsia="Calibri" w:hAnsi="Times New Roman" w:cs="Times New Roman"/>
          <w:sz w:val="20"/>
          <w:szCs w:val="20"/>
        </w:rPr>
        <w:t>:</w:t>
      </w:r>
      <w:r w:rsidRPr="00EE4762">
        <w:rPr>
          <w:rFonts w:ascii="Times New Roman" w:eastAsia="Calibri" w:hAnsi="Times New Roman" w:cs="Times New Roman"/>
          <w:sz w:val="20"/>
          <w:szCs w:val="20"/>
        </w:rPr>
        <w:t xml:space="preserve"> A summary of broad categories for environmental and social elements, types of data to consider and examples of available datasets, and fine-scale indicators or methodological approaches. Note that several data types, such as vistas/landscape aesthetics, </w:t>
      </w:r>
      <w:r w:rsidR="000B4BF6" w:rsidRPr="00EE4762">
        <w:rPr>
          <w:rFonts w:ascii="Times New Roman" w:eastAsia="Calibri" w:hAnsi="Times New Roman" w:cs="Times New Roman"/>
          <w:sz w:val="20"/>
          <w:szCs w:val="20"/>
        </w:rPr>
        <w:t>may</w:t>
      </w:r>
      <w:r w:rsidRPr="00EE4762">
        <w:rPr>
          <w:rFonts w:ascii="Times New Roman" w:eastAsia="Calibri" w:hAnsi="Times New Roman" w:cs="Times New Roman"/>
          <w:sz w:val="20"/>
          <w:szCs w:val="20"/>
        </w:rPr>
        <w:t xml:space="preserve"> overlap across contributed value groups and are not necessarily mutually exclusive.  </w:t>
      </w:r>
    </w:p>
    <w:tbl>
      <w:tblPr>
        <w:tblStyle w:val="GridTable5Dark-Accent31"/>
        <w:tblW w:w="12031" w:type="dxa"/>
        <w:tblLayout w:type="fixed"/>
        <w:tblLook w:val="04A0" w:firstRow="1" w:lastRow="0" w:firstColumn="1" w:lastColumn="0" w:noHBand="0" w:noVBand="1"/>
      </w:tblPr>
      <w:tblGrid>
        <w:gridCol w:w="1165"/>
        <w:gridCol w:w="900"/>
        <w:gridCol w:w="2250"/>
        <w:gridCol w:w="2430"/>
        <w:gridCol w:w="2643"/>
        <w:gridCol w:w="33"/>
        <w:gridCol w:w="2610"/>
      </w:tblGrid>
      <w:tr w:rsidR="00153098" w:rsidRPr="00EE4762" w14:paraId="09EDC592" w14:textId="77777777" w:rsidTr="0024038B">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165" w:type="dxa"/>
            <w:tcBorders>
              <w:bottom w:val="double" w:sz="4" w:space="0" w:color="auto"/>
            </w:tcBorders>
          </w:tcPr>
          <w:p w14:paraId="34610839" w14:textId="77777777" w:rsidR="00153098" w:rsidRPr="00EE4762" w:rsidRDefault="00153098" w:rsidP="0024038B">
            <w:pPr>
              <w:jc w:val="center"/>
              <w:rPr>
                <w:rFonts w:ascii="Times New Roman" w:eastAsia="Calibri" w:hAnsi="Times New Roman" w:cs="Times New Roman"/>
                <w:sz w:val="20"/>
                <w:szCs w:val="20"/>
              </w:rPr>
            </w:pPr>
            <w:bookmarkStart w:id="0" w:name="_Hlk174566767"/>
            <w:r w:rsidRPr="00EE4762">
              <w:rPr>
                <w:rFonts w:ascii="Times New Roman" w:eastAsia="Calibri" w:hAnsi="Times New Roman" w:cs="Times New Roman"/>
                <w:sz w:val="20"/>
                <w:szCs w:val="20"/>
              </w:rPr>
              <w:t>Value elements</w:t>
            </w:r>
          </w:p>
        </w:tc>
        <w:tc>
          <w:tcPr>
            <w:tcW w:w="900" w:type="dxa"/>
            <w:tcBorders>
              <w:bottom w:val="double" w:sz="4" w:space="0" w:color="auto"/>
            </w:tcBorders>
          </w:tcPr>
          <w:p w14:paraId="09854D73" w14:textId="77777777" w:rsidR="00153098" w:rsidRPr="00EE4762" w:rsidRDefault="00153098" w:rsidP="0024038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E4762">
              <w:rPr>
                <w:rFonts w:ascii="Times New Roman" w:eastAsia="Calibri" w:hAnsi="Times New Roman" w:cs="Times New Roman"/>
                <w:sz w:val="20"/>
                <w:szCs w:val="20"/>
              </w:rPr>
              <w:t>Filters</w:t>
            </w:r>
          </w:p>
        </w:tc>
        <w:tc>
          <w:tcPr>
            <w:tcW w:w="2250" w:type="dxa"/>
            <w:tcBorders>
              <w:bottom w:val="double" w:sz="4" w:space="0" w:color="auto"/>
            </w:tcBorders>
          </w:tcPr>
          <w:p w14:paraId="59F8E6FA" w14:textId="77777777" w:rsidR="00153098" w:rsidRPr="00EE4762" w:rsidRDefault="00153098" w:rsidP="0024038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E4762">
              <w:rPr>
                <w:rFonts w:ascii="Times New Roman" w:eastAsia="Calibri" w:hAnsi="Times New Roman" w:cs="Times New Roman"/>
                <w:sz w:val="20"/>
                <w:szCs w:val="20"/>
              </w:rPr>
              <w:t>Broad categories</w:t>
            </w:r>
          </w:p>
        </w:tc>
        <w:tc>
          <w:tcPr>
            <w:tcW w:w="2430" w:type="dxa"/>
            <w:tcBorders>
              <w:bottom w:val="double" w:sz="4" w:space="0" w:color="auto"/>
            </w:tcBorders>
          </w:tcPr>
          <w:p w14:paraId="3CC1F97C" w14:textId="77777777" w:rsidR="00153098" w:rsidRPr="00EE4762" w:rsidRDefault="00153098" w:rsidP="0024038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E4762">
              <w:rPr>
                <w:rFonts w:ascii="Times New Roman" w:eastAsia="Calibri" w:hAnsi="Times New Roman" w:cs="Times New Roman"/>
                <w:sz w:val="20"/>
                <w:szCs w:val="20"/>
              </w:rPr>
              <w:t>Rationale</w:t>
            </w:r>
          </w:p>
        </w:tc>
        <w:tc>
          <w:tcPr>
            <w:tcW w:w="2676" w:type="dxa"/>
            <w:gridSpan w:val="2"/>
            <w:tcBorders>
              <w:bottom w:val="double" w:sz="4" w:space="0" w:color="auto"/>
            </w:tcBorders>
          </w:tcPr>
          <w:p w14:paraId="788CDCC4" w14:textId="77777777" w:rsidR="00153098" w:rsidRPr="00EE4762" w:rsidRDefault="00153098" w:rsidP="0024038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E4762">
              <w:rPr>
                <w:rFonts w:ascii="Times New Roman" w:eastAsia="Calibri" w:hAnsi="Times New Roman" w:cs="Times New Roman"/>
                <w:sz w:val="20"/>
                <w:szCs w:val="20"/>
              </w:rPr>
              <w:t>Data type(s)</w:t>
            </w:r>
          </w:p>
        </w:tc>
        <w:tc>
          <w:tcPr>
            <w:tcW w:w="2610" w:type="dxa"/>
            <w:tcBorders>
              <w:bottom w:val="double" w:sz="4" w:space="0" w:color="auto"/>
            </w:tcBorders>
          </w:tcPr>
          <w:p w14:paraId="4EFE396C" w14:textId="77777777" w:rsidR="00153098" w:rsidRPr="00EE4762" w:rsidRDefault="00153098" w:rsidP="0024038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EE4762">
              <w:rPr>
                <w:rFonts w:ascii="Times New Roman" w:eastAsia="Calibri" w:hAnsi="Times New Roman" w:cs="Times New Roman"/>
                <w:sz w:val="20"/>
                <w:szCs w:val="20"/>
              </w:rPr>
              <w:t>Examples and data availability</w:t>
            </w:r>
          </w:p>
        </w:tc>
      </w:tr>
      <w:tr w:rsidR="00153098" w:rsidRPr="00EE4762" w14:paraId="566FD3EE" w14:textId="77777777" w:rsidTr="0024038B">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1165" w:type="dxa"/>
            <w:vMerge w:val="restart"/>
            <w:tcBorders>
              <w:top w:val="double" w:sz="4" w:space="0" w:color="auto"/>
            </w:tcBorders>
            <w:textDirection w:val="btLr"/>
            <w:vAlign w:val="center"/>
          </w:tcPr>
          <w:p w14:paraId="01C123A5" w14:textId="77777777" w:rsidR="00153098" w:rsidRPr="00EE4762" w:rsidRDefault="00153098" w:rsidP="0024038B">
            <w:pPr>
              <w:ind w:left="113" w:right="113"/>
              <w:jc w:val="center"/>
              <w:rPr>
                <w:rFonts w:ascii="Times New Roman" w:eastAsia="Calibri" w:hAnsi="Times New Roman" w:cs="Times New Roman"/>
              </w:rPr>
            </w:pPr>
            <w:r w:rsidRPr="00EE4762">
              <w:rPr>
                <w:rFonts w:ascii="Times New Roman" w:eastAsia="Calibri" w:hAnsi="Times New Roman" w:cs="Times New Roman"/>
              </w:rPr>
              <w:t>ENVIRONMENTAL</w:t>
            </w:r>
          </w:p>
        </w:tc>
        <w:tc>
          <w:tcPr>
            <w:tcW w:w="900" w:type="dxa"/>
            <w:vMerge w:val="restart"/>
            <w:tcBorders>
              <w:top w:val="double" w:sz="4" w:space="0" w:color="auto"/>
            </w:tcBorders>
            <w:shd w:val="clear" w:color="auto" w:fill="auto"/>
            <w:textDirection w:val="btLr"/>
            <w:vAlign w:val="center"/>
          </w:tcPr>
          <w:p w14:paraId="69812DDB" w14:textId="77777777" w:rsidR="00153098" w:rsidRPr="00EE4762" w:rsidRDefault="00153098" w:rsidP="0024038B">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Coarse</w:t>
            </w:r>
          </w:p>
        </w:tc>
        <w:tc>
          <w:tcPr>
            <w:tcW w:w="2250" w:type="dxa"/>
            <w:tcBorders>
              <w:top w:val="double" w:sz="4" w:space="0" w:color="auto"/>
            </w:tcBorders>
          </w:tcPr>
          <w:p w14:paraId="1BC91E41"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Vegetation or Landcover</w:t>
            </w:r>
          </w:p>
        </w:tc>
        <w:tc>
          <w:tcPr>
            <w:tcW w:w="2430" w:type="dxa"/>
            <w:tcBorders>
              <w:top w:val="double" w:sz="4" w:space="0" w:color="auto"/>
            </w:tcBorders>
          </w:tcPr>
          <w:p w14:paraId="0D9A591E"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Landcover datasets serve as a valuable proxy for the coarse filter representation of biodiversity in a place. Advances in remote sensing technologies have enabled more frequent updates and improved consistency and accuracy of landcover datasets across large landscape and through time.</w:t>
            </w:r>
          </w:p>
          <w:p w14:paraId="75597B88"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p w14:paraId="04E513FC" w14:textId="24135612"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Landcover datasets capture a wide range of habitats and important natural ecological processes, such as fire regimes and hydrological cycles, that are critical for maintaining long-term ecosystem health and the diversity it supports. </w:t>
            </w:r>
          </w:p>
          <w:p w14:paraId="633C5C86"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676" w:type="dxa"/>
            <w:gridSpan w:val="2"/>
            <w:tcBorders>
              <w:top w:val="double" w:sz="4" w:space="0" w:color="auto"/>
            </w:tcBorders>
          </w:tcPr>
          <w:p w14:paraId="1DB66071" w14:textId="77777777" w:rsidR="00153098" w:rsidRPr="00EE4762" w:rsidRDefault="00153098" w:rsidP="00153098">
            <w:pPr>
              <w:numPr>
                <w:ilvl w:val="0"/>
                <w:numId w:val="4"/>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sz w:val="18"/>
                <w:szCs w:val="18"/>
              </w:rPr>
              <w:t>Land Cover classifications</w:t>
            </w:r>
          </w:p>
        </w:tc>
        <w:tc>
          <w:tcPr>
            <w:tcW w:w="2610" w:type="dxa"/>
            <w:tcBorders>
              <w:top w:val="double" w:sz="4" w:space="0" w:color="auto"/>
            </w:tcBorders>
          </w:tcPr>
          <w:p w14:paraId="789E87C5" w14:textId="0754FE64" w:rsidR="00153098"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EE4762">
              <w:rPr>
                <w:rFonts w:ascii="Times New Roman" w:eastAsia="Calibri" w:hAnsi="Times New Roman" w:cs="Times New Roman"/>
                <w:b/>
                <w:bCs/>
                <w:sz w:val="18"/>
                <w:szCs w:val="18"/>
              </w:rPr>
              <w:t>Global Dynamic Land Cover</w:t>
            </w:r>
            <w:r w:rsidRPr="00EE4762">
              <w:rPr>
                <w:rFonts w:ascii="Times New Roman" w:eastAsia="Calibri" w:hAnsi="Times New Roman" w:cs="Times New Roman"/>
                <w:sz w:val="18"/>
                <w:szCs w:val="18"/>
              </w:rPr>
              <w:t xml:space="preserve"> (Copernicus) – an annual global land cover dataset and fractional layers provide land cover information at different classification levels. </w:t>
            </w:r>
          </w:p>
          <w:p w14:paraId="1278BCE4" w14:textId="3B0DCA51" w:rsidR="00437D43" w:rsidRPr="00EE4762" w:rsidRDefault="00437D43"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37D43">
              <w:rPr>
                <w:rFonts w:ascii="Times New Roman" w:eastAsia="Calibri" w:hAnsi="Times New Roman" w:cs="Times New Roman"/>
                <w:sz w:val="18"/>
                <w:szCs w:val="18"/>
              </w:rPr>
              <w:t>https://land.copernicus.eu/en/products/global-dynamic-land-cover</w:t>
            </w:r>
          </w:p>
          <w:p w14:paraId="74CB7DA9"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p w14:paraId="3DA0A838" w14:textId="553CF413"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GLAD Global Land Cover and Land Use Change</w:t>
            </w:r>
            <w:r w:rsidRPr="00EE4762">
              <w:rPr>
                <w:rFonts w:ascii="Times New Roman" w:eastAsia="Calibri" w:hAnsi="Times New Roman" w:cs="Times New Roman"/>
                <w:sz w:val="18"/>
                <w:szCs w:val="18"/>
              </w:rPr>
              <w:t xml:space="preserve"> 2000-2020 - 30m resolution dataset with a focus on quantifying changes in forest extent, cropland, developed lands, surface water, and perennial snow and ice extent </w:t>
            </w:r>
            <w:r w:rsidR="00437D43">
              <w:rPr>
                <w:rFonts w:ascii="Times New Roman" w:eastAsia="Calibri" w:hAnsi="Times New Roman" w:cs="Times New Roman"/>
                <w:sz w:val="18"/>
                <w:szCs w:val="18"/>
              </w:rPr>
              <w:fldChar w:fldCharType="begin"/>
            </w:r>
            <w:r w:rsidR="00437D43">
              <w:rPr>
                <w:rFonts w:ascii="Times New Roman" w:eastAsia="Calibri" w:hAnsi="Times New Roman" w:cs="Times New Roman"/>
                <w:sz w:val="18"/>
                <w:szCs w:val="18"/>
              </w:rPr>
              <w:instrText xml:space="preserve"> ADDIN ZOTERO_ITEM CSL_CITATION {"citationID":"wxzhaygC","properties":{"unsorted":false,"formattedCitation":"(Potapov et al. 2022)","plainCitation":"(Potapov et al. 2022)","noteIndex":0},"citationItems":[{"id":265,"uris":["http://zotero.org/users/local/7LdNCqot/items/U73UFKN8"],"itemData":{"id":265,"type":"article-journal","abstract":"Recent advances in Landsat archive data processing and characterization enhanced our capacity to map land cover and land use globally with higher precision, temporal frequency, and thematic detail. Here, we present the first results from a project aimed at annual multidecadal land monitoring providing critical information for tracking global progress towards sustainable development. The global 30-m spatial resolution dataset quantifies changes in forest extent and height, cropland, built-up lands, surface water, and perennial snow and ice extent from the year 2000 to 2020. Landsat Analysis Ready Data served as an input for land cover and use mapping. Each thematic product was independently derived using locally and regionally calibrated machine learning tools. Thematic maps validation using a statistical sample of reference data confirmed their high accuracy (user’s and producer’s accuracies above 85% for all land cover and land use themes, except for built-up lands). Our results revealed dramatic changes in global land cover and land use over the past twenty years. The bitemporal dataset is publicly available and serves as a first input for the global land monitoring system.","container-title":"Frontiers in Remote Sensing","DOI":"10.3389/frsen.2022.856903","ISSN":"2673-6187","journalAbbreviation":"Front. Remote Sens.","language":"English","publisher":"Frontiers","source":"Frontiers","title":"The Global 2000-2020 Land Cover and Land Use Change Dataset Derived From the Landsat Archive: First Results","title-short":"The Global 2000-2020 Land Cover and Land Use Change Dataset Derived From the Landsat Archive","URL":"https://www.frontiersin.org/journals/remote-sensing/articles/10.3389/frsen.2022.856903/full","volume":"3","author":[{"family":"Potapov","given":"Peter"},{"family":"Hansen","given":"Matthew C."},{"family":"Pickens","given":"Amy"},{"family":"Hernandez-Serna","given":"Andres"},{"family":"Tyukavina","given":"Alexandra"},{"family":"Turubanova","given":"Svetlana"},{"family":"Zalles","given":"Viviana"},{"family":"Li","given":"Xinyuan"},{"family":"Khan","given":"Ahmad"},{"family":"Stolle","given":"Fred"},{"family":"Harris","given":"Nancy"},{"family":"Song","given":"Xiao-Peng"},{"family":"Baggett","given":"Antoine"},{"family":"Kommareddy","given":"Indrani"},{"family":"Kommareddy","given":"Anil"}],"accessed":{"date-parts":[["2026",6,16]]},"issued":{"date-parts":[["2022",4,13]]}}}],"schema":"https://github.com/citation-style-language/schema/raw/master/csl-citation.json"} </w:instrText>
            </w:r>
            <w:r w:rsidR="00437D43">
              <w:rPr>
                <w:rFonts w:ascii="Times New Roman" w:eastAsia="Calibri" w:hAnsi="Times New Roman" w:cs="Times New Roman"/>
                <w:sz w:val="18"/>
                <w:szCs w:val="18"/>
              </w:rPr>
              <w:fldChar w:fldCharType="separate"/>
            </w:r>
            <w:r w:rsidR="00437D43" w:rsidRPr="00437D43">
              <w:rPr>
                <w:rFonts w:ascii="Times New Roman" w:hAnsi="Times New Roman" w:cs="Times New Roman"/>
                <w:sz w:val="18"/>
              </w:rPr>
              <w:t>(Potapov et al. 2022)</w:t>
            </w:r>
            <w:r w:rsidR="00437D43">
              <w:rPr>
                <w:rFonts w:ascii="Times New Roman" w:eastAsia="Calibri" w:hAnsi="Times New Roman" w:cs="Times New Roman"/>
                <w:sz w:val="18"/>
                <w:szCs w:val="18"/>
              </w:rPr>
              <w:fldChar w:fldCharType="end"/>
            </w:r>
            <w:r w:rsidR="00437D43">
              <w:rPr>
                <w:rFonts w:ascii="Times New Roman" w:eastAsia="Calibri" w:hAnsi="Times New Roman" w:cs="Times New Roman"/>
                <w:sz w:val="18"/>
              </w:rPr>
              <w:t>.</w:t>
            </w:r>
          </w:p>
          <w:p w14:paraId="57622E81" w14:textId="444B928A" w:rsidR="00153098" w:rsidRDefault="00437D43"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hyperlink r:id="rId5" w:history="1">
              <w:r w:rsidRPr="00A41FAB">
                <w:rPr>
                  <w:rStyle w:val="Hyperlink"/>
                  <w:rFonts w:ascii="Times New Roman" w:eastAsia="Calibri" w:hAnsi="Times New Roman" w:cs="Times New Roman"/>
                  <w:sz w:val="18"/>
                  <w:szCs w:val="18"/>
                </w:rPr>
                <w:t>https://glad.umd.edu/dataset/GLCLUC2020</w:t>
              </w:r>
            </w:hyperlink>
          </w:p>
          <w:p w14:paraId="37AF7B94" w14:textId="77777777" w:rsidR="00437D43" w:rsidRPr="00EE4762" w:rsidRDefault="00437D43"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p w14:paraId="6C9EF39C" w14:textId="4EC70378" w:rsidR="00153098"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Global Forest Change</w:t>
            </w:r>
            <w:r w:rsidRPr="00EE4762">
              <w:rPr>
                <w:rFonts w:ascii="Times New Roman" w:eastAsia="Calibri" w:hAnsi="Times New Roman" w:cs="Times New Roman"/>
                <w:sz w:val="18"/>
                <w:szCs w:val="18"/>
              </w:rPr>
              <w:t xml:space="preserve"> – Forest Cover change from 2000-2023 and percent tree cover dataset</w:t>
            </w:r>
            <w:r w:rsidR="00437D43">
              <w:rPr>
                <w:rFonts w:ascii="Times New Roman" w:eastAsia="Calibri" w:hAnsi="Times New Roman" w:cs="Times New Roman"/>
                <w:sz w:val="18"/>
                <w:szCs w:val="18"/>
              </w:rPr>
              <w:t xml:space="preserve"> </w:t>
            </w:r>
            <w:r w:rsidR="00437D43">
              <w:rPr>
                <w:rFonts w:ascii="Times New Roman" w:eastAsia="Calibri" w:hAnsi="Times New Roman" w:cs="Times New Roman"/>
                <w:sz w:val="18"/>
                <w:szCs w:val="18"/>
              </w:rPr>
              <w:fldChar w:fldCharType="begin"/>
            </w:r>
            <w:r w:rsidR="00437D43">
              <w:rPr>
                <w:rFonts w:ascii="Times New Roman" w:eastAsia="Calibri" w:hAnsi="Times New Roman" w:cs="Times New Roman"/>
                <w:sz w:val="18"/>
                <w:szCs w:val="18"/>
              </w:rPr>
              <w:instrText xml:space="preserve"> ADDIN ZOTERO_ITEM CSL_CITATION {"citationID":"cD4pbMlD","properties":{"unsorted":false,"formattedCitation":"(Hansen et al. 2013)","plainCitation":"(Hansen et al. 2013)","noteIndex":0},"citationItems":[{"id":269,"uris":["http://zotero.org/users/local/7LdNCqot/items/ASUTP6W8"],"itemData":{"id":269,"type":"article-journal","abstract":"Quantification of global forest change has been lacking despite the recognized importance of forest ecosystem services. In this study, Earth observation satellite data were used to map global forest loss (2.3 million square kilometers) and gain (0.8 million square kilometers) from 2000 to 2012 at a spatial resolution of 30 meters. The tropics were the only climate domain to exhibit a trend, with forest loss increasing by 2101 square kilometers per year. Brazil’s well-documented reduction in deforestation was offset by increasing forest loss in Indonesia, Malaysia, Paraguay, Bolivia, Zambia, Angola, and elsewhere. Intensive forestry practiced within subtropical forests resulted in the highest rates of forest change globally. Boreal forest loss due largely to fire and forestry was second to that in the tropics in absolute and proportional terms. These results depict a globally consistent and locally relevant record of forest change.","container-title":"Science","DOI":"10.1126/science.1244693","issue":"6160","page":"850-853","publisher":"American Association for the Advancement of Science","source":"science.org (Atypon)","title":"High-Resolution Global Maps of 21st-Century Forest Cover Change","volume":"342","author":[{"family":"Hansen","given":"M. C."},{"family":"Potapov","given":"P. V."},{"family":"Moore","given":"R."},{"family":"Hancher","given":"M."},{"family":"Turubanova","given":"S. A."},{"family":"Tyukavina","given":"A."},{"family":"Thau","given":"D."},{"family":"Stehman","given":"S. V."},{"family":"Goetz","given":"S. J."},{"family":"Loveland","given":"T. R."},{"family":"Kommareddy","given":"A."},{"family":"Egorov","given":"A."},{"family":"Chini","given":"L."},{"family":"Justice","given":"C. O."},{"family":"Townshend","given":"J. R. G."}],"issued":{"date-parts":[["2013",11,15]]}}}],"schema":"https://github.com/citation-style-language/schema/raw/master/csl-citation.json"} </w:instrText>
            </w:r>
            <w:r w:rsidR="00437D43">
              <w:rPr>
                <w:rFonts w:ascii="Times New Roman" w:eastAsia="Calibri" w:hAnsi="Times New Roman" w:cs="Times New Roman"/>
                <w:sz w:val="18"/>
                <w:szCs w:val="18"/>
              </w:rPr>
              <w:fldChar w:fldCharType="separate"/>
            </w:r>
            <w:r w:rsidR="00437D43" w:rsidRPr="00437D43">
              <w:rPr>
                <w:rFonts w:ascii="Times New Roman" w:hAnsi="Times New Roman" w:cs="Times New Roman"/>
                <w:sz w:val="18"/>
              </w:rPr>
              <w:t>(Hansen et al. 2013)</w:t>
            </w:r>
            <w:r w:rsidR="00437D43">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w:t>
            </w:r>
          </w:p>
          <w:p w14:paraId="77C3F12A" w14:textId="11E515DA" w:rsidR="00437D43" w:rsidRPr="00EE4762" w:rsidRDefault="00437D43"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37D43">
              <w:rPr>
                <w:rFonts w:ascii="Times New Roman" w:eastAsia="Calibri" w:hAnsi="Times New Roman" w:cs="Times New Roman"/>
                <w:sz w:val="18"/>
                <w:szCs w:val="18"/>
              </w:rPr>
              <w:t>https://storage.googleapis.com/earthenginepartners-hansen/GFC-2023-v1.11/download.html</w:t>
            </w:r>
          </w:p>
          <w:p w14:paraId="4C775285"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p w14:paraId="18A58B57" w14:textId="18C75F97" w:rsidR="00153098"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rPr>
            </w:pPr>
            <w:r w:rsidRPr="00EE4762">
              <w:rPr>
                <w:rFonts w:ascii="Times New Roman" w:eastAsia="Calibri" w:hAnsi="Times New Roman" w:cs="Times New Roman"/>
                <w:b/>
                <w:bCs/>
                <w:sz w:val="18"/>
                <w:szCs w:val="18"/>
              </w:rPr>
              <w:t xml:space="preserve">Dynamic World </w:t>
            </w:r>
            <w:r w:rsidR="00437D43" w:rsidRPr="00EE4762">
              <w:rPr>
                <w:rFonts w:ascii="Times New Roman" w:eastAsia="Calibri" w:hAnsi="Times New Roman" w:cs="Times New Roman"/>
                <w:sz w:val="18"/>
                <w:szCs w:val="18"/>
              </w:rPr>
              <w:t xml:space="preserve">– </w:t>
            </w:r>
            <w:r w:rsidRPr="00EE4762">
              <w:rPr>
                <w:rFonts w:ascii="Times New Roman" w:eastAsia="Calibri" w:hAnsi="Times New Roman" w:cs="Times New Roman"/>
                <w:sz w:val="18"/>
                <w:szCs w:val="18"/>
              </w:rPr>
              <w:t>A near real-time 10m land cover dataset tracking 9 land use and cover types (water, trees, grass, crops, shrub &amp; scrub, flooded vegetation, build-up area, bare ground, and snow &amp; ice)</w:t>
            </w:r>
            <w:r w:rsidR="00437D43">
              <w:rPr>
                <w:rFonts w:ascii="Times New Roman" w:eastAsia="Calibri" w:hAnsi="Times New Roman" w:cs="Times New Roman"/>
                <w:sz w:val="18"/>
                <w:szCs w:val="18"/>
              </w:rPr>
              <w:t xml:space="preserve"> </w:t>
            </w:r>
            <w:r w:rsidR="00437D43">
              <w:rPr>
                <w:rFonts w:ascii="Times New Roman" w:eastAsia="Calibri" w:hAnsi="Times New Roman" w:cs="Times New Roman"/>
                <w:sz w:val="18"/>
                <w:szCs w:val="18"/>
              </w:rPr>
              <w:fldChar w:fldCharType="begin"/>
            </w:r>
            <w:r w:rsidR="00437D43">
              <w:rPr>
                <w:rFonts w:ascii="Times New Roman" w:eastAsia="Calibri" w:hAnsi="Times New Roman" w:cs="Times New Roman"/>
                <w:sz w:val="18"/>
                <w:szCs w:val="18"/>
              </w:rPr>
              <w:instrText xml:space="preserve"> ADDIN ZOTERO_ITEM CSL_CITATION {"citationID":"T03O9qdY","properties":{"unsorted":false,"formattedCitation":"(Brown et al. 2022)","plainCitation":"(Brown et al. 2022)","noteIndex":0},"citationItems":[{"id":270,"uris":["http://zotero.org/users/local/7LdNCqot/items/CW9L6RYD"],"itemData":{"id":270,"type":"article-journal","abstract":"Unlike satellite images, which are typically acquired and processed in near-real-time, global land cover products have historically been produced on an annual basis, often with substantial lag times between image processing and dataset release. We developed a new automated approach for globally consistent, high resolution, near real-time (NRT) land use land cover (LULC) classification leveraging deep learning on 10 m Sentinel-2 imagery. We utilize a highly scalable cloud-based system to apply this approach and provide an open, continuous feed of LULC predictions in parallel with Sentinel-2 acquisitions. This first-of-its-kind NRT product, which we collectively refer to as Dynamic World, accommodates a variety of user needs ranging from extremely up-to-date LULC data to custom global composites representing user-specified date ranges. Furthermore, the continuous nature of the product’s outputs enables refinement, extension, and even redefinition of the LULC classification. In combination, these unique attributes enable unprecedented flexibility for a diverse community of users across a variety of disciplines.","container-title":"Scientific Data","DOI":"10.1038/s41597-022-01307-4","ISSN":"2052-4463","issue":"1","journalAbbreviation":"Sci Data","language":"en","license":"2022 The Author(s)","page":"251","publisher":"Nature Publishing Group","source":"www.nature.com","title":"Dynamic World, Near real-time global 10 m land use land cover mapping","volume":"9","author":[{"family":"Brown","given":"Christopher F."},{"family":"Brumby","given":"Steven P."},{"family":"Guzder-Williams","given":"Brookie"},{"family":"Birch","given":"Tanya"},{"family":"Hyde","given":"Samantha Brooks"},{"family":"Mazzariello","given":"Joseph"},{"family":"Czerwinski","given":"Wanda"},{"family":"Pasquarella","given":"Valerie J."},{"family":"Haertel","given":"Robert"},{"family":"Ilyushchenko","given":"Simon"},{"family":"Schwehr","given":"Kurt"},{"family":"Weisse","given":"Mikaela"},{"family":"Stolle","given":"Fred"},{"family":"Hanson","given":"Craig"},{"family":"Guinan","given":"Oliver"},{"family":"Moore","given":"Rebecca"},{"family":"Tait","given":"Alexander M."}],"issued":{"date-parts":[["2022",6,9]]}}}],"schema":"https://github.com/citation-style-language/schema/raw/master/csl-citation.json"} </w:instrText>
            </w:r>
            <w:r w:rsidR="00437D43">
              <w:rPr>
                <w:rFonts w:ascii="Times New Roman" w:eastAsia="Calibri" w:hAnsi="Times New Roman" w:cs="Times New Roman"/>
                <w:sz w:val="18"/>
                <w:szCs w:val="18"/>
              </w:rPr>
              <w:fldChar w:fldCharType="separate"/>
            </w:r>
            <w:r w:rsidR="00437D43" w:rsidRPr="00437D43">
              <w:rPr>
                <w:rFonts w:ascii="Times New Roman" w:hAnsi="Times New Roman" w:cs="Times New Roman"/>
                <w:sz w:val="18"/>
              </w:rPr>
              <w:t>(Brown et al. 2022)</w:t>
            </w:r>
            <w:r w:rsidR="00437D43">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w:t>
            </w:r>
          </w:p>
          <w:p w14:paraId="005E8DE2" w14:textId="60C50298" w:rsidR="00437D43" w:rsidRPr="00EE4762" w:rsidRDefault="00437D43"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37D43">
              <w:rPr>
                <w:rFonts w:ascii="Times New Roman" w:eastAsia="Calibri" w:hAnsi="Times New Roman" w:cs="Times New Roman"/>
                <w:sz w:val="18"/>
                <w:szCs w:val="18"/>
              </w:rPr>
              <w:lastRenderedPageBreak/>
              <w:t>https://dynamicworld.app/</w:t>
            </w:r>
          </w:p>
          <w:p w14:paraId="21DF45F9"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p w14:paraId="0D8C323C"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18"/>
                <w:szCs w:val="18"/>
              </w:rPr>
            </w:pPr>
            <w:r w:rsidRPr="00EE4762">
              <w:rPr>
                <w:rFonts w:ascii="Times New Roman" w:eastAsia="Calibri" w:hAnsi="Times New Roman" w:cs="Times New Roman"/>
                <w:sz w:val="18"/>
                <w:szCs w:val="18"/>
              </w:rPr>
              <w:t>Habitat maps, Important Plant Areas (IPA)</w:t>
            </w:r>
          </w:p>
        </w:tc>
      </w:tr>
      <w:tr w:rsidR="00153098" w:rsidRPr="00EE4762" w14:paraId="3BCB72BA" w14:textId="77777777" w:rsidTr="0024038B">
        <w:trPr>
          <w:trHeight w:val="575"/>
        </w:trPr>
        <w:tc>
          <w:tcPr>
            <w:cnfStyle w:val="001000000000" w:firstRow="0" w:lastRow="0" w:firstColumn="1" w:lastColumn="0" w:oddVBand="0" w:evenVBand="0" w:oddHBand="0" w:evenHBand="0" w:firstRowFirstColumn="0" w:firstRowLastColumn="0" w:lastRowFirstColumn="0" w:lastRowLastColumn="0"/>
            <w:tcW w:w="1165" w:type="dxa"/>
            <w:vMerge/>
            <w:textDirection w:val="btLr"/>
            <w:vAlign w:val="center"/>
          </w:tcPr>
          <w:p w14:paraId="1B222AC7" w14:textId="77777777" w:rsidR="00153098" w:rsidRPr="00EE4762" w:rsidRDefault="00153098" w:rsidP="0024038B">
            <w:pPr>
              <w:ind w:left="113" w:right="113"/>
              <w:jc w:val="center"/>
              <w:rPr>
                <w:rFonts w:ascii="Times New Roman" w:eastAsia="Calibri" w:hAnsi="Times New Roman" w:cs="Times New Roman"/>
              </w:rPr>
            </w:pPr>
          </w:p>
        </w:tc>
        <w:tc>
          <w:tcPr>
            <w:tcW w:w="900" w:type="dxa"/>
            <w:vMerge/>
            <w:tcBorders>
              <w:bottom w:val="single" w:sz="4" w:space="0" w:color="FFFFFF"/>
            </w:tcBorders>
            <w:shd w:val="clear" w:color="auto" w:fill="auto"/>
            <w:textDirection w:val="btLr"/>
            <w:vAlign w:val="center"/>
          </w:tcPr>
          <w:p w14:paraId="08CFDB8E" w14:textId="77777777" w:rsidR="00153098" w:rsidRPr="00EE4762" w:rsidRDefault="00153098" w:rsidP="0024038B">
            <w:pPr>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2250" w:type="dxa"/>
          </w:tcPr>
          <w:p w14:paraId="29268019"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Ecosystems</w:t>
            </w:r>
          </w:p>
        </w:tc>
        <w:tc>
          <w:tcPr>
            <w:tcW w:w="2430" w:type="dxa"/>
          </w:tcPr>
          <w:p w14:paraId="450D0AAF" w14:textId="7CD1FAFC"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Ecosystems are characterized by interactions of living organisms with their abiotic environments and are often represented by proxy datasets such as known aggregation areas or critical habitat areas for important biodiversity assets.  Land </w:t>
            </w:r>
            <w:r w:rsidR="000B4BF6">
              <w:rPr>
                <w:rFonts w:ascii="Times New Roman" w:eastAsia="Calibri" w:hAnsi="Times New Roman" w:cs="Times New Roman"/>
                <w:sz w:val="18"/>
                <w:szCs w:val="18"/>
              </w:rPr>
              <w:t>c</w:t>
            </w:r>
            <w:r w:rsidRPr="00EE4762">
              <w:rPr>
                <w:rFonts w:ascii="Times New Roman" w:eastAsia="Calibri" w:hAnsi="Times New Roman" w:cs="Times New Roman"/>
                <w:sz w:val="18"/>
                <w:szCs w:val="18"/>
              </w:rPr>
              <w:t xml:space="preserve">over datasets such as those above can also be manipulated to represent important ecological processes e.g., movement of organisms at different trophic levels.  </w:t>
            </w:r>
          </w:p>
        </w:tc>
        <w:tc>
          <w:tcPr>
            <w:tcW w:w="2676" w:type="dxa"/>
            <w:gridSpan w:val="2"/>
          </w:tcPr>
          <w:p w14:paraId="205FBFFB" w14:textId="77777777" w:rsidR="00153098" w:rsidRPr="00EE4762" w:rsidRDefault="00153098" w:rsidP="00153098">
            <w:pPr>
              <w:numPr>
                <w:ilvl w:val="0"/>
                <w:numId w:val="5"/>
              </w:numPr>
              <w:spacing w:line="259" w:lineRule="auto"/>
              <w:ind w:left="433"/>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Protected areas</w:t>
            </w:r>
          </w:p>
          <w:p w14:paraId="1454C2F3" w14:textId="77777777" w:rsidR="00153098" w:rsidRPr="00EE4762" w:rsidRDefault="00153098" w:rsidP="00153098">
            <w:pPr>
              <w:numPr>
                <w:ilvl w:val="0"/>
                <w:numId w:val="5"/>
              </w:numPr>
              <w:spacing w:line="259" w:lineRule="auto"/>
              <w:ind w:left="433"/>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Important biodiversity areas</w:t>
            </w:r>
          </w:p>
          <w:p w14:paraId="12C791B0" w14:textId="77777777" w:rsidR="00153098" w:rsidRPr="00EE4762" w:rsidRDefault="00153098" w:rsidP="00153098">
            <w:pPr>
              <w:numPr>
                <w:ilvl w:val="0"/>
                <w:numId w:val="5"/>
              </w:numPr>
              <w:ind w:left="433"/>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Landscape condition</w:t>
            </w:r>
          </w:p>
          <w:p w14:paraId="0D2CC344"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2610" w:type="dxa"/>
          </w:tcPr>
          <w:p w14:paraId="4BF75C04" w14:textId="312A469A" w:rsidR="00437D43"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Condition</w:t>
            </w:r>
            <w:r w:rsidRPr="00EE4762">
              <w:rPr>
                <w:rFonts w:ascii="Times New Roman" w:eastAsia="Calibri" w:hAnsi="Times New Roman" w:cs="Times New Roman"/>
                <w:sz w:val="18"/>
                <w:szCs w:val="18"/>
              </w:rPr>
              <w:t>:</w:t>
            </w:r>
            <w:r w:rsidRPr="00EE4762">
              <w:rPr>
                <w:rFonts w:ascii="Times New Roman" w:eastAsia="Calibri" w:hAnsi="Times New Roman" w:cs="Times New Roman"/>
                <w:sz w:val="18"/>
                <w:szCs w:val="18"/>
              </w:rPr>
              <w:br/>
              <w:t>The “Forest Integrity Index”</w:t>
            </w:r>
            <w:r w:rsidR="00437D43">
              <w:rPr>
                <w:rFonts w:ascii="Times New Roman" w:eastAsia="Calibri" w:hAnsi="Times New Roman" w:cs="Times New Roman"/>
                <w:sz w:val="18"/>
                <w:szCs w:val="18"/>
              </w:rPr>
              <w:t xml:space="preserve"> </w:t>
            </w:r>
            <w:r w:rsidRPr="00EE4762">
              <w:rPr>
                <w:rFonts w:ascii="Times New Roman" w:eastAsia="Calibri" w:hAnsi="Times New Roman" w:cs="Times New Roman"/>
                <w:sz w:val="18"/>
                <w:szCs w:val="18"/>
              </w:rPr>
              <w:t>represents forest condition based on observed and inferred human pressures and forest connectivity loss</w:t>
            </w:r>
            <w:r w:rsidR="00437D43">
              <w:rPr>
                <w:rFonts w:ascii="Times New Roman" w:eastAsia="Calibri" w:hAnsi="Times New Roman" w:cs="Times New Roman"/>
                <w:sz w:val="18"/>
                <w:szCs w:val="18"/>
              </w:rPr>
              <w:t xml:space="preserve"> </w:t>
            </w:r>
            <w:r w:rsidR="00437D43">
              <w:rPr>
                <w:rFonts w:ascii="Times New Roman" w:eastAsia="Calibri" w:hAnsi="Times New Roman" w:cs="Times New Roman"/>
                <w:sz w:val="18"/>
                <w:szCs w:val="18"/>
              </w:rPr>
              <w:fldChar w:fldCharType="begin"/>
            </w:r>
            <w:r w:rsidR="002F17BD">
              <w:rPr>
                <w:rFonts w:ascii="Times New Roman" w:eastAsia="Calibri" w:hAnsi="Times New Roman" w:cs="Times New Roman"/>
                <w:sz w:val="18"/>
                <w:szCs w:val="18"/>
              </w:rPr>
              <w:instrText xml:space="preserve"> ADDIN ZOTERO_ITEM CSL_CITATION {"citationID":"gTYsW77g","properties":{"unsorted":false,"formattedCitation":"(Grantham et al. 2020)","plainCitation":"(Grantham et al. 2020)","noteIndex":0},"citationItems":[{"id":"X0yxryBb/Z5w0CD7d","uris":["http://zotero.org/users/local/7LdNCqot/items/5L2AFB2W"],"itemData":{"id":58,"type":"article-journal","abstract":"Many global environmental agendas, including halting biodiversity loss , reversing land degradation, and limiting climate change, depend upon retaining forests with high ecological integrity, yet the scale and d egree of forest modification remain poorly quantified and mapped. By i ntegrating data on observed and inferred human pressures and an index of lost connectivity, we generate a globally consistent, continuous in dex of forest condition as determined by the degree of anthropogenic m odification. Globally, only 17.4 million km2 of forest (40.5%) has hig h landscape-level integrity (mostly found in Canada, Russia, the Amazo n, Central Africa, and New Guinea) and only 27% of this area is found in nationally designated protected areas. Of the forest inside protect ed areas, only 56% has high landscape-level integrity. Ambitious polic ies that prioritize the retention of forest integrity, especially in t he most intact areas, are now urgently needed alongside current effort s aimed at halting deforestation and restoring the integrity of forest s globally.","archive":"www.nature.com","container-title":"Nature Communications","DOI":"10.1038/s41467-020-19493-3","ISSN":"2041-1723","issue":"1","language":"en","page":"5978","title":"Anthropogenic modification of forests means only 40% of remaining fore sts have high ecosystem integrity","volume":"11","author":[{"family":"Grantham","given":"H. S."},{"family":"Duncan","given":"A."},{"family":"Evans","given":"T. D."},{"family":"Jones","given":"K. R."},{"family":"Beyer","given":"H. L."},{"family":"Schuster","given":"R."},{"family":"Walston","given":"J."},{"family":"Ray","given":"J. C."},{"family":"Robinson","given":"J. G."},{"family":"Callow","given":"M."},{"family":"Clements","given":"T."},{"family":"Costa","given":"H. M."},{"family":"DeGemmis","given":"A."},{"family":"Elsen","given":"P. R."},{"family":"Ervin","given":"J."},{"family":"Franco","given":"P."},{"family":"Goldman","given":"E."},{"family":"Goetz","given":"S."},{"family":"Hansen","given":"A."},{"family":"Hofsvang","given":"E."},{"family":"Jantz","given":"P."},{"family":"Jupiter","given":"S."},{"family":"Kang","given":"A."},{"family":"Langhammer","given":"P."},{"family":"Laurance","given":"W. F."},{"family":"Lieberman","given":"S."},{"family":"Linkie","given":"M."},{"family":"Malhi","given":"Y."},{"family":"Maxwell","given":"S."},{"family":"Mendez","given":"M."},{"family":"Mittermeier","given":"R."},{"family":"Murray","given":"N. J."},{"family":"Possingham","given":"H."},{"family":"Radachowsky","given":"J."},{"family":"Saatchi","given":"S."},{"family":"Samper","given":"C."},{"family":"Silverman","given":"J."},{"family":"Shapiro","given":"A."},{"family":"Strassburg","given":"B."},{"family":"Stevens","given":"T."},{"family":"Stokes","given":"E."},{"family":"Taylor","given":"R."},{"family":"Tear","given":"T."},{"family":"Tizard","given":"R."},{"family":"Venter","given":"O."},{"family":"Visconti","given":"P."},{"family":"Wang","given":"S."},{"family":"Watson","given":"J. E. M."}],"issued":{"date-parts":[["2020",12,8]]}}}],"schema":"https://github.com/citation-style-language/schema/raw/master/csl-citation.json"} </w:instrText>
            </w:r>
            <w:r w:rsidR="00437D43">
              <w:rPr>
                <w:rFonts w:ascii="Times New Roman" w:eastAsia="Calibri" w:hAnsi="Times New Roman" w:cs="Times New Roman"/>
                <w:sz w:val="18"/>
                <w:szCs w:val="18"/>
              </w:rPr>
              <w:fldChar w:fldCharType="separate"/>
            </w:r>
            <w:r w:rsidR="00437D43" w:rsidRPr="00437D43">
              <w:rPr>
                <w:rFonts w:ascii="Times New Roman" w:hAnsi="Times New Roman" w:cs="Times New Roman"/>
                <w:sz w:val="18"/>
              </w:rPr>
              <w:t>(Grantham et al. 2020)</w:t>
            </w:r>
            <w:r w:rsidR="00437D43">
              <w:rPr>
                <w:rFonts w:ascii="Times New Roman" w:eastAsia="Calibri" w:hAnsi="Times New Roman" w:cs="Times New Roman"/>
                <w:sz w:val="18"/>
                <w:szCs w:val="18"/>
              </w:rPr>
              <w:fldChar w:fldCharType="end"/>
            </w:r>
            <w:r w:rsidR="00437D43">
              <w:rPr>
                <w:rFonts w:ascii="Times New Roman" w:eastAsia="Calibri" w:hAnsi="Times New Roman" w:cs="Times New Roman"/>
                <w:sz w:val="18"/>
                <w:szCs w:val="18"/>
              </w:rPr>
              <w:t>.</w:t>
            </w:r>
          </w:p>
          <w:p w14:paraId="378F99F2" w14:textId="2874A80B"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“Free-flowing rivers” provides spatial data on the distribution, condition and connectivity of river reaches</w:t>
            </w:r>
            <w:r w:rsidR="00437D43">
              <w:rPr>
                <w:rFonts w:ascii="Times New Roman" w:eastAsia="Calibri" w:hAnsi="Times New Roman" w:cs="Times New Roman"/>
                <w:sz w:val="18"/>
                <w:szCs w:val="18"/>
              </w:rPr>
              <w:t xml:space="preserve"> </w:t>
            </w:r>
            <w:r w:rsidR="00437D43">
              <w:rPr>
                <w:rFonts w:ascii="Times New Roman" w:eastAsia="Calibri" w:hAnsi="Times New Roman" w:cs="Times New Roman"/>
                <w:sz w:val="18"/>
                <w:szCs w:val="18"/>
              </w:rPr>
              <w:fldChar w:fldCharType="begin"/>
            </w:r>
            <w:r w:rsidR="00437D43">
              <w:rPr>
                <w:rFonts w:ascii="Times New Roman" w:eastAsia="Calibri" w:hAnsi="Times New Roman" w:cs="Times New Roman"/>
                <w:sz w:val="18"/>
                <w:szCs w:val="18"/>
              </w:rPr>
              <w:instrText xml:space="preserve"> ADDIN ZOTERO_ITEM CSL_CITATION {"citationID":"bxu9nyAc","properties":{"unsorted":false,"formattedCitation":"(Grill et al. 2019)","plainCitation":"(Grill et al. 2019)","noteIndex":0},"citationItems":[{"id":56,"uris":["http://zotero.org/users/local/7LdNCqot/items/ANVTM5NQ"],"itemData":{"id":56,"type":"article-journal","abstract":"Free-flowing rivers (FFRs) support diverse, complex and dynamic ecosys tems globally, providing important societal and economic services. Inf rastructure development threatens the ecosystem processes, biodiversit y and services that these rivers support. Here we assess the connectiv ity status of 12 million kilometres of rivers globally and identify th ose that remain free-flowing in their entire length. Only 37 per cent of rivers longer than 1,000 kilometres remain free-flowing over their entire length and 23 per cent flow uninterrupted to the ocean. Very lo ng FFRs are largely restricted to remote regions of the Arctic and of the Amazon and Congo basins. In densely populated areas only few very long rivers remain free-flowing, such as the Irrawaddy and Salween. Da ms and reservoirs and their up- and downstream propagation of fragment ation and flow regulation are the leading contributors to the loss of river connectivity. By applying a new method to quantify riverine conn ectivity and map FFRs, we provide a foundation for concerted global an d national strategies to maintain or restore them.","archive":"www.nature.com","container-title":"Nature","DOI":"10.1038/s41586-019-1111-9","ISSN":"1476-4687","issue":"7755","language":"en","page":"215-221","title":"Mapping the world’s free-flowing rivers","volume":"569","author":[{"family":"Grill","given":"G."},{"family":"Lehner","given":"B."},{"family":"Thieme","given":"M."},{"family":"Geenen","given":"B."},{"family":"Tickner","given":"D."},{"family":"Antonelli","given":"F."},{"family":"Babu","given":"S."},{"family":"Borrelli","given":"P."},{"family":"Cheng","given":"L."},{"family":"Crochetiere","given":"H."},{"family":"Ehalt Macedo","given":"H."},{"family":"Filgueiras","given":"R."},{"family":"Goichot","given":"M."},{"family":"Higgins","given":"J."},{"family":"Hogan","given":"Z."},{"family":"Lip","given":"B."},{"family":"McClain","given":"M. E."},{"family":"Meng","given":"J."},{"family":"Mulligan","given":"M."},{"family":"Nilsson","given":"C."},{"family":"Olden","given":"J. D."},{"family":"Opperman","given":"J. J."},{"family":"Petry","given":"P."},{"family":"Reidy Liermann","given":"C."},{"family":"Sáenz","given":"L."},{"family":"Salinas-Rodríguez","given":"S."},{"family":"Schelle","given":"P."},{"family":"Schmitt","given":"R. J. P."},{"family":"Snider","given":"J."},{"family":"Tan","given":"F."},{"family":"Tockner","given":"K."},{"family":"Valdujo","given":"P. H."},{"family":"Soesbergen","given":"A."},{"family":"Zarfl","given":"C."}],"issued":{"date-parts":[["2019",5]]}}}],"schema":"https://github.com/citation-style-language/schema/raw/master/csl-citation.json"} </w:instrText>
            </w:r>
            <w:r w:rsidR="00437D43">
              <w:rPr>
                <w:rFonts w:ascii="Times New Roman" w:eastAsia="Calibri" w:hAnsi="Times New Roman" w:cs="Times New Roman"/>
                <w:sz w:val="18"/>
                <w:szCs w:val="18"/>
              </w:rPr>
              <w:fldChar w:fldCharType="separate"/>
            </w:r>
            <w:r w:rsidR="00437D43" w:rsidRPr="00437D43">
              <w:rPr>
                <w:rFonts w:ascii="Times New Roman" w:hAnsi="Times New Roman" w:cs="Times New Roman"/>
                <w:sz w:val="18"/>
              </w:rPr>
              <w:t>(Grill et al. 2019)</w:t>
            </w:r>
            <w:r w:rsidR="00437D43">
              <w:rPr>
                <w:rFonts w:ascii="Times New Roman" w:eastAsia="Calibri" w:hAnsi="Times New Roman" w:cs="Times New Roman"/>
                <w:sz w:val="18"/>
                <w:szCs w:val="18"/>
              </w:rPr>
              <w:fldChar w:fldCharType="end"/>
            </w:r>
            <w:r w:rsidR="00437D43">
              <w:rPr>
                <w:rFonts w:ascii="Times New Roman" w:eastAsia="Calibri" w:hAnsi="Times New Roman" w:cs="Times New Roman"/>
                <w:sz w:val="18"/>
                <w:szCs w:val="18"/>
              </w:rPr>
              <w:t>.</w:t>
            </w:r>
            <w:r w:rsidRPr="00EE4762">
              <w:rPr>
                <w:rFonts w:ascii="Times New Roman" w:eastAsia="Calibri" w:hAnsi="Times New Roman" w:cs="Times New Roman"/>
                <w:sz w:val="18"/>
                <w:szCs w:val="18"/>
              </w:rPr>
              <w:t xml:space="preserve"> </w:t>
            </w:r>
          </w:p>
          <w:p w14:paraId="1B11B561" w14:textId="242A9BC7" w:rsidR="00153098"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NATURA 2000</w:t>
            </w:r>
            <w:r w:rsidR="00437D43">
              <w:rPr>
                <w:rFonts w:ascii="Times New Roman" w:eastAsia="Calibri" w:hAnsi="Times New Roman" w:cs="Times New Roman"/>
                <w:b/>
                <w:bCs/>
                <w:sz w:val="18"/>
                <w:szCs w:val="18"/>
              </w:rPr>
              <w:t xml:space="preserve"> </w:t>
            </w:r>
            <w:r w:rsidR="00437D43" w:rsidRPr="00EE4762">
              <w:rPr>
                <w:rFonts w:ascii="Times New Roman" w:eastAsia="Calibri" w:hAnsi="Times New Roman" w:cs="Times New Roman"/>
                <w:sz w:val="18"/>
                <w:szCs w:val="18"/>
              </w:rPr>
              <w:t>–</w:t>
            </w:r>
            <w:r w:rsidRPr="00EE4762">
              <w:rPr>
                <w:rFonts w:ascii="Times New Roman" w:eastAsia="Calibri" w:hAnsi="Times New Roman" w:cs="Times New Roman"/>
                <w:sz w:val="18"/>
                <w:szCs w:val="18"/>
              </w:rPr>
              <w:br/>
              <w:t>Protected sites in the European Union designated under the Habitats Directive – Sites of Community Importance (SCIs), and Special Areas of Conservation (SACs). Note, the conservation and access to these areas have social implications given the benefits people derive from wildlife and ecosystem function.</w:t>
            </w:r>
          </w:p>
          <w:p w14:paraId="661E38FB" w14:textId="64121908" w:rsidR="00437D43" w:rsidRDefault="00437D43"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hyperlink r:id="rId6" w:history="1">
              <w:r w:rsidRPr="00A41FAB">
                <w:rPr>
                  <w:rStyle w:val="Hyperlink"/>
                  <w:rFonts w:ascii="Times New Roman" w:eastAsia="Calibri" w:hAnsi="Times New Roman" w:cs="Times New Roman"/>
                  <w:sz w:val="18"/>
                  <w:szCs w:val="18"/>
                </w:rPr>
                <w:t>https://www.eea.europa.eu/data-and-maps/data/natura-14</w:t>
              </w:r>
            </w:hyperlink>
          </w:p>
          <w:p w14:paraId="11680343" w14:textId="77777777"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Similarly, other protected area datasets or areas of biodiversity significance:</w:t>
            </w:r>
          </w:p>
          <w:p w14:paraId="05AE7878" w14:textId="11A6F06C"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World Database on Protected Areas</w:t>
            </w:r>
          </w:p>
          <w:p w14:paraId="1150572F"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Key</w:t>
            </w:r>
            <w:r w:rsidRPr="00EE4762">
              <w:rPr>
                <w:rFonts w:ascii="Times New Roman" w:eastAsia="Calibri" w:hAnsi="Times New Roman" w:cs="Times New Roman"/>
                <w:b/>
                <w:bCs/>
                <w:sz w:val="18"/>
                <w:szCs w:val="18"/>
              </w:rPr>
              <w:t xml:space="preserve"> </w:t>
            </w:r>
            <w:r w:rsidRPr="00EE4762">
              <w:rPr>
                <w:rFonts w:ascii="Times New Roman" w:eastAsia="Calibri" w:hAnsi="Times New Roman" w:cs="Times New Roman"/>
                <w:sz w:val="18"/>
                <w:szCs w:val="18"/>
              </w:rPr>
              <w:t>Biodiversity Areas (KBA)</w:t>
            </w:r>
          </w:p>
          <w:p w14:paraId="522D5368"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Important Bird Areas (IBA), flyways</w:t>
            </w:r>
          </w:p>
          <w:p w14:paraId="2FE59280"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
          <w:p w14:paraId="15320A8D"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Global Hydrology Network </w:t>
            </w:r>
          </w:p>
        </w:tc>
      </w:tr>
      <w:tr w:rsidR="00153098" w:rsidRPr="00EE4762" w14:paraId="5BC0F082" w14:textId="77777777" w:rsidTr="0024038B">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65" w:type="dxa"/>
            <w:vMerge/>
            <w:tcBorders>
              <w:bottom w:val="double" w:sz="4" w:space="0" w:color="auto"/>
            </w:tcBorders>
            <w:textDirection w:val="btLr"/>
            <w:vAlign w:val="center"/>
          </w:tcPr>
          <w:p w14:paraId="06FD298F" w14:textId="77777777" w:rsidR="00153098" w:rsidRPr="00EE4762" w:rsidRDefault="00153098" w:rsidP="0024038B">
            <w:pPr>
              <w:ind w:left="113" w:right="113"/>
              <w:jc w:val="center"/>
              <w:rPr>
                <w:rFonts w:ascii="Times New Roman" w:eastAsia="Calibri" w:hAnsi="Times New Roman" w:cs="Times New Roman"/>
              </w:rPr>
            </w:pPr>
          </w:p>
        </w:tc>
        <w:tc>
          <w:tcPr>
            <w:tcW w:w="900" w:type="dxa"/>
            <w:tcBorders>
              <w:top w:val="single" w:sz="4" w:space="0" w:color="FFFFFF"/>
              <w:bottom w:val="double" w:sz="4" w:space="0" w:color="auto"/>
            </w:tcBorders>
            <w:shd w:val="clear" w:color="auto" w:fill="auto"/>
            <w:textDirection w:val="btLr"/>
            <w:vAlign w:val="center"/>
          </w:tcPr>
          <w:p w14:paraId="392FFA36" w14:textId="77777777" w:rsidR="00153098" w:rsidRPr="00EE4762" w:rsidRDefault="00153098" w:rsidP="0024038B">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EE4762">
              <w:rPr>
                <w:rFonts w:ascii="Times New Roman" w:eastAsia="Calibri" w:hAnsi="Times New Roman" w:cs="Times New Roman"/>
              </w:rPr>
              <w:t>Fine</w:t>
            </w:r>
          </w:p>
        </w:tc>
        <w:tc>
          <w:tcPr>
            <w:tcW w:w="2250" w:type="dxa"/>
          </w:tcPr>
          <w:p w14:paraId="009ECA5B"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Species data</w:t>
            </w:r>
          </w:p>
        </w:tc>
        <w:tc>
          <w:tcPr>
            <w:tcW w:w="2430" w:type="dxa"/>
          </w:tcPr>
          <w:p w14:paraId="66C5A547"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A fine-filter approach focuses on species-level biodiversity elements that are not adequately represented by a coarse-filter approach alone.  This may, for example, be because of a species’ special conservation status or specific habitat needs. </w:t>
            </w:r>
          </w:p>
        </w:tc>
        <w:tc>
          <w:tcPr>
            <w:tcW w:w="2643" w:type="dxa"/>
          </w:tcPr>
          <w:p w14:paraId="476272AE" w14:textId="77777777" w:rsidR="00153098" w:rsidRPr="00EE4762" w:rsidRDefault="00153098" w:rsidP="00153098">
            <w:pPr>
              <w:numPr>
                <w:ilvl w:val="0"/>
                <w:numId w:val="6"/>
              </w:numPr>
              <w:ind w:left="43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Species occurrences</w:t>
            </w:r>
          </w:p>
          <w:p w14:paraId="26D65301" w14:textId="77777777" w:rsidR="00153098" w:rsidRPr="00EE4762" w:rsidRDefault="00153098" w:rsidP="00153098">
            <w:pPr>
              <w:numPr>
                <w:ilvl w:val="0"/>
                <w:numId w:val="6"/>
              </w:numPr>
              <w:ind w:left="43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Species distribution models</w:t>
            </w:r>
          </w:p>
          <w:p w14:paraId="073B2662" w14:textId="77777777" w:rsidR="00153098" w:rsidRPr="00EE4762" w:rsidRDefault="00153098" w:rsidP="00153098">
            <w:pPr>
              <w:numPr>
                <w:ilvl w:val="0"/>
                <w:numId w:val="6"/>
              </w:numPr>
              <w:ind w:left="43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Area of Habitat maps</w:t>
            </w:r>
          </w:p>
        </w:tc>
        <w:tc>
          <w:tcPr>
            <w:tcW w:w="2643" w:type="dxa"/>
            <w:gridSpan w:val="2"/>
          </w:tcPr>
          <w:p w14:paraId="033C28FD" w14:textId="5C706422"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 xml:space="preserve">IUCN </w:t>
            </w:r>
            <w:proofErr w:type="spellStart"/>
            <w:r w:rsidRPr="00EE4762">
              <w:rPr>
                <w:rFonts w:ascii="Times New Roman" w:eastAsia="Calibri" w:hAnsi="Times New Roman" w:cs="Times New Roman"/>
                <w:b/>
                <w:bCs/>
                <w:sz w:val="18"/>
                <w:szCs w:val="18"/>
              </w:rPr>
              <w:t>RedList</w:t>
            </w:r>
            <w:proofErr w:type="spellEnd"/>
            <w:r w:rsidRPr="00EE4762">
              <w:rPr>
                <w:rFonts w:ascii="Times New Roman" w:eastAsia="Calibri" w:hAnsi="Times New Roman" w:cs="Times New Roman"/>
                <w:b/>
                <w:bCs/>
                <w:sz w:val="18"/>
                <w:szCs w:val="18"/>
              </w:rPr>
              <w:t xml:space="preserve"> Species ranges</w:t>
            </w:r>
            <w:r w:rsidRPr="00EE4762">
              <w:rPr>
                <w:rFonts w:ascii="Times New Roman" w:eastAsia="Calibri" w:hAnsi="Times New Roman" w:cs="Times New Roman"/>
                <w:sz w:val="18"/>
                <w:szCs w:val="18"/>
              </w:rPr>
              <w:t xml:space="preserve"> </w:t>
            </w:r>
          </w:p>
          <w:p w14:paraId="35FD2BE8" w14:textId="3C767478"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Spatial datasets of the known ranges of more than 166,000 species across several taxonomic groups. These maps often have a coarse spatial resolution and have been criticized for missing local and regional contexts.  Attempts to improve the utility of these range maps include the production of </w:t>
            </w:r>
            <w:r w:rsidRPr="00EE4762">
              <w:rPr>
                <w:rFonts w:ascii="Times New Roman" w:eastAsia="Calibri" w:hAnsi="Times New Roman" w:cs="Times New Roman"/>
                <w:b/>
                <w:bCs/>
                <w:sz w:val="18"/>
                <w:szCs w:val="18"/>
              </w:rPr>
              <w:t xml:space="preserve">Area of Habitat (AOH) </w:t>
            </w:r>
            <w:r w:rsidRPr="00EE4762">
              <w:rPr>
                <w:rFonts w:ascii="Times New Roman" w:eastAsia="Calibri" w:hAnsi="Times New Roman" w:cs="Times New Roman"/>
                <w:sz w:val="18"/>
                <w:szCs w:val="18"/>
              </w:rPr>
              <w:t>maps</w:t>
            </w:r>
            <w:r w:rsidR="00E525C4">
              <w:rPr>
                <w:rFonts w:ascii="Times New Roman" w:eastAsia="Calibri" w:hAnsi="Times New Roman" w:cs="Times New Roman"/>
                <w:sz w:val="18"/>
                <w:szCs w:val="18"/>
              </w:rPr>
              <w:t xml:space="preserve"> </w:t>
            </w:r>
            <w:r w:rsidR="00E525C4">
              <w:rPr>
                <w:rFonts w:ascii="Times New Roman" w:eastAsia="Calibri" w:hAnsi="Times New Roman" w:cs="Times New Roman"/>
                <w:sz w:val="18"/>
                <w:szCs w:val="18"/>
              </w:rPr>
              <w:fldChar w:fldCharType="begin"/>
            </w:r>
            <w:r w:rsidR="00E525C4">
              <w:rPr>
                <w:rFonts w:ascii="Times New Roman" w:eastAsia="Calibri" w:hAnsi="Times New Roman" w:cs="Times New Roman"/>
                <w:sz w:val="18"/>
                <w:szCs w:val="18"/>
              </w:rPr>
              <w:instrText xml:space="preserve"> ADDIN ZOTERO_ITEM CSL_CITATION {"citationID":"ssIRdoSy","properties":{"unsorted":false,"formattedCitation":"(Lumbierres et al. 2022)","plainCitation":"(Lumbierres et al. 2022)","noteIndex":0},"citationItems":[{"id":276,"uris":["http://zotero.org/users/local/7LdNCqot/items/S2TMPS23"],"itemData":{"id":276,"type":"article-journal","abstract":"Area of Habitat (AOH) is “the habitat available to a species, that is, habitat within its range”. It complements a geographic range map for a species by showing potential occupancy and reducing commission errors. AOH maps are produced by subtracting areas considered unsuitable for the species from their range map, using information on each species’ associations with habitat and elevation. We present AOH maps for 5,481 terrestrial mammal and 10,651 terrestrial bird species (including 1,816 migratory bird species for which we present separate maps for the resident, breeding and non-breeding areas). Our maps have a resolution of 100 m. On average, AOH covered 66 ± 28% of the range maps for mammals and 64 ± 27% for birds. The AOH maps were validated independently, following a novel two-step methodology: a modelling approach to identify outliers and a species-level approach based on point localities. We used AOH maps to produce global maps of the species richness of mammals, birds, globally threatened mammals and globally threatened birds.","container-title":"Scientific Data","DOI":"10.1038/s41597-022-01838-w","ISSN":"2052-4463","issue":"1","journalAbbreviation":"Sci Data","language":"en","license":"2022 The Author(s)","page":"749","publisher":"Nature Publishing Group","source":"www.nature.com","title":"Area of Habitat maps for the world’s terrestrial birds and mammals","volume":"9","author":[{"family":"Lumbierres","given":"Maria"},{"family":"Dahal","given":"Prabhat Raj"},{"family":"Soria","given":"Carmen D."},{"family":"Di Marco","given":"Moreno"},{"family":"Butchart","given":"Stuart H. M."},{"family":"Donald","given":"Paul F."},{"family":"Rondinini","given":"Carlo"}],"issued":{"date-parts":[["2022",12,3]]}}}],"schema":"https://github.com/citation-style-language/schema/raw/master/csl-citation.json"} </w:instrText>
            </w:r>
            <w:r w:rsidR="00E525C4">
              <w:rPr>
                <w:rFonts w:ascii="Times New Roman" w:eastAsia="Calibri" w:hAnsi="Times New Roman" w:cs="Times New Roman"/>
                <w:sz w:val="18"/>
                <w:szCs w:val="18"/>
              </w:rPr>
              <w:fldChar w:fldCharType="separate"/>
            </w:r>
            <w:r w:rsidR="00E525C4" w:rsidRPr="00E525C4">
              <w:rPr>
                <w:rFonts w:ascii="Times New Roman" w:hAnsi="Times New Roman" w:cs="Times New Roman"/>
                <w:sz w:val="18"/>
              </w:rPr>
              <w:t>(Lumbierres et al. 2022)</w:t>
            </w:r>
            <w:r w:rsidR="00E525C4">
              <w:rPr>
                <w:rFonts w:ascii="Times New Roman" w:eastAsia="Calibri" w:hAnsi="Times New Roman" w:cs="Times New Roman"/>
                <w:sz w:val="18"/>
                <w:szCs w:val="18"/>
              </w:rPr>
              <w:fldChar w:fldCharType="end"/>
            </w:r>
            <w:r w:rsidR="00E525C4">
              <w:rPr>
                <w:rFonts w:ascii="Times New Roman" w:eastAsia="Calibri" w:hAnsi="Times New Roman" w:cs="Times New Roman"/>
                <w:sz w:val="18"/>
                <w:szCs w:val="18"/>
              </w:rPr>
              <w:t>,</w:t>
            </w:r>
            <w:r w:rsidRPr="00EE4762">
              <w:rPr>
                <w:rFonts w:ascii="Times New Roman" w:eastAsia="Calibri" w:hAnsi="Times New Roman" w:cs="Times New Roman"/>
                <w:sz w:val="18"/>
                <w:szCs w:val="18"/>
              </w:rPr>
              <w:t xml:space="preserve"> which refine ranges by removing areas, i.e., habitats and elevation gradients, considered unsuitable for species. </w:t>
            </w:r>
          </w:p>
          <w:p w14:paraId="4C8A2D63" w14:textId="39EAD1E3" w:rsidR="00153098" w:rsidRDefault="00E525C4"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hyperlink r:id="rId7" w:history="1">
              <w:r w:rsidRPr="00A41FAB">
                <w:rPr>
                  <w:rStyle w:val="Hyperlink"/>
                  <w:rFonts w:ascii="Times New Roman" w:eastAsia="Calibri" w:hAnsi="Times New Roman" w:cs="Times New Roman"/>
                  <w:sz w:val="18"/>
                  <w:szCs w:val="18"/>
                </w:rPr>
                <w:t>https://www.iucnredlist.org/resources/spatial-data-download</w:t>
              </w:r>
            </w:hyperlink>
          </w:p>
          <w:p w14:paraId="4E0F403C" w14:textId="77777777" w:rsidR="00E525C4" w:rsidRPr="00EE4762" w:rsidRDefault="00E525C4"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p>
          <w:p w14:paraId="6BFC1218"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Global Biodiversity Information Facility (GBIF):</w:t>
            </w:r>
            <w:r w:rsidRPr="00EE4762">
              <w:rPr>
                <w:rFonts w:ascii="Times New Roman" w:eastAsia="Calibri" w:hAnsi="Times New Roman" w:cs="Times New Roman"/>
                <w:sz w:val="18"/>
                <w:szCs w:val="18"/>
              </w:rPr>
              <w:t xml:space="preserve"> GBIF is an international network that aggregates species occurrence and distribution data from numerous institutions.  Although GBIF datasets require expertise to access, manage and analyze, they remain a critical dataset for understanding and tracking biodiversity change over time. </w:t>
            </w:r>
          </w:p>
          <w:p w14:paraId="404F0879" w14:textId="21962DF5" w:rsidR="00153098" w:rsidRPr="00E525C4" w:rsidRDefault="00E525C4"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hyperlink r:id="rId8" w:history="1">
              <w:r w:rsidRPr="00E525C4">
                <w:rPr>
                  <w:rStyle w:val="Hyperlink"/>
                  <w:rFonts w:ascii="Times New Roman" w:eastAsia="Calibri" w:hAnsi="Times New Roman" w:cs="Times New Roman"/>
                  <w:sz w:val="18"/>
                  <w:szCs w:val="18"/>
                </w:rPr>
                <w:t>https://www.gbif.org/</w:t>
              </w:r>
            </w:hyperlink>
          </w:p>
          <w:p w14:paraId="5CCB5060" w14:textId="77777777" w:rsidR="00E525C4" w:rsidRPr="00EE4762" w:rsidRDefault="00E525C4"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18"/>
                <w:szCs w:val="18"/>
              </w:rPr>
            </w:pPr>
          </w:p>
          <w:p w14:paraId="3304D736"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Community science datasets</w:t>
            </w:r>
            <w:r w:rsidRPr="00EE4762">
              <w:rPr>
                <w:rFonts w:ascii="Times New Roman" w:eastAsia="Calibri" w:hAnsi="Times New Roman" w:cs="Times New Roman"/>
                <w:sz w:val="18"/>
                <w:szCs w:val="18"/>
              </w:rPr>
              <w:t xml:space="preserve"> – collections of species-level locational and photographic data gathered by the wider public.  These data are typically made freely available to support scientific research and policymaking. Although community science datasets can vary in accuracy and reliability and often suffer from sampling bias, they nevertheless represent </w:t>
            </w:r>
            <w:r w:rsidRPr="00EE4762">
              <w:rPr>
                <w:rFonts w:ascii="Times New Roman" w:eastAsia="Calibri" w:hAnsi="Times New Roman" w:cs="Times New Roman"/>
                <w:sz w:val="18"/>
                <w:szCs w:val="18"/>
              </w:rPr>
              <w:lastRenderedPageBreak/>
              <w:t xml:space="preserve">valuable information that might not otherwise have been collected.  Well-known community science datasets include </w:t>
            </w:r>
            <w:r w:rsidRPr="00EE4762">
              <w:rPr>
                <w:rFonts w:ascii="Times New Roman" w:eastAsia="Calibri" w:hAnsi="Times New Roman" w:cs="Times New Roman"/>
                <w:b/>
                <w:bCs/>
                <w:sz w:val="18"/>
                <w:szCs w:val="18"/>
              </w:rPr>
              <w:t>eBird</w:t>
            </w:r>
            <w:r w:rsidRPr="00EE4762">
              <w:rPr>
                <w:rFonts w:ascii="Times New Roman" w:eastAsia="Calibri" w:hAnsi="Times New Roman" w:cs="Times New Roman"/>
                <w:sz w:val="18"/>
                <w:szCs w:val="18"/>
              </w:rPr>
              <w:t xml:space="preserve"> (</w:t>
            </w:r>
            <w:hyperlink r:id="rId9" w:history="1">
              <w:r w:rsidRPr="00EE4762">
                <w:rPr>
                  <w:rFonts w:ascii="Times New Roman" w:eastAsia="Calibri" w:hAnsi="Times New Roman" w:cs="Times New Roman"/>
                  <w:color w:val="0563C1"/>
                  <w:sz w:val="18"/>
                  <w:szCs w:val="18"/>
                  <w:u w:val="single"/>
                </w:rPr>
                <w:t>https://ebird.org/home</w:t>
              </w:r>
            </w:hyperlink>
            <w:r w:rsidRPr="00EE4762">
              <w:rPr>
                <w:rFonts w:ascii="Times New Roman" w:eastAsia="Calibri" w:hAnsi="Times New Roman" w:cs="Times New Roman"/>
                <w:sz w:val="18"/>
                <w:szCs w:val="18"/>
              </w:rPr>
              <w:t xml:space="preserve">) and </w:t>
            </w:r>
            <w:r w:rsidRPr="00EE4762">
              <w:rPr>
                <w:rFonts w:ascii="Times New Roman" w:eastAsia="Calibri" w:hAnsi="Times New Roman" w:cs="Times New Roman"/>
                <w:b/>
                <w:bCs/>
                <w:sz w:val="18"/>
                <w:szCs w:val="18"/>
              </w:rPr>
              <w:t>iNaturalist</w:t>
            </w:r>
            <w:r w:rsidRPr="00EE4762">
              <w:rPr>
                <w:rFonts w:ascii="Times New Roman" w:eastAsia="Calibri" w:hAnsi="Times New Roman" w:cs="Times New Roman"/>
                <w:sz w:val="18"/>
                <w:szCs w:val="18"/>
              </w:rPr>
              <w:t xml:space="preserve"> (</w:t>
            </w:r>
            <w:hyperlink r:id="rId10" w:history="1">
              <w:r w:rsidRPr="00EE4762">
                <w:rPr>
                  <w:rFonts w:ascii="Times New Roman" w:eastAsia="Calibri" w:hAnsi="Times New Roman" w:cs="Times New Roman"/>
                  <w:color w:val="0563C1"/>
                  <w:sz w:val="18"/>
                  <w:szCs w:val="18"/>
                  <w:u w:val="single"/>
                </w:rPr>
                <w:t>https://www.inaturalist.org/</w:t>
              </w:r>
            </w:hyperlink>
            <w:r w:rsidRPr="00EE4762">
              <w:rPr>
                <w:rFonts w:ascii="Times New Roman" w:eastAsia="Calibri" w:hAnsi="Times New Roman" w:cs="Times New Roman"/>
                <w:sz w:val="18"/>
                <w:szCs w:val="18"/>
              </w:rPr>
              <w:t xml:space="preserve">).  </w:t>
            </w:r>
          </w:p>
        </w:tc>
      </w:tr>
      <w:tr w:rsidR="00153098" w:rsidRPr="00EE4762" w14:paraId="24C7CB3F" w14:textId="77777777" w:rsidTr="0024038B">
        <w:trPr>
          <w:trHeight w:val="1079"/>
        </w:trPr>
        <w:tc>
          <w:tcPr>
            <w:cnfStyle w:val="001000000000" w:firstRow="0" w:lastRow="0" w:firstColumn="1" w:lastColumn="0" w:oddVBand="0" w:evenVBand="0" w:oddHBand="0" w:evenHBand="0" w:firstRowFirstColumn="0" w:firstRowLastColumn="0" w:lastRowFirstColumn="0" w:lastRowLastColumn="0"/>
            <w:tcW w:w="1165" w:type="dxa"/>
            <w:vMerge w:val="restart"/>
            <w:tcBorders>
              <w:top w:val="double" w:sz="4" w:space="0" w:color="auto"/>
            </w:tcBorders>
            <w:textDirection w:val="btLr"/>
            <w:vAlign w:val="center"/>
          </w:tcPr>
          <w:p w14:paraId="13D7866B" w14:textId="77777777" w:rsidR="00153098" w:rsidRPr="00EE4762" w:rsidRDefault="00153098" w:rsidP="0024038B">
            <w:pPr>
              <w:ind w:left="113" w:right="113"/>
              <w:jc w:val="center"/>
              <w:rPr>
                <w:rFonts w:ascii="Times New Roman" w:eastAsia="Calibri" w:hAnsi="Times New Roman" w:cs="Times New Roman"/>
              </w:rPr>
            </w:pPr>
            <w:r w:rsidRPr="00EE4762">
              <w:rPr>
                <w:rFonts w:ascii="Times New Roman" w:eastAsia="Calibri" w:hAnsi="Times New Roman" w:cs="Times New Roman"/>
              </w:rPr>
              <w:lastRenderedPageBreak/>
              <w:t>SOCIAL</w:t>
            </w:r>
          </w:p>
        </w:tc>
        <w:tc>
          <w:tcPr>
            <w:tcW w:w="900" w:type="dxa"/>
            <w:vMerge w:val="restart"/>
            <w:tcBorders>
              <w:top w:val="double" w:sz="4" w:space="0" w:color="auto"/>
            </w:tcBorders>
            <w:shd w:val="clear" w:color="auto" w:fill="auto"/>
            <w:textDirection w:val="btLr"/>
            <w:vAlign w:val="center"/>
          </w:tcPr>
          <w:p w14:paraId="4E4C6C85" w14:textId="77777777" w:rsidR="00153098" w:rsidRPr="00EE4762" w:rsidRDefault="00153098" w:rsidP="0024038B">
            <w:pPr>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Coarse</w:t>
            </w:r>
          </w:p>
        </w:tc>
        <w:tc>
          <w:tcPr>
            <w:tcW w:w="2250" w:type="dxa"/>
            <w:tcBorders>
              <w:top w:val="double" w:sz="4" w:space="0" w:color="auto"/>
            </w:tcBorders>
          </w:tcPr>
          <w:p w14:paraId="64EC0640"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Cultural</w:t>
            </w:r>
          </w:p>
        </w:tc>
        <w:tc>
          <w:tcPr>
            <w:tcW w:w="2430" w:type="dxa"/>
            <w:tcBorders>
              <w:top w:val="double" w:sz="4" w:space="0" w:color="auto"/>
            </w:tcBorders>
          </w:tcPr>
          <w:p w14:paraId="4DB8C095"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People and</w:t>
            </w:r>
          </w:p>
          <w:p w14:paraId="43C0ED38"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communities have</w:t>
            </w:r>
          </w:p>
          <w:p w14:paraId="5B59560F"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connections to places</w:t>
            </w:r>
          </w:p>
          <w:p w14:paraId="0D4759B0"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and their contributions</w:t>
            </w:r>
          </w:p>
          <w:p w14:paraId="05487F6C"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or meaning. The cultural</w:t>
            </w:r>
          </w:p>
          <w:p w14:paraId="494CF47A"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values associated with</w:t>
            </w:r>
          </w:p>
          <w:p w14:paraId="284BC689"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certain landscapes can</w:t>
            </w:r>
          </w:p>
          <w:p w14:paraId="7E0C43EB"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play an important role in</w:t>
            </w:r>
          </w:p>
          <w:p w14:paraId="37967985"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shaping their identities,</w:t>
            </w:r>
          </w:p>
          <w:p w14:paraId="22C0B391"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perceptions, and quality</w:t>
            </w:r>
          </w:p>
          <w:p w14:paraId="55B589C1"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of life.</w:t>
            </w:r>
          </w:p>
        </w:tc>
        <w:tc>
          <w:tcPr>
            <w:tcW w:w="2676" w:type="dxa"/>
            <w:gridSpan w:val="2"/>
            <w:tcBorders>
              <w:top w:val="double" w:sz="4" w:space="0" w:color="auto"/>
            </w:tcBorders>
          </w:tcPr>
          <w:p w14:paraId="3072A747" w14:textId="77777777" w:rsidR="00153098" w:rsidRPr="00EE4762" w:rsidRDefault="00153098" w:rsidP="00153098">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Historical significance  </w:t>
            </w:r>
          </w:p>
          <w:p w14:paraId="3988136E" w14:textId="77777777" w:rsidR="00153098" w:rsidRPr="00EE4762" w:rsidRDefault="00153098" w:rsidP="00153098">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Spiritual/religious sites </w:t>
            </w:r>
          </w:p>
          <w:p w14:paraId="345E2520" w14:textId="77777777" w:rsidR="00153098" w:rsidRPr="00EE4762" w:rsidRDefault="00153098" w:rsidP="00153098">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Recreational areas</w:t>
            </w:r>
          </w:p>
          <w:p w14:paraId="1AC2FF04" w14:textId="77777777" w:rsidR="00153098" w:rsidRPr="00EE4762" w:rsidRDefault="00153098" w:rsidP="00153098">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Community congregation</w:t>
            </w:r>
          </w:p>
          <w:p w14:paraId="45BDED62" w14:textId="77777777" w:rsidR="00153098" w:rsidRPr="00EE4762" w:rsidRDefault="00153098" w:rsidP="00153098">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Scenic areas</w:t>
            </w:r>
          </w:p>
          <w:p w14:paraId="22489388" w14:textId="77777777" w:rsidR="00153098" w:rsidRPr="00EE4762" w:rsidRDefault="00153098" w:rsidP="00153098">
            <w:pPr>
              <w:numPr>
                <w:ilvl w:val="0"/>
                <w:numId w:val="1"/>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Vistas/landscape aesthetics*</w:t>
            </w:r>
          </w:p>
        </w:tc>
        <w:tc>
          <w:tcPr>
            <w:tcW w:w="2610" w:type="dxa"/>
            <w:tcBorders>
              <w:top w:val="double" w:sz="4" w:space="0" w:color="auto"/>
            </w:tcBorders>
          </w:tcPr>
          <w:p w14:paraId="55509475" w14:textId="23ACE480" w:rsidR="00153098"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 xml:space="preserve">Cultural Gems </w:t>
            </w:r>
            <w:r w:rsidRPr="00EE4762">
              <w:rPr>
                <w:rFonts w:ascii="Times New Roman" w:eastAsia="Calibri" w:hAnsi="Times New Roman" w:cs="Times New Roman"/>
                <w:sz w:val="18"/>
                <w:szCs w:val="18"/>
              </w:rPr>
              <w:t>(</w:t>
            </w:r>
            <w:r w:rsidR="00E525C4">
              <w:rPr>
                <w:rFonts w:ascii="Times New Roman" w:eastAsia="Calibri" w:hAnsi="Times New Roman" w:cs="Times New Roman"/>
                <w:sz w:val="18"/>
                <w:szCs w:val="18"/>
              </w:rPr>
              <w:t>European Commission Joint Research Center</w:t>
            </w:r>
            <w:r w:rsidRPr="00EE4762">
              <w:rPr>
                <w:rFonts w:ascii="Times New Roman" w:eastAsia="Calibri" w:hAnsi="Times New Roman" w:cs="Times New Roman"/>
                <w:sz w:val="18"/>
                <w:szCs w:val="18"/>
              </w:rPr>
              <w:t>)</w:t>
            </w:r>
            <w:r w:rsidRPr="00EE4762">
              <w:rPr>
                <w:rFonts w:ascii="Times New Roman" w:eastAsia="Calibri" w:hAnsi="Times New Roman" w:cs="Times New Roman"/>
                <w:b/>
                <w:bCs/>
                <w:sz w:val="18"/>
                <w:szCs w:val="18"/>
              </w:rPr>
              <w:t>:</w:t>
            </w:r>
            <w:r w:rsidRPr="00EE4762">
              <w:rPr>
                <w:rFonts w:ascii="Times New Roman" w:eastAsia="Calibri" w:hAnsi="Times New Roman" w:cs="Times New Roman"/>
                <w:sz w:val="18"/>
                <w:szCs w:val="18"/>
              </w:rPr>
              <w:br/>
              <w:t xml:space="preserve">An interactive web platform to monitor cultural and creative sites in European cities that compiles locations deemed “cultural and creative spaces” reported by individuals, universities, public and private organizations, as well as </w:t>
            </w:r>
            <w:proofErr w:type="spellStart"/>
            <w:r w:rsidRPr="00EE4762">
              <w:rPr>
                <w:rFonts w:ascii="Times New Roman" w:eastAsia="Calibri" w:hAnsi="Times New Roman" w:cs="Times New Roman"/>
                <w:sz w:val="18"/>
                <w:szCs w:val="18"/>
              </w:rPr>
              <w:t>OpenStreetMaps</w:t>
            </w:r>
            <w:proofErr w:type="spellEnd"/>
            <w:r w:rsidRPr="00EE4762">
              <w:rPr>
                <w:rFonts w:ascii="Times New Roman" w:eastAsia="Calibri" w:hAnsi="Times New Roman" w:cs="Times New Roman"/>
                <w:sz w:val="18"/>
                <w:szCs w:val="18"/>
              </w:rPr>
              <w:t xml:space="preserve">. </w:t>
            </w:r>
          </w:p>
          <w:p w14:paraId="05712D27" w14:textId="70C9D4E2" w:rsidR="00E525C4" w:rsidRPr="00EE4762" w:rsidRDefault="00E525C4"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525C4">
              <w:rPr>
                <w:rFonts w:ascii="Times New Roman" w:eastAsia="Calibri" w:hAnsi="Times New Roman" w:cs="Times New Roman"/>
                <w:sz w:val="18"/>
                <w:szCs w:val="18"/>
              </w:rPr>
              <w:t>https://knowledge4policy.ec.europa.eu/projects-activities/cultural-gems_en</w:t>
            </w:r>
          </w:p>
          <w:p w14:paraId="0F5C345C" w14:textId="77777777"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Social Media content:</w:t>
            </w:r>
            <w:r w:rsidRPr="00EE4762">
              <w:rPr>
                <w:rFonts w:ascii="Times New Roman" w:eastAsia="Calibri" w:hAnsi="Times New Roman" w:cs="Times New Roman"/>
                <w:sz w:val="18"/>
                <w:szCs w:val="18"/>
              </w:rPr>
              <w:br/>
              <w:t xml:space="preserve">Social media content, filtered as relevant, can provide information on the importance of specific places and landscapes. For example, the concentration of photos at specific locations may be further filtered with keywords to identify places of greater aesthetic or recreational value. Methods for data downloading and transformation vary by social media platforms and values of interest. </w:t>
            </w:r>
          </w:p>
          <w:p w14:paraId="5F515774" w14:textId="503FDCC8"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One peer-reviewed example includes a continental-scale dataset for Europe on landscape values </w:t>
            </w:r>
            <w:r w:rsidR="00E525C4">
              <w:rPr>
                <w:rFonts w:ascii="Times New Roman" w:eastAsia="Calibri" w:hAnsi="Times New Roman" w:cs="Times New Roman"/>
                <w:sz w:val="18"/>
                <w:szCs w:val="18"/>
              </w:rPr>
              <w:fldChar w:fldCharType="begin"/>
            </w:r>
            <w:r w:rsidR="0001139F">
              <w:rPr>
                <w:rFonts w:ascii="Times New Roman" w:eastAsia="Calibri" w:hAnsi="Times New Roman" w:cs="Times New Roman"/>
                <w:sz w:val="18"/>
                <w:szCs w:val="18"/>
              </w:rPr>
              <w:instrText xml:space="preserve"> ADDIN ZOTERO_ITEM CSL_CITATION {"citationID":"Pc4BL7sa","properties":{"unsorted":false,"formattedCitation":"(van Zanten et al. 2016)","plainCitation":"(van Zanten et al. 2016)","noteIndex":0},"citationItems":[{"id":163,"uris":["http://zotero.org/users/local/7LdNCqot/items/3LXQACEA"],"itemData":{"id":163,"type":"article-journal","abstract":"Individuals, communities, and societies ascribe a diverse array of val ues to landscapes. These values are shaped by the aesthetic, cultural, and recreational benefits and services provided by those landscapes. However, across the globe, processes such as urbanization, agricultura l intensification, and abandonment are threatening landscape integrity , altering the personally meaningful connections people have toward sp ecific places. Existing methods used to study landscape values, such a s social surveys, are poorly suited to capture dynamic landscape-scale processes across large geographic extents. Social media data, by comp arison, can be used to indirectly measure and identify valuable featur es of landscapes at a regional, continental, and perhaps even worldwid e scale. We evaluate the usefulness of different social media platform s—Panoramio, Flickr, and Instagram—and quantify landscape values at a continental scale. We find Panoramio, Flickr, and Instagram data can b e used to quantify landscape values, with features of Instagram being especially suitable due to its relatively large population of users an d its functional ability of allowing users to attach personally meanin gful comments and hashtags to their uploaded images. Although Panorami o, Flickr, and Instagram have different user profiles, our analysis re vealed similar patterns of landscape values across Europe across the t hree platforms. We also found variables describing accessibility, popu lation density, income, mountainous terrain, or proximity to water exp lained a significant portion of observed variation across data from th e different platforms. Social media data can be used to extend our und erstanding of how and where individuals ascribe value to landscapes ac ross diverse social, political, and ecological boundaries.","archive":"pnas.org (Atypon)","container-title":"Proceedings of the National Academy of Sciences","DOI":"10.1073/pnas.1614158113","issue":"46","page":"12974-12979","title":"Continental-scale quantification of landscape values using social media data","volume":"113","author":[{"family":"Zanten","given":"Boris T.","non-dropping-particle":"van"},{"family":"Van Berkel","given":"Derek B."},{"family":"Meentemeyer","given":"Ross K."},{"family":"Smith","given":"Jordan W."},{"family":"Tieskens","given":"Koen F."},{"family":"Verburg","given":"Peter H."}],"issued":{"date-parts":[["2016",11,15]]}}}],"schema":"https://github.com/citation-style-language/schema/raw/master/csl-citation.json"} </w:instrText>
            </w:r>
            <w:r w:rsidR="00E525C4">
              <w:rPr>
                <w:rFonts w:ascii="Times New Roman" w:eastAsia="Calibri" w:hAnsi="Times New Roman" w:cs="Times New Roman"/>
                <w:sz w:val="18"/>
                <w:szCs w:val="18"/>
              </w:rPr>
              <w:fldChar w:fldCharType="separate"/>
            </w:r>
            <w:r w:rsidR="002F17BD" w:rsidRPr="002F17BD">
              <w:rPr>
                <w:rFonts w:ascii="Times New Roman" w:hAnsi="Times New Roman" w:cs="Times New Roman"/>
                <w:sz w:val="18"/>
              </w:rPr>
              <w:t>(van Zanten et al. 2016)</w:t>
            </w:r>
            <w:r w:rsidR="00E525C4">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based on the concentration of </w:t>
            </w:r>
            <w:r w:rsidRPr="00EE4762">
              <w:rPr>
                <w:rFonts w:ascii="Times New Roman" w:eastAsia="Calibri" w:hAnsi="Times New Roman" w:cs="Times New Roman"/>
                <w:sz w:val="18"/>
                <w:szCs w:val="18"/>
              </w:rPr>
              <w:lastRenderedPageBreak/>
              <w:t xml:space="preserve">filtered photos from </w:t>
            </w:r>
            <w:proofErr w:type="spellStart"/>
            <w:r w:rsidRPr="00EE4762">
              <w:rPr>
                <w:rFonts w:ascii="Times New Roman" w:eastAsia="Calibri" w:hAnsi="Times New Roman" w:cs="Times New Roman"/>
                <w:sz w:val="18"/>
                <w:szCs w:val="18"/>
              </w:rPr>
              <w:t>FlickR</w:t>
            </w:r>
            <w:proofErr w:type="spellEnd"/>
            <w:r w:rsidRPr="00EE4762">
              <w:rPr>
                <w:rFonts w:ascii="Times New Roman" w:eastAsia="Calibri" w:hAnsi="Times New Roman" w:cs="Times New Roman"/>
                <w:sz w:val="18"/>
                <w:szCs w:val="18"/>
              </w:rPr>
              <w:t xml:space="preserve">, Instagram, or </w:t>
            </w:r>
            <w:proofErr w:type="spellStart"/>
            <w:r w:rsidRPr="00EE4762">
              <w:rPr>
                <w:rFonts w:ascii="Times New Roman" w:eastAsia="Calibri" w:hAnsi="Times New Roman" w:cs="Times New Roman"/>
                <w:sz w:val="18"/>
                <w:szCs w:val="18"/>
              </w:rPr>
              <w:t>Panoramia</w:t>
            </w:r>
            <w:proofErr w:type="spellEnd"/>
            <w:r w:rsidRPr="00EE4762">
              <w:rPr>
                <w:rFonts w:ascii="Times New Roman" w:eastAsia="Calibri" w:hAnsi="Times New Roman" w:cs="Times New Roman"/>
                <w:sz w:val="18"/>
                <w:szCs w:val="18"/>
              </w:rPr>
              <w:t xml:space="preserve"> for a given time span. Several studies have applied a similar method at smaller scales</w:t>
            </w:r>
            <w:r w:rsidR="002F17BD">
              <w:rPr>
                <w:rFonts w:ascii="Times New Roman" w:eastAsia="Calibri" w:hAnsi="Times New Roman" w:cs="Times New Roman"/>
                <w:sz w:val="18"/>
                <w:szCs w:val="18"/>
              </w:rPr>
              <w:t xml:space="preserve"> </w:t>
            </w:r>
            <w:r w:rsidR="002F17BD">
              <w:rPr>
                <w:rFonts w:ascii="Times New Roman" w:eastAsia="Calibri" w:hAnsi="Times New Roman" w:cs="Times New Roman"/>
                <w:sz w:val="18"/>
                <w:szCs w:val="18"/>
              </w:rPr>
              <w:fldChar w:fldCharType="begin"/>
            </w:r>
            <w:r w:rsidR="00462E0B">
              <w:rPr>
                <w:rFonts w:ascii="Times New Roman" w:eastAsia="Calibri" w:hAnsi="Times New Roman" w:cs="Times New Roman"/>
                <w:sz w:val="18"/>
                <w:szCs w:val="18"/>
              </w:rPr>
              <w:instrText xml:space="preserve"> ADDIN ZOTERO_ITEM CSL_CITATION {"citationID":"77x91QiX","properties":{"unsorted":false,"formattedCitation":"(Figueroa-Alfaro and Tang 2017, Yoshimura and Hiura 2017, Langemeyer et al. 2018, Havinga et al. 2021)","plainCitation":"(Figueroa-Alfaro and Tang 2017, Yoshimura and Hiura 2017, Langemeyer et al. 2018, Havinga et al. 2021)","noteIndex":0},"citationItems":[{"id":278,"uris":["http://zotero.org/users/local/7LdNCqot/items/9UGBDSVY"],"itemData":{"id":278,"type":"article-journal","abstract":"Traditional approaches for evaluating aesthetic value rely on surveys or interviews. Social media provides a new type of crowdsourcing data to examine the relationships between aesthetic value and citizens' activities. The main goal of this paper was to evaluate aesthetic value in Nebraska by using citizen-reported geo-tagged photographs posted on two social media sites – Panoramio and Flickr. The study used the application programming interface from Panoramio and Flickr to obtain the latitude and longitude of the geo-tagged photographs, and then used ArcGIS spatial statistical tools to examine spatial patterns with areas of aesthetic value in Nebraska. The outcomes identified the clusters of pictures with the locations of ecosystem service provisioning areas of aesthetic value in Nebraska, identified new areas with aesthetic value, and drew comparisons with local and regional population distribution. This study provided an innovative approach to using crowdsourcing data to verify the value of ecosystem services.","container-title":"Journal of Environmental Planning and Management","issue":"2","language":"en","page":"266-281","publisher":"Taylor &amp; Francis Journals","source":"ideas.repec.org","title":"Evaluating the aesthetic value of cultural ecosystem services by mapping geo-tagged photographs from social media data on Panoramio and Flickr","volume":"60","author":[{"family":"Figueroa-Alfaro","given":"Richard Wagner"},{"family":"Tang","given":"Zhenghong"}],"issued":{"date-parts":[["2017"]]}}},{"id":"X0yxryBb/1cl12zlC","uris":["http://zotero.org/users/local/7LdNCqot/items/7GZWEQXE"],"itemData":{"id":"X0yxryBb/1cl12zlC","type":"article-journal","abstract":"We proposed a mapping method for landscape aesthetic demand and potent ial supply area based on viewsheds, which is a direct method that prov ides robust results. Moreover, we mapped the aesthetic value of Hokkai do as a case study in Asia. The Aichi Biodiversity Target refers to th e importance of ecosystem service (ES) mapping methodologies. However, ES mapping in policy and practice has rarely been reported. Robust, r eliable indicators are required. Recently, studies estimating aestheti c value have used geotagged photos on social networking services inste ad of survey results of user preferences. The methods used in these st udies were cost effective and provided spatially explicit results. How ever, these methods used the photography positions. Using the photogra phed sites is a more direct method to estimate the aesthetic demand. T herefore, we used geotagged photos on Flickr and viewsheds from each p hotography position to identify the photographed sites. The demand are a was estimated using the viewshed. The potential supply area was esti mated using MaxEnt. The demand and potential supply areas were concent rated in natural parks. Comparing the demand and potential supply area s indicates areas with potential supply despite their low demand in fo rest, farmland, and natural parks. This method will contribute to CES research and decision-making.","archive":"ScienceDirect","container-title":"Ecosystem Services","DOI":"10.1016/j.ecoser.2017.02.009","ISSN":"2212-0416","page":"68-78","title":"Demand and supply of cultural ecosystem services: Use of geotagged pho tos to map the aesthetic value of landscapes in Hokkaido","title-short":"Demand and supply of cultural ecosystem services","volume":"24","author":[{"family":"Yoshimura","given":"Nobuhiko"},{"family":"Hiura","given":"Tsutom"}],"issued":{"date-parts":[["2017",4,1]]}}},{"id":168,"uris":["http://zotero.org/users/local/7LdNCqot/items/W4LGPZKM"],"itemData":{"id":168,"type":"article-journal","abstract":"The ecosystem services concept is increasingly gaining momentum in lan d-use policies and landscape planning. Yet, cultural ecosystem service s often lack proper assessments. With this study, we use novel methodo logical approaches to map the cultural ecosystem service landscape aes thetics for its enhanced consideration in land-use policies. Our study uses expert-based participatory mapping and crowd-sourced (social med ia) photo data to examine the spatial distribution of landscape aesthe tics in the Province of Barcelona, Catalonia. We distinguish the capac ity and flow of landscape aesthetics. Landscape aesthetics capacity wa s assessed through spatial multi-criteria evaluation, consisting of a viewshed analysis and an expert-based selection and weighting of lands cape features. Landscape aesthetics flow, i.e., people’s actual apprec iation of landscape aesthetics, was assessed by analysing a sample of 13,460 geolocated photographs from the social media platform Flickr. O ur results uncover a substantial mismatch between landscape aesthetics capacity and flow. While landscape aesthetics capacity is widely dist ributed across the case study area, landscape aesthetics flow is (with few exceptions) mostly concentrated in urban and periurban areas. The main insights for land-use policies derived from our results are twof old. On one hand, landscape aesthetics flow seems less dependent on ‘p ristine nature’ than experts and planners assume, while the complex in tegration of green and grey landscape features plays a critical role. On the other hand, urban and periurban landscapes as key landscape aes thetics providers should receive additional attention in land-use poli cies.","archive":"ScienceDirect","container-title":"Land Use Policy","DOI":"10.1016/j.landusepol.2018.05.049","ISSN":"0264-8377","page":"542-552","title":"Mapping the intangible: Using geolocated social media data to examine landscape aesthetics","title-short":"Mapping the intangible","volume":"77","author":[{"family":"Langemeyer","given":"Johannes"},{"family":"Calcagni","given":"Fulvia"},{"family":"Baró","given":"Francesc"}],"issued":{"date-parts":[["2018",9,1]]}}},{"id":286,"uris":["http://zotero.org/users/local/7LdNCqot/items/URXI5AUF"],"itemData":{"id":286,"type":"article-journal","abstract":"Peoples’ recreation and well-being are closely related to their aesthetic enjoyment of the landscape. Ecosystem service (ES) assessments record the aesthetic contributions of landscapes to peoples’ well-being in support of sustainable policy goals. However, the survey methods available to measure these contributions restrict modelling at large scales. As a result, most studies rely on environmental indicator models but these do not incorporate peoples’ actual use of the landscape. Now, social media has emerged as a rich new source of information to understand human-nature interactions while advances in deep learning have enabled large-scale analysis of the imagery uploaded to these platforms. In this study, we test the accuracy of Flickr and deep learning-based models of landscape quality using a crowdsourced survey in Great Britain. We find that this novel modelling approach generates a strong and comparable level of accuracy versus an indicator model and, in combination, captures additional aesthetic information. At the same time, social media provides a direct measure of individuals’ aesthetic enjoyment, a point of view inaccessible to indicator models, as well as a greater independence of the scale of measurement and insights into how peoples’ appreciation of the landscape changes over time. Our results show how social media and deep learning can support significant advances in modelling the aesthetic contributions of ecosystems for ES assessments.","container-title":"Scientific Reports","DOI":"10.1038/s41598-021-99282-0","ISSN":"2045-2322","issue":"1","journalAbbreviation":"Sci Rep","language":"en","license":"2021 The Author(s)","page":"20000","publisher":"Nature Publishing Group","source":"www.nature.com","title":"Social media and deep learning capture the aesthetic quality of the landscape","volume":"11","author":[{"family":"Havinga","given":"Ilan"},{"family":"Marcos","given":"Diego"},{"family":"Bogaart","given":"Patrick W."},{"family":"Hein","given":"Lars"},{"family":"Tuia","given":"Devis"}],"issued":{"date-parts":[["2021",10,8]]}}}],"schema":"https://github.com/citation-style-language/schema/raw/master/csl-citation.json"} </w:instrText>
            </w:r>
            <w:r w:rsidR="002F17BD">
              <w:rPr>
                <w:rFonts w:ascii="Times New Roman" w:eastAsia="Calibri" w:hAnsi="Times New Roman" w:cs="Times New Roman"/>
                <w:sz w:val="18"/>
                <w:szCs w:val="18"/>
              </w:rPr>
              <w:fldChar w:fldCharType="separate"/>
            </w:r>
            <w:r w:rsidR="00462E0B" w:rsidRPr="00462E0B">
              <w:rPr>
                <w:rFonts w:ascii="Times New Roman" w:hAnsi="Times New Roman" w:cs="Times New Roman"/>
                <w:sz w:val="18"/>
              </w:rPr>
              <w:t>(Figueroa-Alfaro and Tang 2017, Yoshimura and Hiura 2017, Langemeyer et al. 2018, Havinga et al. 2021)</w:t>
            </w:r>
            <w:r w:rsidR="002F17BD">
              <w:rPr>
                <w:rFonts w:ascii="Times New Roman" w:eastAsia="Calibri" w:hAnsi="Times New Roman" w:cs="Times New Roman"/>
                <w:sz w:val="18"/>
                <w:szCs w:val="18"/>
              </w:rPr>
              <w:fldChar w:fldCharType="end"/>
            </w:r>
            <w:r w:rsidR="00462E0B">
              <w:rPr>
                <w:rFonts w:ascii="Times New Roman" w:eastAsia="Calibri" w:hAnsi="Times New Roman" w:cs="Times New Roman"/>
                <w:sz w:val="18"/>
                <w:szCs w:val="18"/>
              </w:rPr>
              <w:t>.</w:t>
            </w:r>
            <w:r w:rsidRPr="00EE4762">
              <w:rPr>
                <w:rFonts w:ascii="Times New Roman" w:eastAsia="Calibri" w:hAnsi="Times New Roman" w:cs="Times New Roman"/>
                <w:sz w:val="18"/>
                <w:szCs w:val="18"/>
              </w:rPr>
              <w:t xml:space="preserve"> </w:t>
            </w:r>
          </w:p>
          <w:p w14:paraId="4E94F985" w14:textId="77777777"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National and subnational datasets, depending on availability:</w:t>
            </w:r>
            <w:r w:rsidRPr="00EE4762">
              <w:rPr>
                <w:rFonts w:ascii="Times New Roman" w:eastAsia="Calibri" w:hAnsi="Times New Roman" w:cs="Times New Roman"/>
                <w:sz w:val="18"/>
                <w:szCs w:val="18"/>
              </w:rPr>
              <w:br/>
              <w:t xml:space="preserve">Important Tourism Areas </w:t>
            </w:r>
          </w:p>
          <w:p w14:paraId="4435513C" w14:textId="77777777"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Hunting Areas</w:t>
            </w:r>
          </w:p>
          <w:p w14:paraId="4C7A568B" w14:textId="77777777"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Locations of community centers</w:t>
            </w:r>
          </w:p>
          <w:p w14:paraId="0C56F3FB" w14:textId="77777777"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National Landscape Character Assessments</w:t>
            </w:r>
          </w:p>
          <w:p w14:paraId="7EDAA3B8" w14:textId="77777777"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Landscape</w:t>
            </w:r>
            <w:r w:rsidRPr="00EE4762">
              <w:rPr>
                <w:rFonts w:ascii="Times New Roman" w:eastAsia="Calibri" w:hAnsi="Times New Roman" w:cs="Times New Roman"/>
                <w:b/>
                <w:bCs/>
                <w:sz w:val="18"/>
                <w:szCs w:val="18"/>
              </w:rPr>
              <w:t xml:space="preserve"> </w:t>
            </w:r>
            <w:r w:rsidRPr="00EE4762">
              <w:rPr>
                <w:rFonts w:ascii="Times New Roman" w:eastAsia="Calibri" w:hAnsi="Times New Roman" w:cs="Times New Roman"/>
                <w:sz w:val="18"/>
                <w:szCs w:val="18"/>
              </w:rPr>
              <w:t>aesthetics</w:t>
            </w:r>
            <w:r w:rsidRPr="00EE4762">
              <w:rPr>
                <w:rFonts w:ascii="Times New Roman" w:eastAsia="Calibri" w:hAnsi="Times New Roman" w:cs="Times New Roman"/>
                <w:b/>
                <w:bCs/>
                <w:sz w:val="18"/>
                <w:szCs w:val="18"/>
              </w:rPr>
              <w:t>:</w:t>
            </w:r>
            <w:r w:rsidRPr="00EE4762">
              <w:rPr>
                <w:rFonts w:ascii="Times New Roman" w:eastAsia="Calibri" w:hAnsi="Times New Roman" w:cs="Times New Roman"/>
                <w:sz w:val="18"/>
                <w:szCs w:val="18"/>
              </w:rPr>
              <w:br/>
              <w:t xml:space="preserve">Visibility analyses/viewsheds, integrating social media content (see above example) </w:t>
            </w:r>
          </w:p>
        </w:tc>
      </w:tr>
      <w:tr w:rsidR="00153098" w:rsidRPr="00EE4762" w14:paraId="6222D847" w14:textId="77777777" w:rsidTr="0024038B">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165" w:type="dxa"/>
            <w:vMerge/>
          </w:tcPr>
          <w:p w14:paraId="1FCCFE0A" w14:textId="77777777" w:rsidR="00153098" w:rsidRPr="00EE4762" w:rsidRDefault="00153098" w:rsidP="0024038B">
            <w:pPr>
              <w:jc w:val="center"/>
              <w:rPr>
                <w:rFonts w:ascii="Times New Roman" w:eastAsia="Calibri" w:hAnsi="Times New Roman" w:cs="Times New Roman"/>
              </w:rPr>
            </w:pPr>
          </w:p>
        </w:tc>
        <w:tc>
          <w:tcPr>
            <w:tcW w:w="900" w:type="dxa"/>
            <w:vMerge/>
            <w:shd w:val="clear" w:color="auto" w:fill="auto"/>
            <w:textDirection w:val="btLr"/>
            <w:vAlign w:val="center"/>
          </w:tcPr>
          <w:p w14:paraId="163A8A6B" w14:textId="77777777" w:rsidR="00153098" w:rsidRPr="00EE4762" w:rsidRDefault="00153098" w:rsidP="0024038B">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2250" w:type="dxa"/>
          </w:tcPr>
          <w:p w14:paraId="5EDCFAF8"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Economic</w:t>
            </w:r>
          </w:p>
        </w:tc>
        <w:tc>
          <w:tcPr>
            <w:tcW w:w="2430" w:type="dxa"/>
          </w:tcPr>
          <w:p w14:paraId="5E94DC9A" w14:textId="77777777" w:rsidR="00153098" w:rsidRPr="00EE4762" w:rsidRDefault="00153098" w:rsidP="0024038B">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Demand for large amounts of land for renewable energy expansion can threaten people’s land rights and access to resources. Economic conditions and demographic distribution provide insight on areas with vulnerable populations, potential risks related to land and resource rights, or opportunities for community engagement and/or benefits sharing.</w:t>
            </w:r>
          </w:p>
        </w:tc>
        <w:tc>
          <w:tcPr>
            <w:tcW w:w="2676" w:type="dxa"/>
            <w:gridSpan w:val="2"/>
          </w:tcPr>
          <w:p w14:paraId="0FDFD7FD" w14:textId="77777777" w:rsidR="00153098" w:rsidRPr="00EE4762" w:rsidRDefault="00153098" w:rsidP="00153098">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Job opportunities</w:t>
            </w:r>
          </w:p>
          <w:p w14:paraId="196DC8CC" w14:textId="77777777" w:rsidR="00153098" w:rsidRPr="00EE4762" w:rsidRDefault="00153098" w:rsidP="00153098">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Income </w:t>
            </w:r>
          </w:p>
          <w:p w14:paraId="23BD0351" w14:textId="77777777" w:rsidR="00153098" w:rsidRPr="00EE4762" w:rsidRDefault="00153098" w:rsidP="00153098">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Population density</w:t>
            </w:r>
          </w:p>
          <w:p w14:paraId="2534FFA9" w14:textId="77777777" w:rsidR="00153098" w:rsidRPr="00EE4762" w:rsidRDefault="00153098" w:rsidP="00153098">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Remoteness, proximity to population centers</w:t>
            </w:r>
          </w:p>
          <w:p w14:paraId="7D40C9F0" w14:textId="77777777" w:rsidR="00153098" w:rsidRPr="00EE4762" w:rsidRDefault="00153098" w:rsidP="00153098">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Land tenure</w:t>
            </w:r>
          </w:p>
          <w:p w14:paraId="398FEA55" w14:textId="77777777" w:rsidR="00153098" w:rsidRPr="00EE4762" w:rsidRDefault="00153098" w:rsidP="00153098">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Historically marginalized or vulnerable populations</w:t>
            </w:r>
          </w:p>
          <w:p w14:paraId="611D9951" w14:textId="77777777" w:rsidR="00153098" w:rsidRPr="00EE4762" w:rsidRDefault="00153098" w:rsidP="00153098">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Planned settlements</w:t>
            </w:r>
          </w:p>
        </w:tc>
        <w:tc>
          <w:tcPr>
            <w:tcW w:w="2610" w:type="dxa"/>
          </w:tcPr>
          <w:p w14:paraId="478F9B7B" w14:textId="77777777" w:rsidR="00153098"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Population Density:</w:t>
            </w:r>
            <w:r w:rsidRPr="00EE4762">
              <w:rPr>
                <w:rFonts w:ascii="Times New Roman" w:eastAsia="Calibri" w:hAnsi="Times New Roman" w:cs="Times New Roman"/>
                <w:b/>
                <w:bCs/>
                <w:sz w:val="18"/>
                <w:szCs w:val="18"/>
              </w:rPr>
              <w:br/>
            </w:r>
            <w:r w:rsidRPr="00EE4762">
              <w:rPr>
                <w:rFonts w:ascii="Times New Roman" w:eastAsia="Calibri" w:hAnsi="Times New Roman" w:cs="Times New Roman"/>
                <w:sz w:val="18"/>
                <w:szCs w:val="18"/>
              </w:rPr>
              <w:t xml:space="preserve">NASA’s “Gridded Population of the World” (CIESIN 2018) spatially represents the number of persons per square kilometer (at 5 years intervals between 2000- 2020). </w:t>
            </w:r>
          </w:p>
          <w:p w14:paraId="46D1C2D1" w14:textId="51DC3987" w:rsidR="00462E0B" w:rsidRPr="00462E0B"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t>https://www.earthdata.nasa.gov/data/projects/gpw</w:t>
            </w:r>
          </w:p>
          <w:p w14:paraId="6B4C9C77" w14:textId="4628ED95" w:rsidR="00153098"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European Commission’s Global Human Settlement layer (GHSL) </w:t>
            </w:r>
            <w:r w:rsidR="00462E0B">
              <w:rPr>
                <w:rFonts w:ascii="Times New Roman" w:eastAsia="Calibri" w:hAnsi="Times New Roman" w:cs="Times New Roman"/>
                <w:sz w:val="18"/>
                <w:szCs w:val="18"/>
              </w:rPr>
              <w:fldChar w:fldCharType="begin"/>
            </w:r>
            <w:r w:rsidR="00462E0B">
              <w:rPr>
                <w:rFonts w:ascii="Times New Roman" w:eastAsia="Calibri" w:hAnsi="Times New Roman" w:cs="Times New Roman"/>
                <w:sz w:val="18"/>
                <w:szCs w:val="18"/>
              </w:rPr>
              <w:instrText xml:space="preserve"> ADDIN ZOTERO_ITEM CSL_CITATION {"citationID":"hJejC5Xk","properties":{"unsorted":false,"formattedCitation":"(Schiavina et al. 2023)","plainCitation":"(Schiavina et al. 2023)","noteIndex":0},"citationItems":[{"id":288,"uris":["http://zotero.org/users/local/7LdNCqot/items/N6R3WFUV"],"itemData":{"id":288,"type":"webpage","abstract":"The Global Human Settlement Layer (GHSL) produces new global spatial information, evidence-based analytics and knowledge describing the human presence on planet Earth. It operates in a fully open and free data and methods access policy. The knowledge generated with the GHSL is supporting the definition, the public discussion and the implementation of European policies and the monitoring of international frameworks such as the 2030 Development Agenda. The GHSL are the core data set of the Exposure Mapping Component under the Copernicus Emergency Management Service. GHSL data continue to support the GEO Human Planet Initiative (HPI) that is committed to developing a new generation of measurements and information products providing new scientific evidence and a comprehensive understanding of the human presence on the planet and that can support global policy processes with agreed, actionable and goal-driven metrics. The Human Planet Initiative relies on a core set of partners committed in coordinating the production of the global settlement spatial baseline data. This document describes the public release of the GHSL Data Package 2023 (GHS P2023). The release provides improved built-up (including surface, volume and height) and population products as well as a new settlement model and classification of administrative and territorial units according to the Degree of Urbanisation.","container-title":"JRC Publications Repository","DOI":"10.2760/098587","language":"en","note":"ISBN: 9789268023419 9789268191569\nDOI: 10.2760/098587","title":"GHSL Data Package 2023","URL":"https://publications.jrc.ec.europa.eu/repository/handle/JRC133256","author":[{"family":"Schiavina","given":"Marcello"},{"family":"Melchiorri","given":"Michele"},{"family":"Pesaresi","given":"Martino"},{"family":"Politis","given":"Panagiotis"},{"family":"Carneiro","given":"FREIRE Sergio Manuel"},{"family":"Maffenini","given":"Luca"},{"family":"Florio","given":"Pietro"},{"family":"Ehrlich","given":"Daniele"},{"family":"Goch","given":"Katarzyna"},{"family":"Carioli","given":"Alessandra"},{"family":"Uhl","given":"Johannes"},{"family":"Tommasi","given":"Pierpaolo"},{"family":"Kemper","given":"Thomas"}],"accessed":{"date-parts":[["2026",6,16]]},"issued":{"date-parts":[["2023"]]}}}],"schema":"https://github.com/citation-style-language/schema/raw/master/csl-citation.json"} </w:instrText>
            </w:r>
            <w:r w:rsidR="00462E0B">
              <w:rPr>
                <w:rFonts w:ascii="Times New Roman" w:eastAsia="Calibri" w:hAnsi="Times New Roman" w:cs="Times New Roman"/>
                <w:sz w:val="18"/>
                <w:szCs w:val="18"/>
              </w:rPr>
              <w:fldChar w:fldCharType="separate"/>
            </w:r>
            <w:r w:rsidR="00462E0B" w:rsidRPr="00462E0B">
              <w:rPr>
                <w:rFonts w:ascii="Times New Roman" w:hAnsi="Times New Roman" w:cs="Times New Roman"/>
                <w:sz w:val="18"/>
              </w:rPr>
              <w:t>(Schiavina et al. 2023)</w:t>
            </w:r>
            <w:r w:rsidR="00462E0B">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comprises the distribution of residential populations (number of people/cell) that is further disaggregated and informed by information on built-up areas (also see other GHSL layers).</w:t>
            </w:r>
          </w:p>
          <w:p w14:paraId="541668ED" w14:textId="04CC2054" w:rsidR="00462E0B" w:rsidRPr="00EE4762"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lastRenderedPageBreak/>
              <w:t>https://publications.jrc.ec.europa.eu/repository/handle/JRC133256</w:t>
            </w:r>
          </w:p>
          <w:p w14:paraId="751B78D0" w14:textId="77777777" w:rsidR="00153098"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Road networks:</w:t>
            </w:r>
            <w:r w:rsidRPr="00EE4762">
              <w:rPr>
                <w:rFonts w:ascii="Times New Roman" w:eastAsia="Calibri" w:hAnsi="Times New Roman" w:cs="Times New Roman"/>
                <w:sz w:val="18"/>
                <w:szCs w:val="18"/>
              </w:rPr>
              <w:br/>
              <w:t>The Global Roads Open Access Data Set (CIESIN 2013) joins road networks between settlements across countries (individual source data varies and ranges from 1980-2010).</w:t>
            </w:r>
          </w:p>
          <w:p w14:paraId="25A89D99" w14:textId="34213A9B" w:rsidR="00462E0B" w:rsidRPr="00EE4762"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t>https://www.earthdata.nasa.gov/data/catalog/sedac-ciesin-sedac-groads-v1-1.0</w:t>
            </w:r>
          </w:p>
          <w:p w14:paraId="39F6BFDF" w14:textId="06FF7134" w:rsidR="00153098"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Global Roads Inventory Project (GRIP) dataset </w:t>
            </w:r>
            <w:r w:rsidR="00462E0B">
              <w:rPr>
                <w:rFonts w:ascii="Times New Roman" w:eastAsia="Calibri" w:hAnsi="Times New Roman" w:cs="Times New Roman"/>
                <w:sz w:val="18"/>
                <w:szCs w:val="18"/>
              </w:rPr>
              <w:fldChar w:fldCharType="begin"/>
            </w:r>
            <w:r w:rsidR="00462E0B">
              <w:rPr>
                <w:rFonts w:ascii="Times New Roman" w:eastAsia="Calibri" w:hAnsi="Times New Roman" w:cs="Times New Roman"/>
                <w:sz w:val="18"/>
                <w:szCs w:val="18"/>
              </w:rPr>
              <w:instrText xml:space="preserve"> ADDIN ZOTERO_ITEM CSL_CITATION {"citationID":"eKHQDWGx","properties":{"unsorted":false,"formattedCitation":"(Meijer et al. 2018)","plainCitation":"(Meijer et al. 2018)","noteIndex":0},"citationItems":[{"id":175,"uris":["http://zotero.org/users/local/7LdNCqot/items/J4CL6WY5"],"itemData":{"id":175,"type":"article-journal","archive":"Institute of Physics","container-title":"Environmental Research Letters","DOI":"10.1088/1748-9326/aabd42","ISSN":"1748-9326","issue":"6","language":"en","page":"064006","title":"Global patterns of current and future road infrastructure","volume":"13","author":[{"family":"Meijer","given":"Johan R."},{"family":"Huijbregts","given":"Mark A. J."},{"family":"Schotten","given":"Kees C. G. J."},{"family":"Schipper","given":"Aafke M."}],"issued":{"date-parts":[["2018",5]]}}}],"schema":"https://github.com/citation-style-language/schema/raw/master/csl-citation.json"} </w:instrText>
            </w:r>
            <w:r w:rsidR="00462E0B">
              <w:rPr>
                <w:rFonts w:ascii="Times New Roman" w:eastAsia="Calibri" w:hAnsi="Times New Roman" w:cs="Times New Roman"/>
                <w:sz w:val="18"/>
                <w:szCs w:val="18"/>
              </w:rPr>
              <w:fldChar w:fldCharType="separate"/>
            </w:r>
            <w:r w:rsidR="00462E0B" w:rsidRPr="00462E0B">
              <w:rPr>
                <w:rFonts w:ascii="Times New Roman" w:hAnsi="Times New Roman" w:cs="Times New Roman"/>
                <w:sz w:val="18"/>
              </w:rPr>
              <w:t>(Meijer et al. 2018)</w:t>
            </w:r>
            <w:r w:rsidR="00462E0B">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provides current and future road infrastructure</w:t>
            </w:r>
            <w:r w:rsidR="00462E0B">
              <w:rPr>
                <w:rFonts w:ascii="Times New Roman" w:eastAsia="Calibri" w:hAnsi="Times New Roman" w:cs="Times New Roman"/>
                <w:sz w:val="18"/>
                <w:szCs w:val="18"/>
              </w:rPr>
              <w:t>.</w:t>
            </w:r>
          </w:p>
          <w:p w14:paraId="5ED616FC" w14:textId="079F8481" w:rsidR="00462E0B" w:rsidRPr="00EE4762"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t>www.globio.info</w:t>
            </w:r>
          </w:p>
          <w:p w14:paraId="4A2B8EAD" w14:textId="77777777"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18"/>
                <w:szCs w:val="18"/>
              </w:rPr>
            </w:pPr>
            <w:r w:rsidRPr="00EE4762">
              <w:rPr>
                <w:rFonts w:ascii="Times New Roman" w:eastAsia="Calibri" w:hAnsi="Times New Roman" w:cs="Times New Roman"/>
                <w:b/>
                <w:bCs/>
                <w:sz w:val="18"/>
                <w:szCs w:val="18"/>
              </w:rPr>
              <w:t>Urbanization:</w:t>
            </w:r>
          </w:p>
          <w:p w14:paraId="040D5353" w14:textId="01C9EBD7" w:rsidR="00153098"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Probability of urban expansion by 2030 </w:t>
            </w:r>
            <w:r w:rsidR="00462E0B">
              <w:rPr>
                <w:rFonts w:ascii="Times New Roman" w:eastAsia="Calibri" w:hAnsi="Times New Roman" w:cs="Times New Roman"/>
                <w:sz w:val="18"/>
                <w:szCs w:val="18"/>
              </w:rPr>
              <w:fldChar w:fldCharType="begin"/>
            </w:r>
            <w:r w:rsidR="0001139F">
              <w:rPr>
                <w:rFonts w:ascii="Times New Roman" w:eastAsia="Calibri" w:hAnsi="Times New Roman" w:cs="Times New Roman"/>
                <w:sz w:val="18"/>
                <w:szCs w:val="18"/>
              </w:rPr>
              <w:instrText xml:space="preserve"> ADDIN ZOTERO_ITEM CSL_CITATION {"citationID":"VECtZYec","properties":{"unsorted":false,"formattedCitation":"(Seto et al. 2012, 2016)","plainCitation":"(Seto et al. 2012, 2016)","noteIndex":0},"citationItems":[{"id":177,"uris":["http://zotero.org/users/local/7LdNCqot/items/LR6HCRBC"],"itemData":{"id":177,"type":"article-journal","abstract":"Urban land-cover change threatens biodiversity and affects ecosystem p roductivity through loss of habitat, biomass, and carbon storage. Howe ver, despite projections that world urban populations will increase to nearly 5 billion by 2030, little is known about future locations, mag nitudes, and rates of urban expansion. Here we develop spatially expli cit probabilistic forecasts of global urban land-cover change and expl ore the direct impacts on biodiversity hotspots and tropical carbon bi omass. If current trends in population density continue and all areas with high probabilities of urban expansion undergo change, then by 203 0, urban land cover will increase by 1.2 million km2, nearly tripling the global urban land area circa 2000. This increase would result in c onsiderable loss of habitats in key biodiversity hotspots, with the hi ghest rates of forecasted urban growth to take place in regions that w ere relatively undisturbed by urban development in 2000: the Eastern A fromontane, the Guinean Forests of West Africa, and the Western Ghats and Sri Lanka hotspots. Within the pan-tropics, loss in vegetation bio mass from areas with high probability of urban expansion is estimated to be 1.38 PgC (0.05 PgC yr−1), equal to </w:instrText>
            </w:r>
            <w:r w:rsidR="0001139F">
              <w:rPr>
                <w:rFonts w:ascii="Cambria Math" w:eastAsia="Calibri" w:hAnsi="Cambria Math" w:cs="Cambria Math"/>
                <w:sz w:val="18"/>
                <w:szCs w:val="18"/>
              </w:rPr>
              <w:instrText>∼</w:instrText>
            </w:r>
            <w:r w:rsidR="0001139F">
              <w:rPr>
                <w:rFonts w:ascii="Times New Roman" w:eastAsia="Calibri" w:hAnsi="Times New Roman" w:cs="Times New Roman"/>
                <w:sz w:val="18"/>
                <w:szCs w:val="18"/>
              </w:rPr>
              <w:instrText xml:space="preserve">5% of emissions from tropica l deforestation and land-use change. Although urbanization is often co nsidered a local issue, the aggregate global impacts of projected urba n expansion will require significant policy changes to affect future g rowth trajectories to minimize global biodiversity and vegetation carb on losses.","archive":"pnas.org (Atypon)","container-title":"Proceedings of the National Academy of Sciences","DOI":"10.1073/pnas.1211658109","issue":"40","page":"16083-16088","title":"Global forecasts of urban expansion to 2030 and direct impacts on biodiversity and carbon pools","volume":"109","author":[{"family":"Seto","given":"Karen C."},{"family":"Güneralp","given":"Burak"},{"family":"Hutyra","given":"Lucy R."}],"issued":{"date-parts":[["2012"]]}}},{"id":179,"uris":["http://zotero.org/users/local/7LdNCqot/items/VE82RLLH"],"itemData":{"id":179,"type":"dataset","publisher-place":"Palisades, New York: NASA Socioeconomic Data and Applications Center ( SEDAC)","title":"Global Grid of Probabilities of Urban Expansion to 2030.","author":[{"family":"Seto","given":"Karen C."},{"family":"Güneralp","given":"Burak"},{"family":"Hutyra","given":"Lucy R."}],"issued":{"date-parts":[["2016"]]}}}],"schema":"https://github.com/citation-style-language/schema/raw/master/csl-citation.json"} </w:instrText>
            </w:r>
            <w:r w:rsidR="00462E0B">
              <w:rPr>
                <w:rFonts w:ascii="Times New Roman" w:eastAsia="Calibri" w:hAnsi="Times New Roman" w:cs="Times New Roman"/>
                <w:sz w:val="18"/>
                <w:szCs w:val="18"/>
              </w:rPr>
              <w:fldChar w:fldCharType="separate"/>
            </w:r>
            <w:r w:rsidR="00462E0B" w:rsidRPr="00462E0B">
              <w:rPr>
                <w:rFonts w:ascii="Times New Roman" w:hAnsi="Times New Roman" w:cs="Times New Roman"/>
                <w:sz w:val="18"/>
              </w:rPr>
              <w:t>(Seto et al. 2012, 2016)</w:t>
            </w:r>
            <w:r w:rsidR="00462E0B">
              <w:rPr>
                <w:rFonts w:ascii="Times New Roman" w:eastAsia="Calibri" w:hAnsi="Times New Roman" w:cs="Times New Roman"/>
                <w:sz w:val="18"/>
                <w:szCs w:val="18"/>
              </w:rPr>
              <w:fldChar w:fldCharType="end"/>
            </w:r>
            <w:r w:rsidR="00462E0B">
              <w:rPr>
                <w:rFonts w:ascii="Times New Roman" w:eastAsia="Calibri" w:hAnsi="Times New Roman" w:cs="Times New Roman"/>
                <w:sz w:val="18"/>
                <w:szCs w:val="18"/>
              </w:rPr>
              <w:t xml:space="preserve"> </w:t>
            </w:r>
            <w:r w:rsidRPr="00EE4762">
              <w:rPr>
                <w:rFonts w:ascii="Times New Roman" w:eastAsia="Calibri" w:hAnsi="Times New Roman" w:cs="Times New Roman"/>
                <w:sz w:val="18"/>
                <w:szCs w:val="18"/>
              </w:rPr>
              <w:t>at a global scale, representing forecasts of urban land cover change between 2000 to 2030.</w:t>
            </w:r>
          </w:p>
          <w:p w14:paraId="0D31CF4B" w14:textId="27DBB1D0" w:rsidR="00462E0B" w:rsidRPr="00EE4762"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t>https://data.nasa.gov/dataset/global-grid-of-probabilities-of-urban-expansion-to-2030</w:t>
            </w:r>
          </w:p>
          <w:p w14:paraId="0E424DC7" w14:textId="189E9CBA"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IPLC Lands:</w:t>
            </w:r>
            <w:r w:rsidRPr="00EE4762">
              <w:rPr>
                <w:rFonts w:ascii="Times New Roman" w:eastAsia="Calibri" w:hAnsi="Times New Roman" w:cs="Times New Roman"/>
                <w:sz w:val="18"/>
                <w:szCs w:val="18"/>
              </w:rPr>
              <w:br/>
              <w:t xml:space="preserve">Global extent of Indigenous Peoples’ lands based on management and/or tenure rights </w:t>
            </w:r>
            <w:r w:rsidR="00462E0B">
              <w:rPr>
                <w:rFonts w:ascii="Times New Roman" w:eastAsia="Calibri" w:hAnsi="Times New Roman" w:cs="Times New Roman"/>
                <w:sz w:val="18"/>
                <w:szCs w:val="18"/>
              </w:rPr>
              <w:fldChar w:fldCharType="begin"/>
            </w:r>
            <w:r w:rsidR="0001139F">
              <w:rPr>
                <w:rFonts w:ascii="Times New Roman" w:eastAsia="Calibri" w:hAnsi="Times New Roman" w:cs="Times New Roman"/>
                <w:sz w:val="18"/>
                <w:szCs w:val="18"/>
              </w:rPr>
              <w:instrText xml:space="preserve"> ADDIN ZOTERO_ITEM CSL_CITATION {"citationID":"JUffjEsy","properties":{"unsorted":false,"formattedCitation":"(Garnett et al. 2018)","plainCitation":"(Garnett et al. 2018)","noteIndex":0},"citationItems":[{"id":180,"uris":["http://zotero.org/users/local/7LdNCqot/items/8B3H4DSF"],"itemData":{"id":180,"type":"article-journal","abstract":"Understanding the scale, location and nature conservation values of th e lands over which Indigenous Peoples exercise traditional rights is c entral to implementation of several global conservation and climate ag reements. However, spatial information on Indigenous lands has never b een aggregated globally. Here, using publicly available geospatial res ources, we show that Indigenous Peoples manage or have tenure rights o ver at least ~38 million km2 in 87 countries or politically distinct a reas on all inhabited continents. This represents over a quarter of th e world’s land surface, and intersects about 40% of all terrestrial pr otected areas and ecologically intact landscapes (for example, boreal and tropical primary forests, savannas and marshes). Our results add t o growing evidence that recognizing Indigenous Peoples’ rights to land , benefit sharing and institutions is essential to meeting local and g lobal conservation goals. The geospatial analysis presented here indic ates that collaborative partnerships involving conservation practition ers, Indigenous Peoples and governments would yield significant benefi ts for conservation of ecologically valuable landscapes, ecosystems an d genes for future generations.","archive":"www.nature.com","container-title":"Nature Sustainability","DOI":"10.1038/s41893-018-0100-6","ISSN":"2398-9629","issue":"7","language":"en","page":"369-374","title":"A spatial overview of the global importance of Indigenous lands for conservation","volume":"1","author":[{"family":"Garnett","given":"Stephen T."},{"family":"Burgess","given":"Neil D."},{"family":"Fa","given":"Julia E."},{"family":"Fernández-Llamazares","given":"Álvaro"},{"family":"Molnár","given":"Zsolt"},{"family":"Robinson","given":"Cathy J."},{"family":"Watson","given":"James E. M."},{"family":"Zander","given":"Kerstin K."},{"family":"Austin","given":"Beau"},{"family":"Brondizio","given":"Eduardo S."},{"family":"Collier","given":"Neil French"},{"family":"Duncan","given":"Tom"},{"family":"Ellis","given":"Erle"},{"family":"Geyle","given":"Hayley"},{"family":"Jackson","given":"Micha V."},{"family":"Jonas","given":"Harry"},{"family":"Malmer","given":"Pernilla"},{"family":"McGowan","given":"Ben"},{"family":"Sivongxay","given":"Amphone"},{"family":"Leiper","given":"Ian"}],"issued":{"date-parts":[["2018",7]]}}}],"schema":"https://github.com/citation-style-language/schema/raw/master/csl-citation.json"} </w:instrText>
            </w:r>
            <w:r w:rsidR="00462E0B">
              <w:rPr>
                <w:rFonts w:ascii="Times New Roman" w:eastAsia="Calibri" w:hAnsi="Times New Roman" w:cs="Times New Roman"/>
                <w:sz w:val="18"/>
                <w:szCs w:val="18"/>
              </w:rPr>
              <w:fldChar w:fldCharType="separate"/>
            </w:r>
            <w:r w:rsidR="00462E0B" w:rsidRPr="00462E0B">
              <w:rPr>
                <w:rFonts w:ascii="Times New Roman" w:hAnsi="Times New Roman" w:cs="Times New Roman"/>
                <w:sz w:val="18"/>
              </w:rPr>
              <w:t>(Garnett et al. 2018)</w:t>
            </w:r>
            <w:r w:rsidR="00462E0B">
              <w:rPr>
                <w:rFonts w:ascii="Times New Roman" w:eastAsia="Calibri" w:hAnsi="Times New Roman" w:cs="Times New Roman"/>
                <w:sz w:val="18"/>
                <w:szCs w:val="18"/>
              </w:rPr>
              <w:fldChar w:fldCharType="end"/>
            </w:r>
            <w:r w:rsidR="00462E0B">
              <w:rPr>
                <w:rFonts w:ascii="Times New Roman" w:eastAsia="Calibri" w:hAnsi="Times New Roman" w:cs="Times New Roman"/>
                <w:sz w:val="18"/>
                <w:szCs w:val="18"/>
              </w:rPr>
              <w:t>.</w:t>
            </w:r>
          </w:p>
          <w:p w14:paraId="20AE8EBB" w14:textId="77777777"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Locations and size of areas designated as “Territories and areas conserved by Indigenous Peoples and communities” (ICCAs) (UNEP-WCMC 2024), which are reported by </w:t>
            </w:r>
            <w:r w:rsidRPr="00EE4762">
              <w:rPr>
                <w:rFonts w:ascii="Times New Roman" w:eastAsia="Calibri" w:hAnsi="Times New Roman" w:cs="Times New Roman"/>
                <w:sz w:val="18"/>
                <w:szCs w:val="18"/>
              </w:rPr>
              <w:lastRenderedPageBreak/>
              <w:t>communities and documented in the voluntary ICCA registry.</w:t>
            </w:r>
          </w:p>
          <w:p w14:paraId="63A661B1" w14:textId="6E1C5E93" w:rsidR="00153098" w:rsidRPr="00EE4762"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t>https://www.iccaregistry.org/</w:t>
            </w:r>
          </w:p>
          <w:p w14:paraId="00FEA144" w14:textId="77777777" w:rsidR="00153098"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Vulnerability:</w:t>
            </w:r>
            <w:r w:rsidRPr="00EE4762">
              <w:rPr>
                <w:rFonts w:ascii="Times New Roman" w:eastAsia="Calibri" w:hAnsi="Times New Roman" w:cs="Times New Roman"/>
                <w:b/>
                <w:bCs/>
                <w:sz w:val="18"/>
                <w:szCs w:val="18"/>
              </w:rPr>
              <w:br/>
            </w:r>
            <w:r w:rsidRPr="00EE4762">
              <w:rPr>
                <w:rFonts w:ascii="Times New Roman" w:eastAsia="Calibri" w:hAnsi="Times New Roman" w:cs="Times New Roman"/>
                <w:sz w:val="18"/>
                <w:szCs w:val="18"/>
              </w:rPr>
              <w:t xml:space="preserve">NASA’s Global Gridded Relative Deprivation Index (GRDI) (CIESIN 2022) that combines six sociodemographic components to estimate relative levels of deprivation and poverty, including data on built-up areas, child-dependency, infant mortality, the human development index, and intensity of nighttime lights. </w:t>
            </w:r>
          </w:p>
          <w:p w14:paraId="2E3563B0" w14:textId="478C83CB" w:rsidR="00462E0B" w:rsidRPr="00EE4762"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t>https://map.unbiodiversitylab.org/</w:t>
            </w:r>
          </w:p>
          <w:p w14:paraId="437D58A3" w14:textId="03DD25B6"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Global, high-resolution estimates of UN Human Development Index (HDI) aggregated for first-level administrative units (e.g., states/provinces) </w:t>
            </w:r>
            <w:r w:rsidR="00462E0B">
              <w:rPr>
                <w:rFonts w:ascii="Times New Roman" w:eastAsia="Calibri" w:hAnsi="Times New Roman" w:cs="Times New Roman"/>
                <w:sz w:val="18"/>
                <w:szCs w:val="18"/>
              </w:rPr>
              <w:fldChar w:fldCharType="begin"/>
            </w:r>
            <w:r w:rsidR="00462E0B">
              <w:rPr>
                <w:rFonts w:ascii="Times New Roman" w:eastAsia="Calibri" w:hAnsi="Times New Roman" w:cs="Times New Roman"/>
                <w:sz w:val="18"/>
                <w:szCs w:val="18"/>
              </w:rPr>
              <w:instrText xml:space="preserve"> ADDIN ZOTERO_ITEM CSL_CITATION {"citationID":"SP3oYTLk","properties":{"unsorted":false,"formattedCitation":"(Sherman et al. 2026)","plainCitation":"(Sherman et al. 2026)","noteIndex":0},"citationItems":[{"id":292,"uris":["http://zotero.org/users/local/7LdNCqot/items/FAPIBIRQ"],"itemData":{"id":292,"type":"article-journal","abstract":"The United Nations Human Development Index, which incorporates income, education and health, is arguably the most widely used alternative to gross domestic product. However, official country-resolution estimates (N=191) limit its use. We build on recent advances in machine learning and satellite imagery to produce and distribute global estimates of the Human Development Index for municipalities (N=61,530) and a 0. 1° × 0. 1° grid (N=819,309). To construct these estimates, we develop and validate a generalizable downscaling technique based on satellite imagery that allows for training and prediction with observations of arbitrary size and shape. We show how our estimates can improve decision-making and that more than half of the global population was previously assigned to the incorrect Human Development Index quintile within each country due to aggregation bias. We publish the satellite features necessary to increase the spatial resolution of any other administrative data that is detectable via imagery.","container-title":"Nature Communications","DOI":"10.1038/s41467-026-68805-6","ISSN":"2041-1723","issue":"1","journalAbbreviation":"Nat Commun","language":"en","license":"2026 The Author(s)","page":"1315","publisher":"Nature Publishing Group","source":"www.nature.com","title":"Global high-resolution estimates of the UN Human Development Index using satellite imagery and machine learning","volume":"17","author":[{"family":"Sherman","given":"Luke"},{"family":"Proctor","given":"Jonathan"},{"family":"Druckenmiller","given":"Hannah"},{"family":"Tapia","given":"Heriberto"},{"family":"Hsiang","given":"Solomon"}],"issued":{"date-parts":[["2026",2,17]]}}}],"schema":"https://github.com/citation-style-language/schema/raw/master/csl-citation.json"} </w:instrText>
            </w:r>
            <w:r w:rsidR="00462E0B">
              <w:rPr>
                <w:rFonts w:ascii="Times New Roman" w:eastAsia="Calibri" w:hAnsi="Times New Roman" w:cs="Times New Roman"/>
                <w:sz w:val="18"/>
                <w:szCs w:val="18"/>
              </w:rPr>
              <w:fldChar w:fldCharType="separate"/>
            </w:r>
            <w:r w:rsidR="00462E0B" w:rsidRPr="00462E0B">
              <w:rPr>
                <w:rFonts w:ascii="Times New Roman" w:hAnsi="Times New Roman" w:cs="Times New Roman"/>
                <w:sz w:val="18"/>
              </w:rPr>
              <w:t>(Sherman et al. 2026)</w:t>
            </w:r>
            <w:r w:rsidR="00462E0B">
              <w:rPr>
                <w:rFonts w:ascii="Times New Roman" w:eastAsia="Calibri" w:hAnsi="Times New Roman" w:cs="Times New Roman"/>
                <w:sz w:val="18"/>
                <w:szCs w:val="18"/>
              </w:rPr>
              <w:fldChar w:fldCharType="end"/>
            </w:r>
          </w:p>
          <w:p w14:paraId="3ABE4221" w14:textId="6E517A8F" w:rsidR="00153098" w:rsidRPr="00462E0B" w:rsidRDefault="00462E0B"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462E0B">
              <w:rPr>
                <w:rFonts w:ascii="Times New Roman" w:eastAsia="Calibri" w:hAnsi="Times New Roman" w:cs="Times New Roman"/>
                <w:sz w:val="18"/>
                <w:szCs w:val="18"/>
              </w:rPr>
              <w:t>https://hdr.undp.org/data-center/human-development-index#/indicies/HDI</w:t>
            </w:r>
          </w:p>
          <w:p w14:paraId="2FFBB3EC" w14:textId="77777777"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National and subnational datasets, depending on availability:</w:t>
            </w:r>
            <w:r w:rsidRPr="00EE4762">
              <w:rPr>
                <w:rFonts w:ascii="Times New Roman" w:eastAsia="Calibri" w:hAnsi="Times New Roman" w:cs="Times New Roman"/>
                <w:b/>
                <w:bCs/>
                <w:sz w:val="18"/>
                <w:szCs w:val="18"/>
              </w:rPr>
              <w:br/>
            </w:r>
            <w:r w:rsidRPr="00EE4762">
              <w:rPr>
                <w:rFonts w:ascii="Times New Roman" w:eastAsia="Calibri" w:hAnsi="Times New Roman" w:cs="Times New Roman"/>
                <w:sz w:val="18"/>
                <w:szCs w:val="18"/>
              </w:rPr>
              <w:t>Household income</w:t>
            </w:r>
          </w:p>
          <w:p w14:paraId="66322698" w14:textId="77777777"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Unemployment rate</w:t>
            </w:r>
          </w:p>
          <w:p w14:paraId="2CFF8876" w14:textId="77777777"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Percent of household income spent on energy costs</w:t>
            </w:r>
          </w:p>
        </w:tc>
      </w:tr>
      <w:tr w:rsidR="00153098" w:rsidRPr="00EE4762" w14:paraId="1E95AD37" w14:textId="77777777" w:rsidTr="0024038B">
        <w:trPr>
          <w:trHeight w:val="575"/>
        </w:trPr>
        <w:tc>
          <w:tcPr>
            <w:cnfStyle w:val="001000000000" w:firstRow="0" w:lastRow="0" w:firstColumn="1" w:lastColumn="0" w:oddVBand="0" w:evenVBand="0" w:oddHBand="0" w:evenHBand="0" w:firstRowFirstColumn="0" w:firstRowLastColumn="0" w:lastRowFirstColumn="0" w:lastRowLastColumn="0"/>
            <w:tcW w:w="1165" w:type="dxa"/>
            <w:vMerge/>
          </w:tcPr>
          <w:p w14:paraId="6DD00B95" w14:textId="77777777" w:rsidR="00153098" w:rsidRPr="00EE4762" w:rsidRDefault="00153098" w:rsidP="0024038B">
            <w:pPr>
              <w:jc w:val="center"/>
              <w:rPr>
                <w:rFonts w:ascii="Times New Roman" w:eastAsia="Calibri" w:hAnsi="Times New Roman" w:cs="Times New Roman"/>
              </w:rPr>
            </w:pPr>
          </w:p>
        </w:tc>
        <w:tc>
          <w:tcPr>
            <w:tcW w:w="900" w:type="dxa"/>
            <w:vMerge/>
            <w:tcBorders>
              <w:bottom w:val="single" w:sz="4" w:space="0" w:color="FFFFFF"/>
            </w:tcBorders>
            <w:shd w:val="clear" w:color="auto" w:fill="auto"/>
            <w:textDirection w:val="btLr"/>
            <w:vAlign w:val="center"/>
          </w:tcPr>
          <w:p w14:paraId="615953A1" w14:textId="77777777" w:rsidR="00153098" w:rsidRPr="00EE4762" w:rsidRDefault="00153098" w:rsidP="0024038B">
            <w:pPr>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2250" w:type="dxa"/>
          </w:tcPr>
          <w:p w14:paraId="3AEA351C"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Ecological</w:t>
            </w:r>
          </w:p>
        </w:tc>
        <w:tc>
          <w:tcPr>
            <w:tcW w:w="2430" w:type="dxa"/>
          </w:tcPr>
          <w:p w14:paraId="4604430C" w14:textId="77777777" w:rsidR="00153098" w:rsidRPr="00EE4762" w:rsidRDefault="00153098" w:rsidP="0024038B">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People often rely on resources from their surrounding environment, through provisioning (i.e., material benefits extracted) and regulating (i.e., material, and </w:t>
            </w:r>
            <w:r w:rsidRPr="00EE4762">
              <w:rPr>
                <w:rFonts w:ascii="Times New Roman" w:eastAsia="Calibri" w:hAnsi="Times New Roman" w:cs="Times New Roman"/>
                <w:sz w:val="18"/>
                <w:szCs w:val="18"/>
              </w:rPr>
              <w:lastRenderedPageBreak/>
              <w:t>nonmaterial benefits from ecosystem processes) ecosystem services.</w:t>
            </w:r>
          </w:p>
        </w:tc>
        <w:tc>
          <w:tcPr>
            <w:tcW w:w="2676" w:type="dxa"/>
            <w:gridSpan w:val="2"/>
          </w:tcPr>
          <w:p w14:paraId="2C8CEEF7" w14:textId="77777777" w:rsidR="00153098" w:rsidRPr="00EE4762" w:rsidRDefault="00153098" w:rsidP="00153098">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lastRenderedPageBreak/>
              <w:t>Nature parks</w:t>
            </w:r>
          </w:p>
          <w:p w14:paraId="35B837C6" w14:textId="77777777" w:rsidR="00153098" w:rsidRPr="00EE4762" w:rsidRDefault="00153098" w:rsidP="00153098">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Freshwater access</w:t>
            </w:r>
          </w:p>
          <w:p w14:paraId="774069B0" w14:textId="77777777" w:rsidR="00153098" w:rsidRPr="00EE4762" w:rsidRDefault="00153098" w:rsidP="00153098">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Agricultural or grazing lands, food security</w:t>
            </w:r>
          </w:p>
          <w:p w14:paraId="7D237F11" w14:textId="77777777" w:rsidR="00153098" w:rsidRPr="00EE4762" w:rsidRDefault="00153098" w:rsidP="00153098">
            <w:pPr>
              <w:numPr>
                <w:ilvl w:val="0"/>
                <w:numId w:val="2"/>
              </w:num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Ecosystem services</w:t>
            </w:r>
          </w:p>
          <w:p w14:paraId="55CEB260" w14:textId="77777777" w:rsidR="00153098" w:rsidRPr="00EE4762" w:rsidRDefault="00153098" w:rsidP="0024038B">
            <w:pPr>
              <w:ind w:left="504"/>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
        </w:tc>
        <w:tc>
          <w:tcPr>
            <w:tcW w:w="2610" w:type="dxa"/>
          </w:tcPr>
          <w:p w14:paraId="759DE8CF" w14:textId="48013296"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Agriculture:</w:t>
            </w:r>
            <w:r w:rsidRPr="00EE4762">
              <w:rPr>
                <w:rFonts w:ascii="Times New Roman" w:eastAsia="Calibri" w:hAnsi="Times New Roman" w:cs="Times New Roman"/>
                <w:b/>
                <w:bCs/>
                <w:sz w:val="18"/>
                <w:szCs w:val="18"/>
              </w:rPr>
              <w:br/>
            </w:r>
            <w:r w:rsidRPr="00EE4762">
              <w:rPr>
                <w:rFonts w:ascii="Times New Roman" w:eastAsia="Calibri" w:hAnsi="Times New Roman" w:cs="Times New Roman"/>
                <w:sz w:val="18"/>
                <w:szCs w:val="18"/>
              </w:rPr>
              <w:t xml:space="preserve">NASA-funded “Global Food-and-Water Security-support Analysis Data” </w:t>
            </w:r>
            <w:r w:rsidR="000B4BF6">
              <w:rPr>
                <w:rFonts w:ascii="Times New Roman" w:eastAsia="Calibri" w:hAnsi="Times New Roman" w:cs="Times New Roman"/>
                <w:sz w:val="18"/>
                <w:szCs w:val="18"/>
              </w:rPr>
              <w:t>(</w:t>
            </w:r>
            <w:r w:rsidRPr="00EE4762">
              <w:rPr>
                <w:rFonts w:ascii="Times New Roman" w:eastAsia="Calibri" w:hAnsi="Times New Roman" w:cs="Times New Roman"/>
                <w:sz w:val="18"/>
                <w:szCs w:val="18"/>
              </w:rPr>
              <w:t>GFSAD30</w:t>
            </w:r>
            <w:r w:rsidR="000B4BF6">
              <w:rPr>
                <w:rFonts w:ascii="Times New Roman" w:eastAsia="Calibri" w:hAnsi="Times New Roman" w:cs="Times New Roman"/>
                <w:sz w:val="18"/>
                <w:szCs w:val="18"/>
              </w:rPr>
              <w:t>)</w:t>
            </w:r>
            <w:r w:rsidRPr="00EE4762">
              <w:rPr>
                <w:rFonts w:ascii="Times New Roman" w:eastAsia="Calibri" w:hAnsi="Times New Roman" w:cs="Times New Roman"/>
                <w:sz w:val="18"/>
                <w:szCs w:val="18"/>
              </w:rPr>
              <w:t xml:space="preserve"> </w:t>
            </w:r>
            <w:r w:rsidR="001F0B7D">
              <w:rPr>
                <w:rFonts w:ascii="Times New Roman" w:eastAsia="Calibri" w:hAnsi="Times New Roman" w:cs="Times New Roman"/>
                <w:sz w:val="18"/>
                <w:szCs w:val="18"/>
              </w:rPr>
              <w:fldChar w:fldCharType="begin"/>
            </w:r>
            <w:r w:rsidR="0001139F">
              <w:rPr>
                <w:rFonts w:ascii="Times New Roman" w:eastAsia="Calibri" w:hAnsi="Times New Roman" w:cs="Times New Roman"/>
                <w:sz w:val="18"/>
                <w:szCs w:val="18"/>
              </w:rPr>
              <w:instrText xml:space="preserve"> ADDIN ZOTERO_ITEM CSL_CITATION {"citationID":"eEidmQQy","properties":{"unsorted":false,"formattedCitation":"(Oliphant et al. 2022)","plainCitation":"(Oliphant et al. 2022)","noteIndex":0},"citationItems":[{"id":184,"uris":["http://zotero.org/users/local/7LdNCqot/items/WSNRWINL"],"itemData":{"id":184,"type":"dataset","abstract":"The global food-security-support-analysis data at 30-meter resolution (GFSAD30) cropland-extent product is a project to provide high-resolut ion global cropland-extent data relating to water use. It is the first global-land-cover map focusing exclusively on agriculture with a 30-m eter spatial resolution. The overarching goal of the GFSAD30 project i s to produce consistent and unbiased estimates of global agricultural cropland products such as cropland extent; cropland types; irrigated v ersus rainfed cropland; cropping intensities; and spatial and temporal (from 2000 to 2017) changes in cropland extent.The goal of this repor t is to assess and discuss the usage of the GFSAD30 project’s cropland -extent product. Since the public release of GFSAD30 in November 2017, the number of files downloaded has been tracked, as well as the total size of files downloaded, the country from which the GFSAD30 data wer e downloaded, and the user’s field of study. This report presents a mo nthly assessment of the usage of GFSAD30...","publisher":"U.S. Geological Survey (USGS)","title":"Global food-security-support-analysis data at 30-m resolution (GFSAD30 ) cropland-extent products","URL":"https://www.usgs.gov/centers/western-geographic-science-center/science /global-food-and-water-security-support-analysis","version":"GFSAD30 V001","author":[{"family":"Oliphant","given":"Adam"},{"family":"Thenkabail","given":"Prasad"},{"family":"Teluguntla","given":"Pardhasaradhi"}],"issued":{"date-parts":[["2022"]]}}}],"schema":"https://github.com/citation-style-language/schema/raw/master/csl-citation.json"} </w:instrText>
            </w:r>
            <w:r w:rsidR="001F0B7D">
              <w:rPr>
                <w:rFonts w:ascii="Times New Roman" w:eastAsia="Calibri" w:hAnsi="Times New Roman" w:cs="Times New Roman"/>
                <w:sz w:val="18"/>
                <w:szCs w:val="18"/>
              </w:rPr>
              <w:fldChar w:fldCharType="separate"/>
            </w:r>
            <w:r w:rsidR="001F0B7D" w:rsidRPr="001F0B7D">
              <w:rPr>
                <w:rFonts w:ascii="Times New Roman" w:hAnsi="Times New Roman" w:cs="Times New Roman"/>
                <w:sz w:val="18"/>
              </w:rPr>
              <w:t>(Oliphant et al. 2022)</w:t>
            </w:r>
            <w:r w:rsidR="001F0B7D">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provides </w:t>
            </w:r>
            <w:r w:rsidRPr="00EE4762">
              <w:rPr>
                <w:rFonts w:ascii="Times New Roman" w:eastAsia="Calibri" w:hAnsi="Times New Roman" w:cs="Times New Roman"/>
                <w:sz w:val="18"/>
                <w:szCs w:val="18"/>
              </w:rPr>
              <w:lastRenderedPageBreak/>
              <w:t>cropland extent, including permanent plantations, lands cultivated and harvested for food, feed, and fiber at least once in a year, and fallows. The dataset also includes crop types (8 globally predominant types), irrigated versus rainfed cropland, cropping intensity, and change in cropland between 2000-2025.</w:t>
            </w:r>
          </w:p>
          <w:p w14:paraId="45F94888" w14:textId="22514B64" w:rsidR="00153098" w:rsidRPr="00EE4762"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Ecosystem Services:</w:t>
            </w:r>
            <w:r w:rsidRPr="00EE4762">
              <w:rPr>
                <w:rFonts w:ascii="Times New Roman" w:eastAsia="Calibri" w:hAnsi="Times New Roman" w:cs="Times New Roman"/>
                <w:b/>
                <w:bCs/>
                <w:sz w:val="18"/>
                <w:szCs w:val="18"/>
              </w:rPr>
              <w:br/>
            </w:r>
            <w:r w:rsidRPr="00EE4762">
              <w:rPr>
                <w:rFonts w:ascii="Times New Roman" w:eastAsia="Calibri" w:hAnsi="Times New Roman" w:cs="Times New Roman"/>
                <w:sz w:val="18"/>
                <w:szCs w:val="18"/>
              </w:rPr>
              <w:t xml:space="preserve">“Critical Natural Assets” </w:t>
            </w:r>
            <w:r w:rsidR="001F0B7D">
              <w:rPr>
                <w:rFonts w:ascii="Times New Roman" w:eastAsia="Calibri" w:hAnsi="Times New Roman" w:cs="Times New Roman"/>
                <w:sz w:val="18"/>
                <w:szCs w:val="18"/>
              </w:rPr>
              <w:fldChar w:fldCharType="begin"/>
            </w:r>
            <w:r w:rsidR="001F0B7D">
              <w:rPr>
                <w:rFonts w:ascii="Times New Roman" w:eastAsia="Calibri" w:hAnsi="Times New Roman" w:cs="Times New Roman"/>
                <w:sz w:val="18"/>
                <w:szCs w:val="18"/>
              </w:rPr>
              <w:instrText xml:space="preserve"> ADDIN ZOTERO_ITEM CSL_CITATION {"citationID":"0t5nzovy","properties":{"unsorted":false,"formattedCitation":"(Chaplin-Kramer et al. 2023)","plainCitation":"(Chaplin-Kramer et al. 2023)","noteIndex":0},"citationItems":[{"id":102,"uris":["http://zotero.org/users/local/7LdNCqot/items/YXWQJG7E"],"itemData":{"id":102,"type":"article-journal","abstract":"Sustaining the organisms, ecosystems and processes that underpin human wellbeing is necessary to achieve sustainable development. Here we de fine critical natural assets as the natural and semi-natural ecosystem s that provide 90% of the total current magnitude of 14 types of natur e’s contributions to people (NCP), and we map the global locations of these critical natural assets at 2 km resolution. Critical natural ass ets for maintaining local-scale NCP (12 of the 14 NCP) account for 30% of total global land area and 24% of national territorial waters, whi le 44% of land area is required to also maintain two global-scale NCP (carbon storage and moisture recycling). These areas overlap substanti ally with cultural diversity (areas containing 96% of global languages ) and biodiversity (covering area requirements for 73% of birds and 66 % of mammals). At least 87% of the world’s population live in the area s benefitting from critical natural assets for local-scale NCP, while only 16% live on the lands containing these assets. Many of the NCP ma pped here are left out of international agreements focused on conservi ng species or mitigating climate change, yet this analysis shows that explicitly prioritizing critical natural assets and the NCP they provi de could simultaneously advance development, climate and conservation goals.","archive":"www.nature.com","container-title":"Nature Ecology &amp; Evolution","DOI":"10.1038/s41559-022-01934-5","ISSN":"2397-334X","issue":"1","language":"en","page":"51-61","title":"Mapping the planet’s critical natural assets","volume":"7","author":[{"family":"Chaplin-Kramer","given":"Rebecca"},{"family":"Neugarten","given":"Rachel A."},{"family":"Sharp","given":"Richard P."},{"family":"Collins","given":"Pamela M."},{"family":"Polasky","given":"Stephen"},{"family":"Hole","given":"David"},{"family":"Schuster","given":"Richard"},{"family":"Strimas-Mackey","given":"Matthew"},{"family":"Mulligan","given":"Mark"},{"family":"Brandon","given":"Carter"},{"family":"Diaz","given":"Sandra"},{"family":"Fluet-Chouinard","given":"Etienne"},{"family":"Gorenflo","given":"L. J."},{"family":"Johnson","given":"Justin A."},{"family":"Kennedy","given":"Christina M."},{"family":"Keys","given":"Patrick W."},{"family":"Longley-Wood","given":"Kate"},{"family":"McIntyre","given":"Peter B."},{"family":"Noon","given":"Monica"},{"family":"Pascual","given":"Unai"},{"family":"Reidy Liermann","given":"Catherine"},{"family":"Roehrdanz","given":"Patrick R."},{"family":"Schmidt-Traub","given":"Guido"},{"family":"Shaw","given":"M. Rebecca"},{"family":"Spalding","given":"Mark"},{"family":"Turner","given":"Will R."},{"family":"Soesbergen","given":"Arnout"},{"family":"Watson","given":"Reg A."}],"issued":{"date-parts":[["2023",1]]}}}],"schema":"https://github.com/citation-style-language/schema/raw/master/csl-citation.json"} </w:instrText>
            </w:r>
            <w:r w:rsidR="001F0B7D">
              <w:rPr>
                <w:rFonts w:ascii="Times New Roman" w:eastAsia="Calibri" w:hAnsi="Times New Roman" w:cs="Times New Roman"/>
                <w:sz w:val="18"/>
                <w:szCs w:val="18"/>
              </w:rPr>
              <w:fldChar w:fldCharType="separate"/>
            </w:r>
            <w:r w:rsidR="001F0B7D" w:rsidRPr="001F0B7D">
              <w:rPr>
                <w:rFonts w:ascii="Times New Roman" w:hAnsi="Times New Roman" w:cs="Times New Roman"/>
                <w:sz w:val="18"/>
              </w:rPr>
              <w:t>(Chaplin-Kramer et al. 2023)</w:t>
            </w:r>
            <w:r w:rsidR="001F0B7D">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consists of a global spatial dataset of 14 measures of NCPs, including locally optimized layers that are relevant to RE considerations (e.g., livestock fodder production, access to nature, coral reef tourism).</w:t>
            </w:r>
          </w:p>
          <w:p w14:paraId="076062A6" w14:textId="0B8D7B26" w:rsidR="00153098"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roofErr w:type="spellStart"/>
            <w:r w:rsidRPr="00EE4762">
              <w:rPr>
                <w:rFonts w:ascii="Times New Roman" w:eastAsia="Calibri" w:hAnsi="Times New Roman" w:cs="Times New Roman"/>
                <w:sz w:val="18"/>
                <w:szCs w:val="18"/>
              </w:rPr>
              <w:t>Co$tingNature</w:t>
            </w:r>
            <w:proofErr w:type="spellEnd"/>
            <w:r w:rsidRPr="00EE4762">
              <w:rPr>
                <w:rFonts w:ascii="Times New Roman" w:eastAsia="Calibri" w:hAnsi="Times New Roman" w:cs="Times New Roman"/>
                <w:sz w:val="18"/>
                <w:szCs w:val="18"/>
              </w:rPr>
              <w:t xml:space="preserve"> </w:t>
            </w:r>
            <w:r w:rsidR="001F0B7D">
              <w:rPr>
                <w:rFonts w:ascii="Times New Roman" w:eastAsia="Calibri" w:hAnsi="Times New Roman" w:cs="Times New Roman"/>
                <w:sz w:val="18"/>
                <w:szCs w:val="18"/>
              </w:rPr>
              <w:fldChar w:fldCharType="begin"/>
            </w:r>
            <w:r w:rsidR="001F0B7D">
              <w:rPr>
                <w:rFonts w:ascii="Times New Roman" w:eastAsia="Calibri" w:hAnsi="Times New Roman" w:cs="Times New Roman"/>
                <w:sz w:val="18"/>
                <w:szCs w:val="18"/>
              </w:rPr>
              <w:instrText xml:space="preserve"> ADDIN ZOTERO_ITEM CSL_CITATION {"citationID":"J2JSmD5G","properties":{"unsorted":false,"formattedCitation":"(Mulligan 2017)","plainCitation":"(Mulligan 2017)","noteIndex":0},"citationItems":[{"id":185,"uris":["http://zotero.org/users/local/7LdNCqot/items/6RJWVENG"],"itemData":{"id":185,"type":"dataset","publisher-place":"Kings College London","title":"Co$tingNature Policy Support System [Version 3].","URL":"http://www1.policysupport.org/cgi-bin/ecoengine/start.cgi?project=cost ingnature","author":[{"family":"Mulligan","given":"Mark"}],"issued":{"date-parts":[["2017"]]}}}],"schema":"https://github.com/citation-style-language/schema/raw/master/csl-citation.json"} </w:instrText>
            </w:r>
            <w:r w:rsidR="001F0B7D">
              <w:rPr>
                <w:rFonts w:ascii="Times New Roman" w:eastAsia="Calibri" w:hAnsi="Times New Roman" w:cs="Times New Roman"/>
                <w:sz w:val="18"/>
                <w:szCs w:val="18"/>
              </w:rPr>
              <w:fldChar w:fldCharType="separate"/>
            </w:r>
            <w:r w:rsidR="001F0B7D" w:rsidRPr="001F0B7D">
              <w:rPr>
                <w:rFonts w:ascii="Times New Roman" w:hAnsi="Times New Roman" w:cs="Times New Roman"/>
                <w:sz w:val="18"/>
              </w:rPr>
              <w:t>(Mulligan 2017)</w:t>
            </w:r>
            <w:r w:rsidR="001F0B7D">
              <w:rPr>
                <w:rFonts w:ascii="Times New Roman" w:eastAsia="Calibri" w:hAnsi="Times New Roman" w:cs="Times New Roman"/>
                <w:sz w:val="18"/>
                <w:szCs w:val="18"/>
              </w:rPr>
              <w:fldChar w:fldCharType="end"/>
            </w:r>
            <w:r w:rsidRPr="00EE4762">
              <w:rPr>
                <w:rFonts w:ascii="Times New Roman" w:eastAsia="Calibri" w:hAnsi="Times New Roman" w:cs="Times New Roman"/>
                <w:sz w:val="18"/>
                <w:szCs w:val="18"/>
              </w:rPr>
              <w:t xml:space="preserve"> is a web-based tool with several spatial datasets documenting natural capital and ecosystem services, including an aggregated measure of “relative total realized bundled services index” that accounts for 16 ecosystem services (e.g., domestic and commercial timber, non-wood forest products, water provisioning, aesthetic quality services, wildlife services and disservices). </w:t>
            </w:r>
          </w:p>
          <w:p w14:paraId="5C731C7B" w14:textId="227E270F" w:rsidR="001F0B7D" w:rsidRPr="00EE4762" w:rsidRDefault="001F0B7D"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1F0B7D">
              <w:rPr>
                <w:rFonts w:ascii="Times New Roman" w:eastAsia="Calibri" w:hAnsi="Times New Roman" w:cs="Times New Roman"/>
                <w:sz w:val="18"/>
                <w:szCs w:val="18"/>
              </w:rPr>
              <w:t>https://www.policysupport.org/costingnature</w:t>
            </w:r>
          </w:p>
          <w:p w14:paraId="595E24EE" w14:textId="77777777" w:rsidR="00153098" w:rsidRDefault="00153098"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b/>
                <w:bCs/>
                <w:sz w:val="18"/>
                <w:szCs w:val="18"/>
              </w:rPr>
              <w:t xml:space="preserve">World Database of Protected Areas (WDPA) </w:t>
            </w:r>
            <w:r w:rsidRPr="00EE4762">
              <w:rPr>
                <w:rFonts w:ascii="Times New Roman" w:eastAsia="Calibri" w:hAnsi="Times New Roman" w:cs="Times New Roman"/>
                <w:sz w:val="18"/>
                <w:szCs w:val="18"/>
              </w:rPr>
              <w:t>(UNEP-WCMC 20</w:t>
            </w:r>
            <w:r w:rsidR="001F0B7D">
              <w:rPr>
                <w:rFonts w:ascii="Times New Roman" w:eastAsia="Calibri" w:hAnsi="Times New Roman" w:cs="Times New Roman"/>
                <w:sz w:val="18"/>
                <w:szCs w:val="18"/>
              </w:rPr>
              <w:t>24</w:t>
            </w:r>
            <w:r w:rsidRPr="00EE4762">
              <w:rPr>
                <w:rFonts w:ascii="Times New Roman" w:eastAsia="Calibri" w:hAnsi="Times New Roman" w:cs="Times New Roman"/>
                <w:sz w:val="18"/>
                <w:szCs w:val="18"/>
              </w:rPr>
              <w:t>)</w:t>
            </w:r>
            <w:r w:rsidRPr="00EE4762">
              <w:rPr>
                <w:rFonts w:ascii="Times New Roman" w:eastAsia="Calibri" w:hAnsi="Times New Roman" w:cs="Times New Roman"/>
                <w:b/>
                <w:bCs/>
                <w:sz w:val="18"/>
                <w:szCs w:val="18"/>
              </w:rPr>
              <w:t>:</w:t>
            </w:r>
            <w:r w:rsidRPr="00EE4762">
              <w:rPr>
                <w:rFonts w:ascii="Times New Roman" w:eastAsia="Calibri" w:hAnsi="Times New Roman" w:cs="Times New Roman"/>
                <w:sz w:val="18"/>
                <w:szCs w:val="18"/>
              </w:rPr>
              <w:t xml:space="preserve"> </w:t>
            </w:r>
            <w:r w:rsidRPr="00EE4762">
              <w:rPr>
                <w:rFonts w:ascii="Times New Roman" w:eastAsia="Calibri" w:hAnsi="Times New Roman" w:cs="Times New Roman"/>
                <w:sz w:val="18"/>
                <w:szCs w:val="18"/>
              </w:rPr>
              <w:br/>
              <w:t xml:space="preserve">A global database of protected areas (marine and terrestrial), </w:t>
            </w:r>
            <w:r w:rsidRPr="00EE4762">
              <w:rPr>
                <w:rFonts w:ascii="Times New Roman" w:eastAsia="Calibri" w:hAnsi="Times New Roman" w:cs="Times New Roman"/>
                <w:sz w:val="18"/>
                <w:szCs w:val="18"/>
              </w:rPr>
              <w:lastRenderedPageBreak/>
              <w:t>which also includes locations of UNESCO World Heritage sites.</w:t>
            </w:r>
          </w:p>
          <w:p w14:paraId="17B53A99" w14:textId="06C24921" w:rsidR="001F0B7D" w:rsidRPr="00EE4762" w:rsidRDefault="001F0B7D" w:rsidP="0024038B">
            <w:pPr>
              <w:spacing w:before="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1F0B7D">
              <w:rPr>
                <w:rFonts w:ascii="Times New Roman" w:eastAsia="Calibri" w:hAnsi="Times New Roman" w:cs="Times New Roman"/>
                <w:sz w:val="18"/>
                <w:szCs w:val="18"/>
              </w:rPr>
              <w:t>https://www.protectedplanet.net/en/thematic-areas/wdpa?tab=WDPA</w:t>
            </w:r>
          </w:p>
        </w:tc>
      </w:tr>
      <w:tr w:rsidR="00153098" w:rsidRPr="00EE4762" w14:paraId="7FC1C513" w14:textId="77777777" w:rsidTr="0024038B">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65" w:type="dxa"/>
            <w:vMerge/>
          </w:tcPr>
          <w:p w14:paraId="6F22E235" w14:textId="77777777" w:rsidR="00153098" w:rsidRPr="00EE4762" w:rsidRDefault="00153098" w:rsidP="0024038B">
            <w:pPr>
              <w:jc w:val="center"/>
              <w:rPr>
                <w:rFonts w:ascii="Times New Roman" w:eastAsia="Calibri" w:hAnsi="Times New Roman" w:cs="Times New Roman"/>
              </w:rPr>
            </w:pPr>
          </w:p>
        </w:tc>
        <w:tc>
          <w:tcPr>
            <w:tcW w:w="900" w:type="dxa"/>
            <w:tcBorders>
              <w:top w:val="single" w:sz="4" w:space="0" w:color="FFFFFF"/>
            </w:tcBorders>
            <w:shd w:val="clear" w:color="auto" w:fill="auto"/>
            <w:textDirection w:val="btLr"/>
            <w:vAlign w:val="center"/>
          </w:tcPr>
          <w:p w14:paraId="284CF32E" w14:textId="77777777" w:rsidR="00153098" w:rsidRPr="00EE4762" w:rsidRDefault="00153098" w:rsidP="0024038B">
            <w:pPr>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762">
              <w:rPr>
                <w:rFonts w:ascii="Times New Roman" w:eastAsia="Calibri" w:hAnsi="Times New Roman" w:cs="Times New Roman"/>
              </w:rPr>
              <w:t>Fine</w:t>
            </w:r>
          </w:p>
        </w:tc>
        <w:tc>
          <w:tcPr>
            <w:tcW w:w="9966" w:type="dxa"/>
            <w:gridSpan w:val="5"/>
          </w:tcPr>
          <w:p w14:paraId="2B1A0327" w14:textId="77777777"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Participatory approaches to collect this information: </w:t>
            </w:r>
            <w:r w:rsidRPr="00EE4762">
              <w:rPr>
                <w:rFonts w:ascii="Times New Roman" w:eastAsia="Calibri" w:hAnsi="Times New Roman" w:cs="Times New Roman"/>
                <w:sz w:val="18"/>
                <w:szCs w:val="18"/>
              </w:rPr>
              <w:br/>
              <w:t xml:space="preserve">Survey-based techniques, focus group discussions, systematic surveys - may be used to assign weights to “coarse” social indicators or identify which social data to include in a suitability analysis </w:t>
            </w:r>
            <w:r w:rsidRPr="00EE4762">
              <w:rPr>
                <w:rFonts w:ascii="Times New Roman" w:eastAsia="Calibri" w:hAnsi="Times New Roman" w:cs="Times New Roman"/>
                <w:sz w:val="18"/>
                <w:szCs w:val="18"/>
              </w:rPr>
              <w:br/>
              <w:t>Participatory mapping, public participation GIS – data reported by community members in a spatial manner may be used to identify hotspots and clusters of social value, preferences, and other participant feedback.</w:t>
            </w:r>
          </w:p>
          <w:p w14:paraId="1FF7C809" w14:textId="77777777" w:rsidR="00153098" w:rsidRPr="00EE4762" w:rsidRDefault="00153098" w:rsidP="0024038B">
            <w:pPr>
              <w:spacing w:before="12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EE4762">
              <w:rPr>
                <w:rFonts w:ascii="Times New Roman" w:eastAsia="Calibri" w:hAnsi="Times New Roman" w:cs="Times New Roman"/>
                <w:sz w:val="18"/>
                <w:szCs w:val="18"/>
              </w:rPr>
              <w:t xml:space="preserve">Whenever possible, within the scope of a project, applying a “fine filter” lens for social data can help capture local level information on place-based values and a community’s preferences or priorities. This information is often washed out or inadequately represented in larger scale datasets that serve as proxies. </w:t>
            </w:r>
          </w:p>
        </w:tc>
      </w:tr>
      <w:bookmarkEnd w:id="0"/>
    </w:tbl>
    <w:p w14:paraId="372E0B6B" w14:textId="22459120" w:rsidR="0001139F" w:rsidRDefault="0001139F" w:rsidP="00153098"/>
    <w:p w14:paraId="61DD3A2F" w14:textId="77777777" w:rsidR="0001139F" w:rsidRPr="0001139F" w:rsidRDefault="0001139F">
      <w:pPr>
        <w:rPr>
          <w:rFonts w:ascii="Times New Roman" w:hAnsi="Times New Roman" w:cs="Times New Roman"/>
        </w:rPr>
      </w:pPr>
      <w:r>
        <w:br w:type="page"/>
      </w:r>
    </w:p>
    <w:p w14:paraId="147102A6" w14:textId="31BC5620" w:rsidR="0001139F" w:rsidRPr="0001139F" w:rsidRDefault="0001139F" w:rsidP="0001139F">
      <w:pPr>
        <w:pStyle w:val="Bibliography"/>
        <w:rPr>
          <w:rFonts w:ascii="Times New Roman" w:hAnsi="Times New Roman" w:cs="Times New Roman"/>
        </w:rPr>
      </w:pPr>
      <w:r w:rsidRPr="0001139F">
        <w:rPr>
          <w:rFonts w:ascii="Times New Roman" w:hAnsi="Times New Roman" w:cs="Times New Roman"/>
        </w:rPr>
        <w:lastRenderedPageBreak/>
        <w:t>References</w:t>
      </w:r>
    </w:p>
    <w:p w14:paraId="69926641" w14:textId="25143CE6" w:rsidR="0001139F" w:rsidRPr="0001139F" w:rsidRDefault="0001139F" w:rsidP="0001139F">
      <w:pPr>
        <w:pStyle w:val="Bibliography"/>
      </w:pPr>
      <w:r>
        <w:fldChar w:fldCharType="begin"/>
      </w:r>
      <w:r>
        <w:instrText xml:space="preserve"> ADDIN ZOTERO_BIBL {"uncited":[],"omitted":[],"custom":[]} CSL_BIBLIOGRAPHY </w:instrText>
      </w:r>
      <w:r>
        <w:fldChar w:fldCharType="separate"/>
      </w:r>
      <w:r w:rsidRPr="0001139F">
        <w:t>Brown, C. F., S. P. Brumby, B. Guzder-Williams, T. Birch, S. B. Hyde, J. Mazzariello, W. Czerwinski, V. J. Pasquarella, R. Haertel, S. Ilyushchenko, K. Schwehr, M. Weisse, F. Stolle, C. Hanson, O. Guinan, R. Moore, and A. M. Tait. 2022. Dynamic World, Near real-time global 10 m land use land cover mapping. Scientific Data 9:251.</w:t>
      </w:r>
    </w:p>
    <w:p w14:paraId="3069ADD8" w14:textId="77777777" w:rsidR="0001139F" w:rsidRPr="0001139F" w:rsidRDefault="0001139F" w:rsidP="0001139F">
      <w:pPr>
        <w:pStyle w:val="Bibliography"/>
      </w:pPr>
      <w:r w:rsidRPr="0001139F">
        <w:t>Chaplin-Kramer, R., R. A. Neugarten, R. P. Sharp, P. M. Collins, S. Polasky, D. Hole, R. Schuster, M. Strimas-Mackey, M. Mulligan, C. Brandon, S. Diaz, E. Fluet-Chouinard, L. J. Gorenflo, J. A. Johnson, C. M. Kennedy, P. W. Keys, K. Longley-Wood, P. B. McIntyre, M. Noon, U. Pascual, C. Reidy Liermann, P. R. Roehrdanz, G. Schmidt-Traub, M. R. Shaw, M. Spalding, W. R. Turner, A. Soesbergen, and R. A. Watson. 2023. Mapping the planet’s critical natural assets. Nature Ecology &amp; Evolution 7:51–61.</w:t>
      </w:r>
    </w:p>
    <w:p w14:paraId="613F1654" w14:textId="77777777" w:rsidR="0001139F" w:rsidRPr="0001139F" w:rsidRDefault="0001139F" w:rsidP="0001139F">
      <w:pPr>
        <w:pStyle w:val="Bibliography"/>
      </w:pPr>
      <w:r w:rsidRPr="0001139F">
        <w:t>Figueroa-Alfaro, R. W., and Z. Tang. 2017. Evaluating the aesthetic value of cultural ecosystem services by mapping geo-tagged photographs from social media data on Panoramio and Flickr. Journal of Environmental Planning and Management 60:266–281.</w:t>
      </w:r>
    </w:p>
    <w:p w14:paraId="4C486CB5" w14:textId="77777777" w:rsidR="0001139F" w:rsidRPr="0001139F" w:rsidRDefault="0001139F" w:rsidP="0001139F">
      <w:pPr>
        <w:pStyle w:val="Bibliography"/>
      </w:pPr>
      <w:r w:rsidRPr="0001139F">
        <w:t>Garnett, S. T., N. D. Burgess, J. E. Fa, Á. Fernández-Llamazares, Z. Molnár, C. J. Robinson, J. E. M. Watson, K. K. Zander, B. Austin, E. S. Brondizio, N. F. Collier, T. Duncan, E. Ellis, H. Geyle, M. V. Jackson, H. Jonas, P. Malmer, B. McGowan, A. Sivongxay, and I. Leiper. 2018. A spatial overview of the global importance of Indigenous lands for conservation. Nature Sustainability 1:369–374.</w:t>
      </w:r>
    </w:p>
    <w:p w14:paraId="117F2D94" w14:textId="77777777" w:rsidR="0001139F" w:rsidRPr="0001139F" w:rsidRDefault="0001139F" w:rsidP="0001139F">
      <w:pPr>
        <w:pStyle w:val="Bibliography"/>
      </w:pPr>
      <w:r w:rsidRPr="0001139F">
        <w:t>Grantham, H. S., A. Duncan, T. D. Evans, K. R. Jones, H. L. Beyer, R. Schuster, J. Walston, J. C. Ray, J. G. Robinson, M. Callow, T. Clements, H. M. Costa, A. DeGemmis, P. R. Elsen, J. Ervin, P. Franco, E. Goldman, S. Goetz, A. Hansen, E. Hofsvang, P. Jantz, S. Jupiter, A. Kang, P. Langhammer, W. F. Laurance, S. Lieberman, M. Linkie, Y. Malhi, S. Maxwell, M. Mendez, R. Mittermeier, N. J. Murray, H. Possingham, J. Radachowsky, S. Saatchi, C. Samper, J. Silverman, A. Shapiro, B. Strassburg, T. Stevens, E. Stokes, R. Taylor, T. Tear, R. Tizard, O. Venter, P. Visconti, S. Wang, and J. E. M. Watson. 2020. Anthropogenic modification of forests means only 40% of remaining fore sts have high ecosystem integrity. Nature Communications 11:5978.</w:t>
      </w:r>
    </w:p>
    <w:p w14:paraId="570447BA" w14:textId="77777777" w:rsidR="0001139F" w:rsidRPr="0001139F" w:rsidRDefault="0001139F" w:rsidP="0001139F">
      <w:pPr>
        <w:pStyle w:val="Bibliography"/>
      </w:pPr>
      <w:r w:rsidRPr="0001139F">
        <w:t xml:space="preserve">Grill, G., B. Lehner, M. Thieme, B. Geenen, D. Tickner, F. Antonelli, S. Babu, P. Borrelli, L. Cheng, H. Crochetiere, H. Ehalt Macedo, R. Filgueiras, M. Goichot, J. Higgins, Z. Hogan, B. Lip, M. E. McClain, J. Meng, M. Mulligan, C. Nilsson, J. D. Olden, J. J. </w:t>
      </w:r>
      <w:r w:rsidRPr="0001139F">
        <w:lastRenderedPageBreak/>
        <w:t>Opperman, P. Petry, C. Reidy Liermann, L. Sáenz, S. Salinas-Rodríguez, P. Schelle, R. J. P. Schmitt, J. Snider, F. Tan, K. Tockner, P. H. Valdujo, A. Soesbergen, and C. Zarfl. 2019. Mapping the world’s free-flowing rivers. Nature 569:215–221.</w:t>
      </w:r>
    </w:p>
    <w:p w14:paraId="5A4096EA" w14:textId="77777777" w:rsidR="0001139F" w:rsidRPr="0001139F" w:rsidRDefault="0001139F" w:rsidP="0001139F">
      <w:pPr>
        <w:pStyle w:val="Bibliography"/>
      </w:pPr>
      <w:r w:rsidRPr="0001139F">
        <w:t>Hansen, M. C., P. V. Potapov, R. Moore, M. Hancher, S. A. Turubanova, A. Tyukavina, D. Thau, S. V. Stehman, S. J. Goetz, T. R. Loveland, A. Kommareddy, A. Egorov, L. Chini, C. O. Justice, and J. R. G. Townshend. 2013. High-Resolution Global Maps of 21st-Century Forest Cover Change. Science 342:850–853.</w:t>
      </w:r>
    </w:p>
    <w:p w14:paraId="7AEA81DF" w14:textId="77777777" w:rsidR="0001139F" w:rsidRPr="0001139F" w:rsidRDefault="0001139F" w:rsidP="0001139F">
      <w:pPr>
        <w:pStyle w:val="Bibliography"/>
      </w:pPr>
      <w:r w:rsidRPr="0001139F">
        <w:t>Havinga, I., D. Marcos, P. W. Bogaart, L. Hein, and D. Tuia. 2021. Social media and deep learning capture the aesthetic quality of the landscape. Scientific Reports 11:20000.</w:t>
      </w:r>
    </w:p>
    <w:p w14:paraId="11853350" w14:textId="77777777" w:rsidR="0001139F" w:rsidRPr="0001139F" w:rsidRDefault="0001139F" w:rsidP="0001139F">
      <w:pPr>
        <w:pStyle w:val="Bibliography"/>
      </w:pPr>
      <w:r w:rsidRPr="0001139F">
        <w:t>Langemeyer, J., F. Calcagni, and F. Baró. 2018. Mapping the intangible: Using geolocated social media data to examine landscape aesthetics. Land Use Policy 77:542–552.</w:t>
      </w:r>
    </w:p>
    <w:p w14:paraId="3E0E3BBC" w14:textId="77777777" w:rsidR="0001139F" w:rsidRPr="0001139F" w:rsidRDefault="0001139F" w:rsidP="0001139F">
      <w:pPr>
        <w:pStyle w:val="Bibliography"/>
      </w:pPr>
      <w:r w:rsidRPr="0001139F">
        <w:t>Lumbierres, M., P. R. Dahal, C. D. Soria, M. Di Marco, S. H. M. Butchart, P. F. Donald, and C. Rondinini. 2022. Area of Habitat maps for the world’s terrestrial birds and mammals. Scientific Data 9:749.</w:t>
      </w:r>
    </w:p>
    <w:p w14:paraId="43167390" w14:textId="77777777" w:rsidR="0001139F" w:rsidRPr="0001139F" w:rsidRDefault="0001139F" w:rsidP="0001139F">
      <w:pPr>
        <w:pStyle w:val="Bibliography"/>
      </w:pPr>
      <w:r w:rsidRPr="0001139F">
        <w:t>Meijer, J. R., M. A. J. Huijbregts, K. C. G. J. Schotten, and A. M. Schipper. 2018. Global patterns of current and future road infrastructure. Environmental Research Letters 13:064006.</w:t>
      </w:r>
    </w:p>
    <w:p w14:paraId="4F5C341A" w14:textId="77777777" w:rsidR="0001139F" w:rsidRPr="0001139F" w:rsidRDefault="0001139F" w:rsidP="0001139F">
      <w:pPr>
        <w:pStyle w:val="Bibliography"/>
      </w:pPr>
      <w:r w:rsidRPr="0001139F">
        <w:t>Mulligan, M. 2017. Co$tingNature Policy Support System [Version 3]. Kings College London.</w:t>
      </w:r>
    </w:p>
    <w:p w14:paraId="1F47ACA7" w14:textId="77777777" w:rsidR="0001139F" w:rsidRPr="0001139F" w:rsidRDefault="0001139F" w:rsidP="0001139F">
      <w:pPr>
        <w:pStyle w:val="Bibliography"/>
      </w:pPr>
      <w:r w:rsidRPr="0001139F">
        <w:t>Oliphant, A., P. Thenkabail, and P. Teluguntla. 2022. Global food-security-support-analysis data at 30-m resolution (GFSAD30 ) cropland-extent products. U.S. Geological Survey (USGS).</w:t>
      </w:r>
    </w:p>
    <w:p w14:paraId="1BB74907" w14:textId="77777777" w:rsidR="0001139F" w:rsidRPr="0001139F" w:rsidRDefault="0001139F" w:rsidP="0001139F">
      <w:pPr>
        <w:pStyle w:val="Bibliography"/>
      </w:pPr>
      <w:r w:rsidRPr="0001139F">
        <w:t>Potapov, P., M. C. Hansen, A. Pickens, A. Hernandez-Serna, A. Tyukavina, S. Turubanova, V. Zalles, X. Li, A. Khan, F. Stolle, N. Harris, X.-P. Song, A. Baggett, I. Kommareddy, and A. Kommareddy. 2022. The Global 2000-2020 Land Cover and Land Use Change Dataset Derived From the Landsat Archive: First Results. Frontiers in Remote Sensing 3.</w:t>
      </w:r>
    </w:p>
    <w:p w14:paraId="61795A85" w14:textId="77777777" w:rsidR="0001139F" w:rsidRPr="0001139F" w:rsidRDefault="0001139F" w:rsidP="0001139F">
      <w:pPr>
        <w:pStyle w:val="Bibliography"/>
      </w:pPr>
      <w:r w:rsidRPr="0001139F">
        <w:t>Ryberg, D. S., Z. Tulemat, D. Stolten, and M. Robinius. 2020. Uniformly constrained land eligibility for onshore European wind power. Renewable Energy 146:921–931.</w:t>
      </w:r>
    </w:p>
    <w:p w14:paraId="07929D60" w14:textId="77777777" w:rsidR="0001139F" w:rsidRPr="0001139F" w:rsidRDefault="0001139F" w:rsidP="0001139F">
      <w:pPr>
        <w:pStyle w:val="Bibliography"/>
      </w:pPr>
      <w:r w:rsidRPr="0001139F">
        <w:lastRenderedPageBreak/>
        <w:t>Schiavina, M., M. Melchiorri, M. Pesaresi, P. Politis, F. S. M. Carneiro, L. Maffenini, P. Florio, D. Ehrlich, K. Goch, A. Carioli, J. Uhl, P. Tommasi, and T. Kemper. 2023. GHSL Data Package 2023. https://publications.jrc.ec.europa.eu/repository/handle/JRC133256.</w:t>
      </w:r>
    </w:p>
    <w:p w14:paraId="1EAC256C" w14:textId="77777777" w:rsidR="0001139F" w:rsidRPr="0001139F" w:rsidRDefault="0001139F" w:rsidP="0001139F">
      <w:pPr>
        <w:pStyle w:val="Bibliography"/>
      </w:pPr>
      <w:r w:rsidRPr="0001139F">
        <w:t>Seto, K. C., B. Güneralp, and L. R. Hutyra. 2012. Global forecasts of urban expansion to 2030 and direct impacts on biodiversity and carbon pools. Proceedings of the National Academy of Sciences 109:16083–16088.</w:t>
      </w:r>
    </w:p>
    <w:p w14:paraId="4D2466E4" w14:textId="77777777" w:rsidR="0001139F" w:rsidRPr="0001139F" w:rsidRDefault="0001139F" w:rsidP="0001139F">
      <w:pPr>
        <w:pStyle w:val="Bibliography"/>
      </w:pPr>
      <w:r w:rsidRPr="0001139F">
        <w:t>Seto, K. C., B. Güneralp, and L. R. Hutyra. 2016. Global Grid of Probabilities of Urban Expansion to 2030. Palisades, New York: NASA Socioeconomic Data and Applications Center ( SEDAC).</w:t>
      </w:r>
    </w:p>
    <w:p w14:paraId="088C1DAF" w14:textId="77777777" w:rsidR="0001139F" w:rsidRPr="0001139F" w:rsidRDefault="0001139F" w:rsidP="0001139F">
      <w:pPr>
        <w:pStyle w:val="Bibliography"/>
      </w:pPr>
      <w:r w:rsidRPr="0001139F">
        <w:t>Sherman, L., J. Proctor, H. Druckenmiller, H. Tapia, and S. Hsiang. 2026. Global high-resolution estimates of the UN Human Development Index using satellite imagery and machine learning. Nature Communications 17:1315.</w:t>
      </w:r>
    </w:p>
    <w:p w14:paraId="025B88C9" w14:textId="77777777" w:rsidR="0001139F" w:rsidRPr="0001139F" w:rsidRDefault="0001139F" w:rsidP="0001139F">
      <w:pPr>
        <w:pStyle w:val="Bibliography"/>
      </w:pPr>
      <w:r w:rsidRPr="0001139F">
        <w:t>Yoshimura, N., and T. Hiura. 2017. Demand and supply of cultural ecosystem services: Use of geotagged pho tos to map the aesthetic value of landscapes in Hokkaido. Ecosystem Services 24:68–78.</w:t>
      </w:r>
    </w:p>
    <w:p w14:paraId="0C9B4211" w14:textId="77777777" w:rsidR="0001139F" w:rsidRPr="0001139F" w:rsidRDefault="0001139F" w:rsidP="0001139F">
      <w:pPr>
        <w:pStyle w:val="Bibliography"/>
      </w:pPr>
      <w:r w:rsidRPr="0001139F">
        <w:t>van Zanten, B. T., D. B. Van Berkel, R. K. Meentemeyer, J. W. Smith, K. F. Tieskens, and P. H. Verburg. 2016. Continental-scale quantification of landscape values using social media data. Proceedings of the National Academy of Sciences 113:12974–12979.</w:t>
      </w:r>
    </w:p>
    <w:p w14:paraId="76472439" w14:textId="562358D8" w:rsidR="00700C4A" w:rsidRDefault="0001139F" w:rsidP="00153098">
      <w:r>
        <w:fldChar w:fldCharType="end"/>
      </w:r>
    </w:p>
    <w:sectPr w:rsidR="00700C4A" w:rsidSect="00817EF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3165A"/>
    <w:multiLevelType w:val="hybridMultilevel"/>
    <w:tmpl w:val="5DE22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952EB7"/>
    <w:multiLevelType w:val="hybridMultilevel"/>
    <w:tmpl w:val="A0D6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14EFF"/>
    <w:multiLevelType w:val="hybridMultilevel"/>
    <w:tmpl w:val="B4C45F82"/>
    <w:lvl w:ilvl="0" w:tplc="8066366A">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B4147"/>
    <w:multiLevelType w:val="hybridMultilevel"/>
    <w:tmpl w:val="E4D66D50"/>
    <w:lvl w:ilvl="0" w:tplc="8066366A">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681864"/>
    <w:multiLevelType w:val="hybridMultilevel"/>
    <w:tmpl w:val="9210FDBE"/>
    <w:lvl w:ilvl="0" w:tplc="8066366A">
      <w:start w:val="1"/>
      <w:numFmt w:val="bullet"/>
      <w:lvlText w:val=""/>
      <w:lvlJc w:val="left"/>
      <w:pPr>
        <w:ind w:left="50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A82720"/>
    <w:multiLevelType w:val="hybridMultilevel"/>
    <w:tmpl w:val="2424BC3E"/>
    <w:lvl w:ilvl="0" w:tplc="C2A824E2">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4458488">
    <w:abstractNumId w:val="4"/>
  </w:num>
  <w:num w:numId="2" w16cid:durableId="363792438">
    <w:abstractNumId w:val="2"/>
  </w:num>
  <w:num w:numId="3" w16cid:durableId="331303512">
    <w:abstractNumId w:val="3"/>
  </w:num>
  <w:num w:numId="4" w16cid:durableId="1135566190">
    <w:abstractNumId w:val="5"/>
  </w:num>
  <w:num w:numId="5" w16cid:durableId="1251113298">
    <w:abstractNumId w:val="0"/>
  </w:num>
  <w:num w:numId="6" w16cid:durableId="1599171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C4A"/>
    <w:rsid w:val="0001139F"/>
    <w:rsid w:val="000165DF"/>
    <w:rsid w:val="000408BC"/>
    <w:rsid w:val="00060217"/>
    <w:rsid w:val="000B4BF6"/>
    <w:rsid w:val="00114759"/>
    <w:rsid w:val="00153098"/>
    <w:rsid w:val="00185A1E"/>
    <w:rsid w:val="001F0B7D"/>
    <w:rsid w:val="002F17BD"/>
    <w:rsid w:val="00437D43"/>
    <w:rsid w:val="00462E0B"/>
    <w:rsid w:val="004C317E"/>
    <w:rsid w:val="006418ED"/>
    <w:rsid w:val="00700C4A"/>
    <w:rsid w:val="00817EFF"/>
    <w:rsid w:val="00AE30DD"/>
    <w:rsid w:val="00B369B4"/>
    <w:rsid w:val="00BD3546"/>
    <w:rsid w:val="00DD419D"/>
    <w:rsid w:val="00E52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E95C"/>
  <w15:chartTrackingRefBased/>
  <w15:docId w15:val="{78DF219E-FA24-4DD3-BF50-B096D2E8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C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C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C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C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C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C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C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C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C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C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C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C4A"/>
    <w:rPr>
      <w:rFonts w:eastAsiaTheme="majorEastAsia" w:cstheme="majorBidi"/>
      <w:color w:val="272727" w:themeColor="text1" w:themeTint="D8"/>
    </w:rPr>
  </w:style>
  <w:style w:type="paragraph" w:styleId="Title">
    <w:name w:val="Title"/>
    <w:basedOn w:val="Normal"/>
    <w:next w:val="Normal"/>
    <w:link w:val="TitleChar"/>
    <w:uiPriority w:val="10"/>
    <w:qFormat/>
    <w:rsid w:val="00700C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C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C4A"/>
    <w:pPr>
      <w:spacing w:before="160"/>
      <w:jc w:val="center"/>
    </w:pPr>
    <w:rPr>
      <w:i/>
      <w:iCs/>
      <w:color w:val="404040" w:themeColor="text1" w:themeTint="BF"/>
    </w:rPr>
  </w:style>
  <w:style w:type="character" w:customStyle="1" w:styleId="QuoteChar">
    <w:name w:val="Quote Char"/>
    <w:basedOn w:val="DefaultParagraphFont"/>
    <w:link w:val="Quote"/>
    <w:uiPriority w:val="29"/>
    <w:rsid w:val="00700C4A"/>
    <w:rPr>
      <w:i/>
      <w:iCs/>
      <w:color w:val="404040" w:themeColor="text1" w:themeTint="BF"/>
    </w:rPr>
  </w:style>
  <w:style w:type="paragraph" w:styleId="ListParagraph">
    <w:name w:val="List Paragraph"/>
    <w:basedOn w:val="Normal"/>
    <w:uiPriority w:val="34"/>
    <w:qFormat/>
    <w:rsid w:val="00700C4A"/>
    <w:pPr>
      <w:ind w:left="720"/>
      <w:contextualSpacing/>
    </w:pPr>
  </w:style>
  <w:style w:type="character" w:styleId="IntenseEmphasis">
    <w:name w:val="Intense Emphasis"/>
    <w:basedOn w:val="DefaultParagraphFont"/>
    <w:uiPriority w:val="21"/>
    <w:qFormat/>
    <w:rsid w:val="00700C4A"/>
    <w:rPr>
      <w:i/>
      <w:iCs/>
      <w:color w:val="0F4761" w:themeColor="accent1" w:themeShade="BF"/>
    </w:rPr>
  </w:style>
  <w:style w:type="paragraph" w:styleId="IntenseQuote">
    <w:name w:val="Intense Quote"/>
    <w:basedOn w:val="Normal"/>
    <w:next w:val="Normal"/>
    <w:link w:val="IntenseQuoteChar"/>
    <w:uiPriority w:val="30"/>
    <w:qFormat/>
    <w:rsid w:val="00700C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C4A"/>
    <w:rPr>
      <w:i/>
      <w:iCs/>
      <w:color w:val="0F4761" w:themeColor="accent1" w:themeShade="BF"/>
    </w:rPr>
  </w:style>
  <w:style w:type="character" w:styleId="IntenseReference">
    <w:name w:val="Intense Reference"/>
    <w:basedOn w:val="DefaultParagraphFont"/>
    <w:uiPriority w:val="32"/>
    <w:qFormat/>
    <w:rsid w:val="00700C4A"/>
    <w:rPr>
      <w:b/>
      <w:bCs/>
      <w:smallCaps/>
      <w:color w:val="0F4761" w:themeColor="accent1" w:themeShade="BF"/>
      <w:spacing w:val="5"/>
    </w:rPr>
  </w:style>
  <w:style w:type="table" w:customStyle="1" w:styleId="PlainTable51">
    <w:name w:val="Plain Table 51"/>
    <w:basedOn w:val="TableNormal"/>
    <w:next w:val="PlainTable5"/>
    <w:uiPriority w:val="45"/>
    <w:rsid w:val="00700C4A"/>
    <w:pPr>
      <w:spacing w:after="0" w:line="240" w:lineRule="auto"/>
    </w:pPr>
    <w:rPr>
      <w:kern w:val="0"/>
      <w:sz w:val="22"/>
      <w:szCs w:val="22"/>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700C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4C317E"/>
  </w:style>
  <w:style w:type="table" w:customStyle="1" w:styleId="GridTable5Dark-Accent31">
    <w:name w:val="Grid Table 5 Dark - Accent 31"/>
    <w:basedOn w:val="TableNormal"/>
    <w:next w:val="GridTable5Dark-Accent3"/>
    <w:uiPriority w:val="50"/>
    <w:rsid w:val="00153098"/>
    <w:pPr>
      <w:spacing w:after="0" w:line="240" w:lineRule="auto"/>
    </w:pPr>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3">
    <w:name w:val="Grid Table 5 Dark Accent 3"/>
    <w:basedOn w:val="TableNormal"/>
    <w:uiPriority w:val="50"/>
    <w:rsid w:val="001530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character" w:styleId="Hyperlink">
    <w:name w:val="Hyperlink"/>
    <w:basedOn w:val="DefaultParagraphFont"/>
    <w:uiPriority w:val="99"/>
    <w:unhideWhenUsed/>
    <w:rsid w:val="00437D43"/>
    <w:rPr>
      <w:color w:val="467886" w:themeColor="hyperlink"/>
      <w:u w:val="single"/>
    </w:rPr>
  </w:style>
  <w:style w:type="character" w:styleId="UnresolvedMention">
    <w:name w:val="Unresolved Mention"/>
    <w:basedOn w:val="DefaultParagraphFont"/>
    <w:uiPriority w:val="99"/>
    <w:semiHidden/>
    <w:unhideWhenUsed/>
    <w:rsid w:val="00437D43"/>
    <w:rPr>
      <w:color w:val="605E5C"/>
      <w:shd w:val="clear" w:color="auto" w:fill="E1DFDD"/>
    </w:rPr>
  </w:style>
  <w:style w:type="paragraph" w:styleId="Bibliography">
    <w:name w:val="Bibliography"/>
    <w:basedOn w:val="Normal"/>
    <w:next w:val="Normal"/>
    <w:uiPriority w:val="37"/>
    <w:unhideWhenUsed/>
    <w:rsid w:val="00011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bif.org/" TargetMode="External"/><Relationship Id="rId3" Type="http://schemas.openxmlformats.org/officeDocument/2006/relationships/settings" Target="settings.xml"/><Relationship Id="rId7" Type="http://schemas.openxmlformats.org/officeDocument/2006/relationships/hyperlink" Target="https://www.iucnredlist.org/resources/spatial-data-downlo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ea.europa.eu/data-and-maps/data/natura-14" TargetMode="External"/><Relationship Id="rId11" Type="http://schemas.openxmlformats.org/officeDocument/2006/relationships/fontTable" Target="fontTable.xml"/><Relationship Id="rId5" Type="http://schemas.openxmlformats.org/officeDocument/2006/relationships/hyperlink" Target="https://glad.umd.edu/dataset/GLCLUC2020" TargetMode="External"/><Relationship Id="rId10" Type="http://schemas.openxmlformats.org/officeDocument/2006/relationships/hyperlink" Target="https://www.inaturalist.org/" TargetMode="External"/><Relationship Id="rId4" Type="http://schemas.openxmlformats.org/officeDocument/2006/relationships/webSettings" Target="webSettings.xml"/><Relationship Id="rId9" Type="http://schemas.openxmlformats.org/officeDocument/2006/relationships/hyperlink" Target="https://ebird.org/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10366</Words>
  <Characters>59090</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Bhattacharjee</dc:creator>
  <cp:keywords/>
  <dc:description/>
  <cp:lastModifiedBy>Ash Bhattacharjee</cp:lastModifiedBy>
  <cp:revision>5</cp:revision>
  <dcterms:created xsi:type="dcterms:W3CDTF">2026-06-19T20:00:00Z</dcterms:created>
  <dcterms:modified xsi:type="dcterms:W3CDTF">2026-07-21T18:24:00Z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id="X0yxryBb"/&gt;&lt;style id="http://www.zotero.org/styles/ecology" hasBibliography="1" bibliographyStyleHasBeenSet="1"/&gt;&lt;prefs&gt;&lt;pref name="fieldType" value="Field"/&gt;&lt;/prefs&gt;&lt;/data&gt;</vt:lpwstr>
  </property>
</Properties>
</file>