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48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Tables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Title: Bilingual Retrieval-Augmented Access to ANVISA Regulatory Documents</w:t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S1. Expanded development decision table</w:t>
      </w:r>
    </w:p>
    <w:tbl>
      <w:tblPr>
        <w:tblStyle w:val="TableGrid"/>
        <w:tblW w:w="138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2765"/>
        <w:gridCol w:w="2765"/>
        <w:gridCol w:w="2765"/>
        <w:gridCol w:w="2765"/>
        <w:gridCol w:w="2765"/>
      </w:tblGrid>
      <w:tr>
        <w:trPr>
          <w:tblHeader w:val="true"/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Question category or system issue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What the system did well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What went wrong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What was changed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What this means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Source cleaning and document identity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project identified the intended regulatory corpus.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Local source files included formatting artifacts and one misleading local file name.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Source text was cleaned and document identity was checked against official regulation names.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Regulatory RAG needs a stable and auditable corpus before retrieval metrics are interpretable.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Direct article questions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Retrieved and cited the correct article for compact questions.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Some answers still omitted conditions.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Article-level indexing and completeness prompting were added.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Useful for navigation, but citations must be checked.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English questions over Portuguese sources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Improved after Portuguese retrieval anchors.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English completeness was initially weak.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Conservative bilingual term anchors were added.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Bilingual search is feasible but needs controlled terminology.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Rule-plus-exception questions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Often found the right document.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Sometimes gave the exception without the general rule.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Rule-plus-exception failures were tracked separately.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Regulatory answers must preserve legal structure.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Long-list questions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Often found the right article.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Omitted one element, condition, or deadline.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Answer-completeness checks were added.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Average metrics can hide operationally important omissions.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False-premise questions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Could correct the premise and cite evidence.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Automated labels could confuse false premise with refusal.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False-premise questions were kept as a separate category.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These questions should not be merged with ordinary unanswerable questions.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Current or operational facts outside corpus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Refused after calibration.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Earlier system answered from nearby general text.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 stricter refusal rule and separate refusal test were added.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calibration is central for regulatory safety.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AI-authored prospective-test questions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Confirmed strong answerable-question behavior.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correctness dropped to 0.700.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was repaired using separate development data.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AI-authored prospective testing changed the project story.</w:t>
            </w:r>
          </w:p>
        </w:tc>
      </w:tr>
    </w:tbl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S2. Expanded representative answer outcomes</w:t>
      </w:r>
    </w:p>
    <w:tbl>
      <w:tblPr>
        <w:tblStyle w:val="TableGrid"/>
        <w:tblW w:w="1382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456"/>
        <w:gridCol w:w="3456"/>
        <w:gridCol w:w="3456"/>
        <w:gridCol w:w="3456"/>
      </w:tblGrid>
      <w:tr>
        <w:trPr>
          <w:tblHeader w:val="true"/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Question type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Example question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System behavior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Interpretation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answer, pharmacovigilance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Which minimum information makes a notification valid and reportable?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Retrieved RDC 406/2020, Art. 32 and listed the minimum elements.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source and correct main answer.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false-premise handling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Is a notification valid without patient identification if the suspected medicine is named?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Answered no and cited RDC 406/2020, Art. 32.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Useful because it corrected the premise.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clinical-trial safety answer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Does possible SUSAR reporting allow unblinding all participants?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Answered no; unblinding is limited to the affected participant and cited RDC 945/2024, Art. 67.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and relevant to trial conduct.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refusal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What is the current MedDRA version required today?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Refused because the indexed documents mention MedDRA but not the current required version.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Appropriate refusal for current operational information.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refusal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What is the current phone number for Anvisa support for the adverse-event notification system?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Refused because the corpus does not contain current support contact information.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Appropriate evidence boundary.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Incomplete answer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What information must appear for non-printed instructions for use?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Retrieved RDC 751/2022, Art. 51 but omitted that instructions must remain available while the product is on the market.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article, incomplete answer.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Incomplete answer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Can a foreign-manufactured biological product be registered without registration in the manufacturing country?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Gave the exception but did not clearly state the general rule.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Risk of treating an exception as the whole rule.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False refusal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Under RDC 945/2024, until when must DSURs be sent to Anvisa and what is the annual reference date?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Refused in one English prospective-test row although the corpus contained the answer.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Retrieval or answer threshold failure.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failure before calibration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What is the current electronic form model for notifying SUSARs to Anvisa?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Earlier AI-authored prospective testing sometimes answered with the general electronic-notification requirement.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Related context was mistaken for sufficient evidence.</w:t>
            </w:r>
          </w:p>
        </w:tc>
      </w:tr>
    </w:tbl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S3. Evaluation-stage summary</w:t>
      </w:r>
    </w:p>
    <w:tbl>
      <w:tblPr>
        <w:tblStyle w:val="TableGrid"/>
        <w:tblW w:w="1382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4608"/>
        <w:gridCol w:w="4608"/>
        <w:gridCol w:w="4608"/>
      </w:tblGrid>
      <w:tr>
        <w:trPr>
          <w:tblHeader w:val="true"/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Stage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Main finding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Use in interpretation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Initial held-out evaluation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English completeness was the weak point; some answers omitted list items, conditions, or exceptions.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Development diagnosis.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Post-repair internal evaluation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High internal scores showed that the repaired system passed the curated benchmark.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Internal technical check, not independent validation.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AI-authored prospective stress test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Answerable questions were mostly supported, but refusal behavior was weak.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Diagnostic prospective evidence that changed the project focus.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Refusal-focused AI-authored test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improved after separate calibration, with no over-refusal on answerable controls.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Focused AI-authored check of refusal calibration.</w:t>
            </w:r>
          </w:p>
        </w:tc>
      </w:tr>
    </w:tbl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S4. Main-table disposition after revision</w:t>
      </w:r>
    </w:p>
    <w:tbl>
      <w:tblPr>
        <w:tblStyle w:val="TableGrid"/>
        <w:tblW w:w="1382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4608"/>
        <w:gridCol w:w="4608"/>
        <w:gridCol w:w="4608"/>
      </w:tblGrid>
      <w:tr>
        <w:trPr>
          <w:tblHeader w:val="true"/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Original table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Revision decision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Reason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Table 1. Regulatory domains represented in the corpus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Replaced with a shorter corpus-and-use-case table.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Reduces page splitting and overlaps less with Figure 2.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Table 2. Question categories and corrective actions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Condensed in the main text and expanded as Supplementary Table S1.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Full version was too dense for the main manuscript.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Table 3. Representative examples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Condensed in the main text and expanded as Supplementary Table S2.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Keeps the story visible while moving audit-level detail to the supplement.</w:t>
            </w:r>
          </w:p>
        </w:tc>
      </w:tr>
      <w:tr>
        <w:trPr>
          <w:cantSplit w:val="true"/>
        </w:trPr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Table 4. Summary of evaluation stages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Removed from the main text and moved to Supplementary Table S3.</w:t>
            </w:r>
          </w:p>
        </w:tc>
        <w:tc>
          <w:tcPr>
            <w:tcW w:w="46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Redundant with Figure 3A and Figure 3B.</w:t>
            </w:r>
          </w:p>
        </w:tc>
      </w:tr>
    </w:tbl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S5. Decision trace from course notebooks to final ANVISA RAG</w:t>
      </w:r>
    </w:p>
    <w:tbl>
      <w:tblPr>
        <w:tblStyle w:val="TableGrid"/>
        <w:tblW w:w="138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2765"/>
        <w:gridCol w:w="2765"/>
        <w:gridCol w:w="2765"/>
        <w:gridCol w:w="2765"/>
        <w:gridCol w:w="2765"/>
      </w:tblGrid>
      <w:tr>
        <w:trPr>
          <w:tblHeader w:val="true"/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Stage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Local evidence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Main decision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Reason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Effect on final system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1: local LLM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file and repository copy notebooks/1_LLM.ipynb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Start from a Python project pattern with environment.yml, .env, src/config.py, src/model_loader.py, src/engine.py, and main.py.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course notebook provided a simple, reproducible local LLM scaffold.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project kept the separated configuration, model-loading, engine, and app structure.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2: chatbot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file and repository copy notebooks/2_chatbot.ipynb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Add a chat interface and system prompt rather than a one-shot completion loop.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target use case was question answering by regulatory users.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app kept an interactive Streamlit question-answer interface, although the final evaluation used scripted runs.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3: generic RAG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Course notebook file and repository copy notebooks/3_rag.ipynb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Replace the demonstration corpus with selected ANVISA text files.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project idea was to adapt the teaching RAG workflow from a generic text example to regulatory documents.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data folder became a closed ANVISA corpus rather than an open web or general-document system.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Borrowed Shenia source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src_RAG_Shenia/engine.py in the recovered project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Test a stronger RAG pattern using semantic splitting, HyDE, reranking, and chat memory.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borrowed source worked in another project and showed useful retrieval options beyond the teacher notebook.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Some ideas were retained conceptually, especially reranking, but HyDE/semantic splitting/chat memory were not the final regulatory design.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First ANVISA implementation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Recovered ANVISA RAG project folder and Codex recovered copy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Build an ANVISA Streamlit app with LlamaIndex, local embeddings, Gemini, and indexed ANVISA text files.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original DSAI2 project folder was later moved; the recovered project contains the app, ANVISA data, cleaned_data, evaluation notebooks, and vector stores.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This is the local ancestor of the publication repository.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Environment failure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Early app traceback: ModuleNotFoundError for llama_index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Treat dependency setup as part of reproducibility rather than an incidental app problem.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app could not run without the correct conda/Python environment and LlamaIndex packages.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Methods now report Python version, packages, and implementation files.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Corpus cleaning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scripts/clean_regulatory_texts.py and reports/cleaned_data_audit.csv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Create raw-to-cleaned source processing before indexing.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Regulatory text exported from web/PDF-like sources contained markup and boilerplate.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corpus is indexed from cleaned text, with source links and checksums supplied for reproducibility.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Article-aware indexing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src/article_chunking.py and reports/article_chunk_audit.json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Use one article per chunk when possible, with document and article metadata.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Regulatory questions usually map to articles, not arbitrary token windows.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index contains 382 detected articles and 481 chunks.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Hybrid retrieval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src/retrieval.py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Combine dense retrieval and BM25, then merge candidates by reciprocal rank fusion.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Exact terms such as RDC 945/2024, DDCM, DEEC, Art. 33, and IN 338 matter in legal/regulatory text.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Dense and keyword retrieval are both reported and auditable.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Reranking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src/retrieval.py and src/config.py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Retrieve more candidates and rerank down to the final answer context.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Early retrieval could find broadly related but not exact passages.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answer context uses top reranked passages rather than only raw vector similarity.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English questions over Portuguese sources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src/model_loader.py and evaluation/compare_rewrite_runs.py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Add conservative Portuguese retrieval anchors while preserving regulatory terms.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English completeness was weak in the first held-out evaluation.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Bilingual access is supported, but language-specific metrics are reported separately.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 rules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src/prompts.py and evaluation/answer_quality.py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Require article citations and refusal when retrieved evidence is insufficient.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Correct source retrieval did not guarantee complete or safe answers.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Citation correctness, completeness, and refusal correctness became primary endpoints.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AI-judge evaluation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evaluation/publication_eval.py and Supplementary Methods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Use an automated judge because two independent experts were not available.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project was performed by one researcher.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claim is limited to technical evaluation; AI judging is not presented as expert validation.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Stress testing after high internal scores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prospective-test output files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Run an AI-authored prospective stress test after internal metrics became high.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Perfect-looking internal scores could reflect saturation, targeted repairs, or same-model-family judging.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stress test exposed refusal weakness and changed the project interpretation.</w:t>
            </w:r>
          </w:p>
        </w:tc>
      </w:tr>
      <w:tr>
        <w:trPr>
          <w:cantSplit w:val="true"/>
        </w:trPr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calibration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refusal-development files and refusal-focused AI-authored test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Repair refusal on separate development data, then test a new refusal-focused set.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first prospective test showed that nearby related text could trigger unsupported answers.</w:t>
            </w:r>
          </w:p>
        </w:tc>
        <w:tc>
          <w:tcPr>
            <w:tcW w:w="27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Refusal correctness improved, but answerable-control completeness showed a trade-off.</w:t>
            </w:r>
          </w:p>
        </w:tc>
      </w:tr>
    </w:tbl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Table S6. Investigation of saturated internal metrics</w:t>
      </w:r>
    </w:p>
    <w:tbl>
      <w:tblPr>
        <w:tblStyle w:val="TableGrid"/>
        <w:tblW w:w="1382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456"/>
        <w:gridCol w:w="3456"/>
        <w:gridCol w:w="3456"/>
        <w:gridCol w:w="3456"/>
      </w:tblGrid>
      <w:tr>
        <w:trPr>
          <w:tblHeader w:val="true"/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Why it was suspicious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Investigation performed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Interpretation for reliability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Internal refusal correctness reached 1.000 on curated unanswerable rows.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rows were part of a benchmark built during the project and evaluated after targeted repair.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 separate AI-authored prospective stress test was run once after the pipeline was frozen.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perfect internal value was not treated as proof of general refusal reliability.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Several post-repair means approached 1.000.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repair sets were not paired repeats of the same baseline set and were created after error review.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Figure 3A labels these as development-stage results, not statistical before-after proof.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values document that specific failure modes were repaired under controlled conditions.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Prospective answerable rows still showed faithfulness of 1.000.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Faithfulness can saturate when answers are short and tightly tied to retrieved articles.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Completeness, citation correctness, source MRR, article Recall@5, and examples were reported beside faithfulness.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Faithfulness alone is insufficient; incomplete answers remain possible even with supported claims.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first prospective stress test had refusal correctness of 0.700.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This contradicted the internal refusal value of 1.000.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Failure review showed answers based on nearby general rules when the exact current or operational fact was absent.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This was the main evidence that internal 1.000 metrics were inflated or at least too narrow.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refusal-focused AI-authored test improved refusal correctness to 0.944.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 high post-calibration score can also be overinterpreted.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Answerable controls were included and their completeness was reported at 0.908.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final claim is bounded: refusal improved, but completeness trade-offs and closed-corpus limits remain.</w:t>
            </w:r>
          </w:p>
        </w:tc>
      </w:tr>
      <w:tr>
        <w:trPr>
          <w:cantSplit w:val="true"/>
        </w:trPr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answer model and judge used the same model family.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Same-model-family grading can overestimate quality.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manuscript reports this as a limitation and provides per-question outputs for audit.</w:t>
            </w:r>
          </w:p>
        </w:tc>
        <w:tc>
          <w:tcPr>
            <w:tcW w:w="3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 w:ascii="Arial" w:hAnsi="Arial"/>
                <w:b w:val="false"/>
                <w:kern w:val="0"/>
                <w:sz w:val="24"/>
                <w:szCs w:val="24"/>
                <w:lang w:val="en-US" w:eastAsia="en-US" w:bidi="ar-SA"/>
              </w:rPr>
              <w:t>The AI judge supports reproducibility, not independent expert validation.</w:t>
            </w:r>
          </w:p>
        </w:tc>
      </w:tr>
    </w:tbl>
    <w:p>
      <w:pPr>
        <w:pStyle w:val="Normal"/>
        <w:spacing w:before="0" w:after="2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orient="landscape" w:w="15840" w:h="12240"/>
      <w:pgMar w:left="1008" w:right="1008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LibreOffice/26.2.1.2$MacOSX_AARCH64 LibreOffice_project/8399f6259d8c87f40e7255cdb3c9b958f5e08948</Application>
  <AppVersion>15.0000</AppVersion>
  <Pages>8</Pages>
  <Words>1770</Words>
  <Characters>11528</Characters>
  <CharactersWithSpaces>13067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2026-07-21T23:40:27Z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