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8719" w14:textId="77777777" w:rsidR="00986E9D" w:rsidRDefault="00986E9D" w:rsidP="00986E9D">
      <w:pPr>
        <w:pStyle w:val="Heading2"/>
      </w:pPr>
      <w:r>
        <w:t>Supplementary Figures</w:t>
      </w:r>
    </w:p>
    <w:p w14:paraId="09E7C8F0" w14:textId="77777777" w:rsidR="00986E9D" w:rsidRDefault="00986E9D" w:rsidP="00986E9D">
      <w:r>
        <w:rPr>
          <w:b/>
        </w:rPr>
        <w:t>Supplementary Figure 1. Prospective-test retrieval validity.</w:t>
      </w:r>
      <w:r>
        <w:t xml:space="preserve"> Retrieval-validity metrics for the AI-authored prospective stress test, including source hit, source MRR, normalized article Recall@5, normalized article MRR@5, citation presence, and retrieved-citation validity. The figure supports the interpretation that answerable-question retrieval was strong while refusal behavior remained a separate weakness.</w:t>
      </w:r>
    </w:p>
    <w:p w14:paraId="1C146686" w14:textId="77777777" w:rsidR="00986E9D" w:rsidRDefault="00986E9D" w:rsidP="00986E9D">
      <w:r>
        <w:rPr>
          <w:b/>
        </w:rPr>
        <w:t>Supplementary Figure 2. Benchmark composition.</w:t>
      </w:r>
      <w:r>
        <w:t xml:space="preserve"> Distribution of the 200-question bilingual internal benchmark by language and question category. The figure documents the balance between Portuguese and English questions and the inclusion of answerable, multi-article or exception, and unanswerable/adversarial rows.</w:t>
      </w:r>
    </w:p>
    <w:p w14:paraId="55ADD328" w14:textId="77777777" w:rsidR="00986E9D" w:rsidRDefault="00986E9D" w:rsidP="00986E9D">
      <w:r>
        <w:rPr>
          <w:b/>
        </w:rPr>
        <w:t>Supplementary Figure 3. Article-aware chunk distribution.</w:t>
      </w:r>
      <w:r>
        <w:t xml:space="preserve"> Distribution of article-level chunks across the indexed ANVISA documents. The figure documents the article-aware indexing strategy, including the predominance of single-article chunks and the smaller number of long articles split into overlapping chunks.</w:t>
      </w:r>
    </w:p>
    <w:p w14:paraId="088A9361" w14:textId="77777777" w:rsidR="00986E9D" w:rsidRDefault="00986E9D" w:rsidP="00986E9D">
      <w:r>
        <w:rPr>
          <w:b/>
        </w:rPr>
        <w:t>Supplementary Figure 4. Streamlit RAG-answer smoke test.</w:t>
      </w:r>
      <w:r>
        <w:t xml:space="preserve"> Screenshot-based evidence that the recovered Streamlit application and backend RAG components could load and return a cited answer with retrieved sources. This figure is a runtime smoke test and was not counted as a benchmark row.</w:t>
      </w:r>
    </w:p>
    <w:p w14:paraId="4744AEA7" w14:textId="77777777" w:rsidR="00986E9D" w:rsidRDefault="00986E9D" w:rsidP="00986E9D">
      <w:pPr>
        <w:pStyle w:val="Heading2"/>
      </w:pPr>
      <w:r>
        <w:t>Main Article Tables</w:t>
      </w:r>
    </w:p>
    <w:p w14:paraId="30ED2246" w14:textId="77777777" w:rsidR="00986E9D" w:rsidRDefault="00986E9D" w:rsidP="00986E9D">
      <w:r>
        <w:rPr>
          <w:b/>
        </w:rPr>
        <w:t>Table 1. ANVISA corpus and regulatory use cases.</w:t>
      </w:r>
      <w:r>
        <w:t xml:space="preserve"> Summary of the six indexed ANVISA regulations, the regulatory domains represented in the corpus, and the practical drug-development or regulatory-affairs question types each document supports.</w:t>
      </w:r>
    </w:p>
    <w:p w14:paraId="14489699" w14:textId="77777777" w:rsidR="00986E9D" w:rsidRDefault="00986E9D" w:rsidP="00986E9D">
      <w:r>
        <w:rPr>
          <w:b/>
        </w:rPr>
        <w:t>Table 2. Development decisions made after observed failures.</w:t>
      </w:r>
      <w:r>
        <w:t xml:space="preserve"> Condensed trace of the main failure categories observed during development, the corrective decisions made, and the effect of those decisions on the final RAG pipeline and evaluation strategy.</w:t>
      </w:r>
    </w:p>
    <w:p w14:paraId="3FC623C7" w14:textId="77777777" w:rsidR="00986E9D" w:rsidRDefault="00986E9D" w:rsidP="00986E9D">
      <w:r>
        <w:rPr>
          <w:b/>
        </w:rPr>
        <w:t>Table 3. Representative answer outcomes.</w:t>
      </w:r>
      <w:r>
        <w:t xml:space="preserve"> Selected examples of correct answers, incomplete answers, false refusals, and refusal failures. The table illustrates why the manuscript interprets completeness and refusal calibration as primary regulatory RAG endpoints.</w:t>
      </w:r>
    </w:p>
    <w:p w14:paraId="2F576BFA" w14:textId="77777777" w:rsidR="00986E9D" w:rsidRDefault="00986E9D" w:rsidP="00986E9D">
      <w:pPr>
        <w:pStyle w:val="Heading2"/>
      </w:pPr>
      <w:r>
        <w:t>Supplementary Tables</w:t>
      </w:r>
    </w:p>
    <w:p w14:paraId="47D611C3" w14:textId="77777777" w:rsidR="00986E9D" w:rsidRDefault="00986E9D" w:rsidP="00986E9D">
      <w:r>
        <w:rPr>
          <w:b/>
        </w:rPr>
        <w:t>Supplementary Table S1. Expanded development decision table.</w:t>
      </w:r>
      <w:r>
        <w:t xml:space="preserve"> Expanded version of the failure-to-repair table, covering source cleaning, direct article questions, English questions over Portuguese sources, rule-plus-exception questions, long-list questions, false-premise questions, current operational facts outside the corpus, and AI-authored prospective-test questions.</w:t>
      </w:r>
    </w:p>
    <w:p w14:paraId="7A744BAA" w14:textId="77777777" w:rsidR="00986E9D" w:rsidRDefault="00986E9D" w:rsidP="00986E9D">
      <w:r>
        <w:rPr>
          <w:b/>
        </w:rPr>
        <w:t>Supplementary Table S2. Expanded representative answer outcomes.</w:t>
      </w:r>
      <w:r>
        <w:t xml:space="preserve"> Expanded example table showing representative correct answers, incomplete answers, false refusals, and refusal failures, with interpretation of what each outcome meant for the system design.</w:t>
      </w:r>
    </w:p>
    <w:p w14:paraId="5A87B330" w14:textId="77777777" w:rsidR="00986E9D" w:rsidRDefault="00986E9D" w:rsidP="00986E9D">
      <w:r>
        <w:rPr>
          <w:b/>
        </w:rPr>
        <w:lastRenderedPageBreak/>
        <w:t>Supplementary Table S3. Evaluation-stage summary.</w:t>
      </w:r>
      <w:r>
        <w:t xml:space="preserve"> Summary of the evaluation stages used to interpret the system: initial held-out evaluation, post-repair internal evaluation, AI-authored prospective stress test, and refusal-focused AI-authored test.</w:t>
      </w:r>
    </w:p>
    <w:p w14:paraId="22F23126" w14:textId="77777777" w:rsidR="00986E9D" w:rsidRDefault="00986E9D" w:rsidP="00986E9D">
      <w:r>
        <w:rPr>
          <w:b/>
        </w:rPr>
        <w:t>Supplementary Table S4. Main-table disposition after revision.</w:t>
      </w:r>
      <w:r>
        <w:t xml:space="preserve"> Record of how earlier manuscript tables were condensed, removed, or moved to the supplement to keep the main manuscript focused while retaining audit-level detail.</w:t>
      </w:r>
    </w:p>
    <w:p w14:paraId="40544A2F" w14:textId="77777777" w:rsidR="00986E9D" w:rsidRDefault="00986E9D" w:rsidP="00986E9D">
      <w:r>
        <w:rPr>
          <w:b/>
        </w:rPr>
        <w:t>Supplementary Table S5. Decision trace from course notebooks to final ANVISA RAG.</w:t>
      </w:r>
      <w:r>
        <w:t xml:space="preserve"> Trace of the project decisions from the original course notebook structure to the final ANVISA-specific RAG design, including environment setup, corpus cleaning, article-aware indexing, hybrid retrieval, reranking, bilingual support, answer rules, AI-judge evaluation, stress testing, and refusal calibration.</w:t>
      </w:r>
    </w:p>
    <w:p w14:paraId="7CAEBC92" w14:textId="77777777" w:rsidR="00986E9D" w:rsidRDefault="00986E9D" w:rsidP="00986E9D">
      <w:r>
        <w:rPr>
          <w:b/>
        </w:rPr>
        <w:t>Supplementary Table S6. Investigation of saturated internal metrics.</w:t>
      </w:r>
      <w:r>
        <w:t xml:space="preserve"> Assessment of why internal values near or equal to 1.000 were treated as potentially inflated or too narrow, and how the AI-authored prospective stress test and refusal-focused test changed the reliability interpretation.</w:t>
      </w:r>
    </w:p>
    <w:p w14:paraId="47CD9897" w14:textId="77777777" w:rsidR="00DE6AE2" w:rsidRDefault="00DE6AE2"/>
    <w:sectPr w:rsidR="00DE6AE2" w:rsidSect="00986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9D"/>
    <w:rsid w:val="00195413"/>
    <w:rsid w:val="003A03A7"/>
    <w:rsid w:val="003D0186"/>
    <w:rsid w:val="007278E4"/>
    <w:rsid w:val="00986E9D"/>
    <w:rsid w:val="00A3738C"/>
    <w:rsid w:val="00B91ABC"/>
    <w:rsid w:val="00BC6C35"/>
    <w:rsid w:val="00CB270D"/>
    <w:rsid w:val="00CF7583"/>
    <w:rsid w:val="00D50121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A3A79"/>
  <w15:chartTrackingRefBased/>
  <w15:docId w15:val="{21611B69-F570-46D5-9BB2-58453991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E9D"/>
    <w:pPr>
      <w:spacing w:after="200" w:line="276" w:lineRule="auto"/>
    </w:pPr>
    <w:rPr>
      <w:rFonts w:ascii="Arial" w:eastAsiaTheme="minorEastAsia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E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E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E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E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E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E9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E9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E9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E9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86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6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E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6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E9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6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E9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6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E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3350</Characters>
  <Application>Microsoft Office Word</Application>
  <DocSecurity>0</DocSecurity>
  <Lines>27</Lines>
  <Paragraphs>7</Paragraphs>
  <ScaleCrop>false</ScaleCrop>
  <Company>Springer Nature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2026-09-07T10:39:00Z</dcterms:created>
  <dcterms:modified xsi:type="dcterms:W3CDTF">2026-09-07T10:40:00Z</dcterms:modified>
</cp:coreProperties>
</file>