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536C6" w14:textId="72314C9C" w:rsidR="00823A74" w:rsidRDefault="00823A74" w:rsidP="004E426D">
      <w:pPr>
        <w:spacing w:line="360" w:lineRule="auto"/>
        <w:jc w:val="both"/>
        <w:rPr>
          <w:rStyle w:val="Strong"/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drawing>
          <wp:inline distT="0" distB="0" distL="0" distR="0" wp14:anchorId="6854FA2D" wp14:editId="45E43EFE">
            <wp:extent cx="5990897" cy="8477876"/>
            <wp:effectExtent l="0" t="0" r="3810" b="0"/>
            <wp:docPr id="2104323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23010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5607" cy="848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3B9A8" w14:textId="1520A208" w:rsidR="00E132B0" w:rsidRPr="00F22D85" w:rsidRDefault="00B740A7" w:rsidP="004E42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lastRenderedPageBreak/>
        <w:t>Supplementary Figure 1. Sequencing platform differences and HDM-</w:t>
      </w:r>
      <w:r w:rsidR="00F94154" w:rsidRPr="00F22D85">
        <w:rPr>
          <w:rStyle w:val="Strong"/>
          <w:rFonts w:ascii="Arial" w:hAnsi="Arial" w:cs="Arial"/>
          <w:color w:val="000000"/>
          <w:sz w:val="22"/>
          <w:szCs w:val="22"/>
        </w:rPr>
        <w:t>a</w:t>
      </w:r>
      <w:r w:rsidR="00F94154">
        <w:rPr>
          <w:rStyle w:val="Strong"/>
          <w:rFonts w:ascii="Arial" w:hAnsi="Arial" w:cs="Arial"/>
          <w:color w:val="000000"/>
          <w:sz w:val="22"/>
          <w:szCs w:val="22"/>
        </w:rPr>
        <w:t>ligned</w:t>
      </w:r>
      <w:r w:rsidR="00F94154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read </w:t>
      </w:r>
      <w:r w:rsidR="00DC316E">
        <w:rPr>
          <w:rStyle w:val="Strong"/>
          <w:rFonts w:ascii="Arial" w:hAnsi="Arial" w:cs="Arial"/>
          <w:color w:val="000000"/>
          <w:sz w:val="22"/>
          <w:szCs w:val="22"/>
        </w:rPr>
        <w:t>profiles</w:t>
      </w:r>
      <w:r w:rsidR="00DC316E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t>across lung cancer</w:t>
      </w:r>
      <w:r w:rsidRPr="001A2E1E">
        <w:rPr>
          <w:rStyle w:val="Strong"/>
          <w:rFonts w:ascii="Arial" w:hAnsi="Arial" w:cs="Arial"/>
          <w:color w:val="000000"/>
          <w:sz w:val="20"/>
          <w:szCs w:val="20"/>
        </w:rPr>
        <w:t xml:space="preserve"> </w:t>
      </w: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t>WGS cohorts.</w:t>
      </w:r>
      <w:r w:rsidR="000E40AE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t>A)</w:t>
      </w:r>
      <w:r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DC316E">
        <w:rPr>
          <w:rFonts w:ascii="Arial" w:hAnsi="Arial" w:cs="Arial"/>
          <w:sz w:val="22"/>
          <w:szCs w:val="22"/>
        </w:rPr>
        <w:t>Comparison of t</w:t>
      </w:r>
      <w:r w:rsidRPr="00F22D85">
        <w:rPr>
          <w:rFonts w:ascii="Arial" w:hAnsi="Arial" w:cs="Arial"/>
          <w:sz w:val="22"/>
          <w:szCs w:val="22"/>
        </w:rPr>
        <w:t xml:space="preserve">otal sequencing reads across samples generated using </w:t>
      </w:r>
      <w:proofErr w:type="spellStart"/>
      <w:r w:rsidRPr="00F22D85">
        <w:rPr>
          <w:rFonts w:ascii="Arial" w:hAnsi="Arial" w:cs="Arial"/>
          <w:sz w:val="22"/>
          <w:szCs w:val="22"/>
        </w:rPr>
        <w:t>HiSeq</w:t>
      </w:r>
      <w:proofErr w:type="spellEnd"/>
      <w:r w:rsidRPr="00F22D85">
        <w:rPr>
          <w:rFonts w:ascii="Arial" w:hAnsi="Arial" w:cs="Arial"/>
          <w:sz w:val="22"/>
          <w:szCs w:val="22"/>
        </w:rPr>
        <w:t xml:space="preserve"> X, </w:t>
      </w:r>
      <w:proofErr w:type="spellStart"/>
      <w:r w:rsidRPr="00F22D85">
        <w:rPr>
          <w:rFonts w:ascii="Arial" w:hAnsi="Arial" w:cs="Arial"/>
          <w:sz w:val="22"/>
          <w:szCs w:val="22"/>
        </w:rPr>
        <w:t>NovaSeq</w:t>
      </w:r>
      <w:proofErr w:type="spellEnd"/>
      <w:r w:rsidRPr="00F22D85">
        <w:rPr>
          <w:rFonts w:ascii="Arial" w:hAnsi="Arial" w:cs="Arial"/>
          <w:sz w:val="22"/>
          <w:szCs w:val="22"/>
        </w:rPr>
        <w:t xml:space="preserve"> 6000, and publicly </w:t>
      </w:r>
      <w:r w:rsidR="00DC316E">
        <w:rPr>
          <w:rFonts w:ascii="Arial" w:hAnsi="Arial" w:cs="Arial"/>
          <w:sz w:val="22"/>
          <w:szCs w:val="22"/>
        </w:rPr>
        <w:t>available WGS</w:t>
      </w:r>
      <w:r w:rsidR="00DC316E" w:rsidRPr="00F22D85">
        <w:rPr>
          <w:rFonts w:ascii="Arial" w:hAnsi="Arial" w:cs="Arial"/>
          <w:sz w:val="22"/>
          <w:szCs w:val="22"/>
        </w:rPr>
        <w:t xml:space="preserve"> </w:t>
      </w:r>
      <w:r w:rsidRPr="00F22D85">
        <w:rPr>
          <w:rFonts w:ascii="Arial" w:hAnsi="Arial" w:cs="Arial"/>
          <w:sz w:val="22"/>
          <w:szCs w:val="22"/>
        </w:rPr>
        <w:t xml:space="preserve">datasets </w:t>
      </w:r>
      <w:r w:rsidR="000F2BC7" w:rsidRPr="000F2BC7">
        <w:rPr>
          <w:rFonts w:ascii="Arial" w:hAnsi="Arial" w:cs="Arial"/>
          <w:sz w:val="22"/>
          <w:szCs w:val="22"/>
        </w:rPr>
        <w:t>for which the</w:t>
      </w:r>
      <w:r w:rsidR="000F2BC7">
        <w:rPr>
          <w:rFonts w:ascii="Arial" w:hAnsi="Arial" w:cs="Arial"/>
          <w:sz w:val="22"/>
          <w:szCs w:val="22"/>
        </w:rPr>
        <w:t xml:space="preserve"> </w:t>
      </w:r>
      <w:r w:rsidRPr="00F22D85">
        <w:rPr>
          <w:rFonts w:ascii="Arial" w:hAnsi="Arial" w:cs="Arial"/>
          <w:sz w:val="22"/>
          <w:szCs w:val="22"/>
        </w:rPr>
        <w:t>sequencing platform</w:t>
      </w:r>
      <w:r w:rsidR="000F2BC7">
        <w:rPr>
          <w:rFonts w:ascii="Arial" w:hAnsi="Arial" w:cs="Arial"/>
          <w:sz w:val="22"/>
          <w:szCs w:val="22"/>
        </w:rPr>
        <w:t xml:space="preserve"> </w:t>
      </w:r>
      <w:r w:rsidR="000F2BC7" w:rsidRPr="000F2BC7">
        <w:rPr>
          <w:rFonts w:ascii="Arial" w:hAnsi="Arial" w:cs="Arial"/>
          <w:sz w:val="22"/>
          <w:szCs w:val="22"/>
        </w:rPr>
        <w:t>could not be verified</w:t>
      </w:r>
      <w:r w:rsidRPr="00F22D85">
        <w:rPr>
          <w:rFonts w:ascii="Arial" w:hAnsi="Arial" w:cs="Arial"/>
          <w:sz w:val="22"/>
          <w:szCs w:val="22"/>
        </w:rPr>
        <w:t xml:space="preserve">. Each point represents one sample, and violin plots show the distribution of total read counts </w:t>
      </w:r>
      <w:r w:rsidR="00DC316E">
        <w:rPr>
          <w:rFonts w:ascii="Arial" w:hAnsi="Arial" w:cs="Arial"/>
          <w:sz w:val="22"/>
          <w:szCs w:val="22"/>
        </w:rPr>
        <w:t>for each</w:t>
      </w:r>
      <w:r w:rsidR="00DC316E" w:rsidRPr="00F22D85">
        <w:rPr>
          <w:rFonts w:ascii="Arial" w:hAnsi="Arial" w:cs="Arial"/>
          <w:sz w:val="22"/>
          <w:szCs w:val="22"/>
        </w:rPr>
        <w:t xml:space="preserve"> </w:t>
      </w:r>
      <w:r w:rsidRPr="00F22D85">
        <w:rPr>
          <w:rFonts w:ascii="Arial" w:hAnsi="Arial" w:cs="Arial"/>
          <w:sz w:val="22"/>
          <w:szCs w:val="22"/>
        </w:rPr>
        <w:t xml:space="preserve">platform. Red </w:t>
      </w:r>
      <w:r w:rsidR="00DC316E">
        <w:rPr>
          <w:rFonts w:ascii="Arial" w:hAnsi="Arial" w:cs="Arial"/>
          <w:sz w:val="22"/>
          <w:szCs w:val="22"/>
        </w:rPr>
        <w:t>dots</w:t>
      </w:r>
      <w:r w:rsidR="00DC316E" w:rsidRPr="00F22D85">
        <w:rPr>
          <w:rFonts w:ascii="Arial" w:hAnsi="Arial" w:cs="Arial"/>
          <w:sz w:val="22"/>
          <w:szCs w:val="22"/>
        </w:rPr>
        <w:t xml:space="preserve"> </w:t>
      </w:r>
      <w:r w:rsidRPr="00F22D85">
        <w:rPr>
          <w:rFonts w:ascii="Arial" w:hAnsi="Arial" w:cs="Arial"/>
          <w:sz w:val="22"/>
          <w:szCs w:val="22"/>
        </w:rPr>
        <w:t xml:space="preserve">indicate the median read count. Statistical comparisons were performed between sequencing-platform groups, with FDR-adjusted p-values shown above the plot. </w:t>
      </w: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t>B)</w:t>
      </w:r>
      <w:r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22D85">
        <w:rPr>
          <w:rFonts w:ascii="Arial" w:hAnsi="Arial" w:cs="Arial"/>
          <w:sz w:val="22"/>
          <w:szCs w:val="22"/>
        </w:rPr>
        <w:t>Donut plots showing the study composition within each sequencing-platform group. The center of each donut indicates the sequencing platform and total number of samples. Colors represent the contributing study or cohort.</w:t>
      </w:r>
      <w:r w:rsidR="000E40AE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t>C)</w:t>
      </w:r>
      <w:r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22D85">
        <w:rPr>
          <w:rFonts w:ascii="Arial" w:hAnsi="Arial" w:cs="Arial"/>
          <w:sz w:val="22"/>
          <w:szCs w:val="22"/>
        </w:rPr>
        <w:t xml:space="preserve">Principal component analysis </w:t>
      </w:r>
      <w:r w:rsidR="004E426D">
        <w:rPr>
          <w:rFonts w:ascii="Arial" w:hAnsi="Arial" w:cs="Arial"/>
          <w:sz w:val="22"/>
          <w:szCs w:val="22"/>
        </w:rPr>
        <w:t xml:space="preserve">(PCA) </w:t>
      </w:r>
      <w:r w:rsidRPr="00F22D85">
        <w:rPr>
          <w:rFonts w:ascii="Arial" w:hAnsi="Arial" w:cs="Arial"/>
          <w:sz w:val="22"/>
          <w:szCs w:val="22"/>
        </w:rPr>
        <w:t xml:space="preserve">of HDM-associated read profiles comparing </w:t>
      </w:r>
      <w:proofErr w:type="spellStart"/>
      <w:r w:rsidRPr="00F22D85">
        <w:rPr>
          <w:rFonts w:ascii="Arial" w:hAnsi="Arial" w:cs="Arial"/>
          <w:sz w:val="22"/>
          <w:szCs w:val="22"/>
        </w:rPr>
        <w:t>HiSeq</w:t>
      </w:r>
      <w:proofErr w:type="spellEnd"/>
      <w:r w:rsidRPr="00F22D85">
        <w:rPr>
          <w:rFonts w:ascii="Arial" w:hAnsi="Arial" w:cs="Arial"/>
          <w:sz w:val="22"/>
          <w:szCs w:val="22"/>
        </w:rPr>
        <w:t xml:space="preserve"> X and </w:t>
      </w:r>
      <w:proofErr w:type="spellStart"/>
      <w:r w:rsidRPr="00F22D85">
        <w:rPr>
          <w:rFonts w:ascii="Arial" w:hAnsi="Arial" w:cs="Arial"/>
          <w:sz w:val="22"/>
          <w:szCs w:val="22"/>
        </w:rPr>
        <w:t>NovaSeq</w:t>
      </w:r>
      <w:proofErr w:type="spellEnd"/>
      <w:r w:rsidRPr="00F22D85">
        <w:rPr>
          <w:rFonts w:ascii="Arial" w:hAnsi="Arial" w:cs="Arial"/>
          <w:sz w:val="22"/>
          <w:szCs w:val="22"/>
        </w:rPr>
        <w:t xml:space="preserve"> 6000 samples. The </w:t>
      </w:r>
      <w:r w:rsidR="004E426D">
        <w:rPr>
          <w:rFonts w:ascii="Arial" w:hAnsi="Arial" w:cs="Arial"/>
          <w:sz w:val="22"/>
          <w:szCs w:val="22"/>
        </w:rPr>
        <w:t>upper panel</w:t>
      </w:r>
      <w:r w:rsidR="004E426D" w:rsidRPr="00F22D85">
        <w:rPr>
          <w:rFonts w:ascii="Arial" w:hAnsi="Arial" w:cs="Arial"/>
          <w:sz w:val="22"/>
          <w:szCs w:val="22"/>
        </w:rPr>
        <w:t xml:space="preserve"> </w:t>
      </w:r>
      <w:r w:rsidRPr="00F22D85">
        <w:rPr>
          <w:rFonts w:ascii="Arial" w:hAnsi="Arial" w:cs="Arial"/>
          <w:sz w:val="22"/>
          <w:szCs w:val="22"/>
        </w:rPr>
        <w:t xml:space="preserve">shows American HDM profiles </w:t>
      </w:r>
      <w:r w:rsidR="004E426D">
        <w:rPr>
          <w:rFonts w:ascii="Arial" w:hAnsi="Arial" w:cs="Arial"/>
          <w:sz w:val="22"/>
          <w:szCs w:val="22"/>
        </w:rPr>
        <w:t>(</w:t>
      </w:r>
      <w:r w:rsidRPr="00F22D85">
        <w:rPr>
          <w:rFonts w:ascii="Arial" w:hAnsi="Arial" w:cs="Arial"/>
          <w:sz w:val="22"/>
          <w:szCs w:val="22"/>
        </w:rPr>
        <w:t>chromosome and scaffold assemblies</w:t>
      </w:r>
      <w:r w:rsidR="004E426D">
        <w:rPr>
          <w:rFonts w:ascii="Arial" w:hAnsi="Arial" w:cs="Arial"/>
          <w:sz w:val="22"/>
          <w:szCs w:val="22"/>
        </w:rPr>
        <w:t>)</w:t>
      </w:r>
      <w:r w:rsidRPr="00F22D85">
        <w:rPr>
          <w:rFonts w:ascii="Arial" w:hAnsi="Arial" w:cs="Arial"/>
          <w:sz w:val="22"/>
          <w:szCs w:val="22"/>
        </w:rPr>
        <w:t xml:space="preserve">, and the </w:t>
      </w:r>
      <w:r w:rsidR="004E426D">
        <w:rPr>
          <w:rFonts w:ascii="Arial" w:hAnsi="Arial" w:cs="Arial"/>
          <w:sz w:val="22"/>
          <w:szCs w:val="22"/>
        </w:rPr>
        <w:t>lower panel</w:t>
      </w:r>
      <w:r w:rsidRPr="00F22D85">
        <w:rPr>
          <w:rFonts w:ascii="Arial" w:hAnsi="Arial" w:cs="Arial"/>
          <w:sz w:val="22"/>
          <w:szCs w:val="22"/>
        </w:rPr>
        <w:t xml:space="preserve"> shows European HDM profiles </w:t>
      </w:r>
      <w:r w:rsidR="004E426D">
        <w:rPr>
          <w:rFonts w:ascii="Arial" w:hAnsi="Arial" w:cs="Arial"/>
          <w:sz w:val="22"/>
          <w:szCs w:val="22"/>
        </w:rPr>
        <w:t>(</w:t>
      </w:r>
      <w:r w:rsidRPr="00F22D85">
        <w:rPr>
          <w:rFonts w:ascii="Arial" w:hAnsi="Arial" w:cs="Arial"/>
          <w:sz w:val="22"/>
          <w:szCs w:val="22"/>
        </w:rPr>
        <w:t>scaffold and contig assemblies</w:t>
      </w:r>
      <w:r w:rsidR="004E426D">
        <w:rPr>
          <w:rFonts w:ascii="Arial" w:hAnsi="Arial" w:cs="Arial"/>
          <w:sz w:val="22"/>
          <w:szCs w:val="22"/>
        </w:rPr>
        <w:t>)</w:t>
      </w:r>
      <w:r w:rsidRPr="00F22D85">
        <w:rPr>
          <w:rFonts w:ascii="Arial" w:hAnsi="Arial" w:cs="Arial"/>
          <w:sz w:val="22"/>
          <w:szCs w:val="22"/>
        </w:rPr>
        <w:t>. Each point represents one sample, color</w:t>
      </w:r>
      <w:r w:rsidR="004E426D">
        <w:rPr>
          <w:rFonts w:ascii="Arial" w:hAnsi="Arial" w:cs="Arial"/>
          <w:sz w:val="22"/>
          <w:szCs w:val="22"/>
        </w:rPr>
        <w:t>ed</w:t>
      </w:r>
      <w:r w:rsidRPr="00F22D85">
        <w:rPr>
          <w:rFonts w:ascii="Arial" w:hAnsi="Arial" w:cs="Arial"/>
          <w:sz w:val="22"/>
          <w:szCs w:val="22"/>
        </w:rPr>
        <w:t xml:space="preserve"> </w:t>
      </w:r>
      <w:r w:rsidR="004E426D">
        <w:rPr>
          <w:rFonts w:ascii="Arial" w:hAnsi="Arial" w:cs="Arial"/>
          <w:sz w:val="22"/>
          <w:szCs w:val="22"/>
        </w:rPr>
        <w:t>by</w:t>
      </w:r>
      <w:r w:rsidR="004E426D" w:rsidRPr="00F22D85">
        <w:rPr>
          <w:rFonts w:ascii="Arial" w:hAnsi="Arial" w:cs="Arial"/>
          <w:sz w:val="22"/>
          <w:szCs w:val="22"/>
        </w:rPr>
        <w:t xml:space="preserve"> </w:t>
      </w:r>
      <w:r w:rsidRPr="00F22D85">
        <w:rPr>
          <w:rFonts w:ascii="Arial" w:hAnsi="Arial" w:cs="Arial"/>
          <w:sz w:val="22"/>
          <w:szCs w:val="22"/>
        </w:rPr>
        <w:t>sequencing platform.</w:t>
      </w:r>
      <w:r w:rsidR="000E40AE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t>D)</w:t>
      </w:r>
      <w:r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22D85">
        <w:rPr>
          <w:rFonts w:ascii="Arial" w:hAnsi="Arial" w:cs="Arial"/>
          <w:sz w:val="22"/>
          <w:szCs w:val="22"/>
        </w:rPr>
        <w:t xml:space="preserve">Comparison of RPM-normalized HDM-associated read levels between </w:t>
      </w:r>
      <w:proofErr w:type="spellStart"/>
      <w:r w:rsidRPr="00F22D85">
        <w:rPr>
          <w:rFonts w:ascii="Arial" w:hAnsi="Arial" w:cs="Arial"/>
          <w:sz w:val="22"/>
          <w:szCs w:val="22"/>
        </w:rPr>
        <w:t>HiSeq</w:t>
      </w:r>
      <w:proofErr w:type="spellEnd"/>
      <w:r w:rsidRPr="00F22D85">
        <w:rPr>
          <w:rFonts w:ascii="Arial" w:hAnsi="Arial" w:cs="Arial"/>
          <w:sz w:val="22"/>
          <w:szCs w:val="22"/>
        </w:rPr>
        <w:t xml:space="preserve"> X and </w:t>
      </w:r>
      <w:proofErr w:type="spellStart"/>
      <w:r w:rsidRPr="00F22D85">
        <w:rPr>
          <w:rFonts w:ascii="Arial" w:hAnsi="Arial" w:cs="Arial"/>
          <w:sz w:val="22"/>
          <w:szCs w:val="22"/>
        </w:rPr>
        <w:t>NovaSeq</w:t>
      </w:r>
      <w:proofErr w:type="spellEnd"/>
      <w:r w:rsidRPr="00F22D85">
        <w:rPr>
          <w:rFonts w:ascii="Arial" w:hAnsi="Arial" w:cs="Arial"/>
          <w:sz w:val="22"/>
          <w:szCs w:val="22"/>
        </w:rPr>
        <w:t xml:space="preserve"> 6000 samples across four HDM reference</w:t>
      </w:r>
      <w:r w:rsidR="004E426D" w:rsidRPr="004E426D">
        <w:rPr>
          <w:rFonts w:ascii="Arial" w:hAnsi="Arial" w:cs="Arial"/>
          <w:sz w:val="22"/>
          <w:szCs w:val="22"/>
        </w:rPr>
        <w:t xml:space="preserve"> </w:t>
      </w:r>
      <w:r w:rsidR="004E426D" w:rsidRPr="00116B47">
        <w:rPr>
          <w:rFonts w:ascii="Arial" w:hAnsi="Arial" w:cs="Arial"/>
          <w:sz w:val="22"/>
          <w:szCs w:val="22"/>
        </w:rPr>
        <w:t>assembl</w:t>
      </w:r>
      <w:r w:rsidR="004E426D">
        <w:rPr>
          <w:rFonts w:ascii="Arial" w:hAnsi="Arial" w:cs="Arial"/>
          <w:sz w:val="22"/>
          <w:szCs w:val="22"/>
        </w:rPr>
        <w:t>ies (</w:t>
      </w:r>
      <w:r w:rsidRPr="00F22D85">
        <w:rPr>
          <w:rFonts w:ascii="Arial" w:hAnsi="Arial" w:cs="Arial"/>
          <w:sz w:val="22"/>
          <w:szCs w:val="22"/>
        </w:rPr>
        <w:t>American HDM scaffold</w:t>
      </w:r>
      <w:r w:rsidR="004E426D">
        <w:rPr>
          <w:rFonts w:ascii="Arial" w:hAnsi="Arial" w:cs="Arial"/>
          <w:sz w:val="22"/>
          <w:szCs w:val="22"/>
        </w:rPr>
        <w:t xml:space="preserve"> and</w:t>
      </w:r>
      <w:r w:rsidRPr="00F22D85">
        <w:rPr>
          <w:rFonts w:ascii="Arial" w:hAnsi="Arial" w:cs="Arial"/>
          <w:sz w:val="22"/>
          <w:szCs w:val="22"/>
        </w:rPr>
        <w:t xml:space="preserve"> chromosome</w:t>
      </w:r>
      <w:r w:rsidR="004E426D">
        <w:rPr>
          <w:rFonts w:ascii="Arial" w:hAnsi="Arial" w:cs="Arial"/>
          <w:sz w:val="22"/>
          <w:szCs w:val="22"/>
        </w:rPr>
        <w:t>;</w:t>
      </w:r>
      <w:r w:rsidRPr="00F22D85">
        <w:rPr>
          <w:rFonts w:ascii="Arial" w:hAnsi="Arial" w:cs="Arial"/>
          <w:sz w:val="22"/>
          <w:szCs w:val="22"/>
        </w:rPr>
        <w:t xml:space="preserve"> European HDM scaffold and contig</w:t>
      </w:r>
      <w:r w:rsidR="004E426D">
        <w:rPr>
          <w:rFonts w:ascii="Arial" w:hAnsi="Arial" w:cs="Arial"/>
          <w:sz w:val="22"/>
          <w:szCs w:val="22"/>
        </w:rPr>
        <w:t>)</w:t>
      </w:r>
      <w:r w:rsidRPr="00F22D85">
        <w:rPr>
          <w:rFonts w:ascii="Arial" w:hAnsi="Arial" w:cs="Arial"/>
          <w:sz w:val="22"/>
          <w:szCs w:val="22"/>
        </w:rPr>
        <w:t xml:space="preserve">. Boxplots show the distribution of RPM values by sequencing platform. </w:t>
      </w: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t>E</w:t>
      </w:r>
      <w:r w:rsidR="004E426D">
        <w:rPr>
          <w:rStyle w:val="Strong"/>
          <w:rFonts w:ascii="Arial" w:hAnsi="Arial" w:cs="Arial"/>
          <w:color w:val="000000"/>
          <w:sz w:val="22"/>
          <w:szCs w:val="22"/>
        </w:rPr>
        <w:t>-F</w:t>
      </w:r>
      <w:r w:rsidRPr="00F22D85">
        <w:rPr>
          <w:rStyle w:val="Strong"/>
          <w:rFonts w:ascii="Arial" w:hAnsi="Arial" w:cs="Arial"/>
          <w:color w:val="000000"/>
          <w:sz w:val="22"/>
          <w:szCs w:val="22"/>
        </w:rPr>
        <w:t>)</w:t>
      </w:r>
      <w:r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F22D85">
        <w:rPr>
          <w:rFonts w:ascii="Arial" w:hAnsi="Arial" w:cs="Arial"/>
          <w:sz w:val="22"/>
          <w:szCs w:val="22"/>
        </w:rPr>
        <w:t>Read-length distribution</w:t>
      </w:r>
      <w:r w:rsidR="004E426D">
        <w:rPr>
          <w:rFonts w:ascii="Arial" w:hAnsi="Arial" w:cs="Arial"/>
          <w:sz w:val="22"/>
          <w:szCs w:val="22"/>
        </w:rPr>
        <w:t>s</w:t>
      </w:r>
      <w:r w:rsidRPr="00F22D85">
        <w:rPr>
          <w:rFonts w:ascii="Arial" w:hAnsi="Arial" w:cs="Arial"/>
          <w:sz w:val="22"/>
          <w:szCs w:val="22"/>
        </w:rPr>
        <w:t xml:space="preserve"> of HDM-associated reads detected in </w:t>
      </w:r>
      <w:proofErr w:type="spellStart"/>
      <w:r w:rsidRPr="00F22D85">
        <w:rPr>
          <w:rFonts w:ascii="Arial" w:hAnsi="Arial" w:cs="Arial"/>
          <w:sz w:val="22"/>
          <w:szCs w:val="22"/>
        </w:rPr>
        <w:t>NovaSeq</w:t>
      </w:r>
      <w:proofErr w:type="spellEnd"/>
      <w:r w:rsidRPr="00F22D85">
        <w:rPr>
          <w:rFonts w:ascii="Arial" w:hAnsi="Arial" w:cs="Arial"/>
          <w:sz w:val="22"/>
          <w:szCs w:val="22"/>
        </w:rPr>
        <w:t xml:space="preserve"> 6000 </w:t>
      </w:r>
      <w:r w:rsidR="004E426D">
        <w:rPr>
          <w:rFonts w:ascii="Arial" w:hAnsi="Arial" w:cs="Arial"/>
          <w:sz w:val="22"/>
          <w:szCs w:val="22"/>
        </w:rPr>
        <w:t xml:space="preserve">(E) and </w:t>
      </w:r>
      <w:r w:rsidR="004E426D" w:rsidRPr="00526116">
        <w:rPr>
          <w:rFonts w:ascii="Arial" w:hAnsi="Arial" w:cs="Arial"/>
          <w:sz w:val="22"/>
          <w:szCs w:val="22"/>
        </w:rPr>
        <w:t>HiSeq X</w:t>
      </w:r>
      <w:r w:rsidR="004E426D" w:rsidRPr="004E426D">
        <w:rPr>
          <w:rFonts w:ascii="Arial" w:hAnsi="Arial" w:cs="Arial"/>
          <w:sz w:val="22"/>
          <w:szCs w:val="22"/>
        </w:rPr>
        <w:t xml:space="preserve"> </w:t>
      </w:r>
      <w:r w:rsidR="004E426D">
        <w:rPr>
          <w:rFonts w:ascii="Arial" w:hAnsi="Arial" w:cs="Arial"/>
          <w:sz w:val="22"/>
          <w:szCs w:val="22"/>
        </w:rPr>
        <w:t xml:space="preserve">(F) </w:t>
      </w:r>
      <w:r w:rsidRPr="00F22D85">
        <w:rPr>
          <w:rFonts w:ascii="Arial" w:hAnsi="Arial" w:cs="Arial"/>
          <w:sz w:val="22"/>
          <w:szCs w:val="22"/>
        </w:rPr>
        <w:t xml:space="preserve">samples. Bar plots show the </w:t>
      </w:r>
      <w:r w:rsidR="004E426D">
        <w:rPr>
          <w:rFonts w:ascii="Arial" w:hAnsi="Arial" w:cs="Arial"/>
          <w:sz w:val="22"/>
          <w:szCs w:val="22"/>
        </w:rPr>
        <w:t>total</w:t>
      </w:r>
      <w:r w:rsidR="004E426D" w:rsidRPr="00F22D85">
        <w:rPr>
          <w:rFonts w:ascii="Arial" w:hAnsi="Arial" w:cs="Arial"/>
          <w:sz w:val="22"/>
          <w:szCs w:val="22"/>
        </w:rPr>
        <w:t xml:space="preserve"> </w:t>
      </w:r>
      <w:r w:rsidRPr="00F22D85">
        <w:rPr>
          <w:rFonts w:ascii="Arial" w:hAnsi="Arial" w:cs="Arial"/>
          <w:sz w:val="22"/>
          <w:szCs w:val="22"/>
        </w:rPr>
        <w:t xml:space="preserve">number of paired-end </w:t>
      </w:r>
      <w:r w:rsidR="004E426D">
        <w:rPr>
          <w:rFonts w:ascii="Arial" w:hAnsi="Arial" w:cs="Arial"/>
          <w:sz w:val="22"/>
          <w:szCs w:val="22"/>
        </w:rPr>
        <w:t>and</w:t>
      </w:r>
      <w:r w:rsidRPr="00F22D85">
        <w:rPr>
          <w:rFonts w:ascii="Arial" w:hAnsi="Arial" w:cs="Arial"/>
          <w:sz w:val="22"/>
          <w:szCs w:val="22"/>
        </w:rPr>
        <w:t xml:space="preserve"> singleton reads</w:t>
      </w:r>
      <w:r w:rsidR="004E426D">
        <w:rPr>
          <w:rFonts w:ascii="Arial" w:hAnsi="Arial" w:cs="Arial"/>
          <w:sz w:val="22"/>
          <w:szCs w:val="22"/>
        </w:rPr>
        <w:t xml:space="preserve"> within </w:t>
      </w:r>
      <w:r w:rsidR="004E426D" w:rsidRPr="004E426D">
        <w:rPr>
          <w:rFonts w:ascii="Arial" w:hAnsi="Arial" w:cs="Arial"/>
          <w:sz w:val="22"/>
          <w:szCs w:val="22"/>
        </w:rPr>
        <w:t>each read-length bin for the American and European HDM reference assemblies</w:t>
      </w:r>
      <w:r w:rsidRPr="00F22D85">
        <w:rPr>
          <w:rFonts w:ascii="Arial" w:hAnsi="Arial" w:cs="Arial"/>
          <w:sz w:val="22"/>
          <w:szCs w:val="22"/>
        </w:rPr>
        <w:t>.</w:t>
      </w:r>
    </w:p>
    <w:p w14:paraId="79828D90" w14:textId="77777777" w:rsidR="00E132B0" w:rsidRPr="00F22D85" w:rsidRDefault="00E132B0" w:rsidP="000E40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0589E9" w14:textId="4023D875" w:rsidR="00E132B0" w:rsidRDefault="00F22D85" w:rsidP="000E40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lastRenderedPageBreak/>
        <w:drawing>
          <wp:inline distT="0" distB="0" distL="0" distR="0" wp14:anchorId="411D08C7" wp14:editId="4887F20E">
            <wp:extent cx="5815330" cy="8229600"/>
            <wp:effectExtent l="0" t="0" r="0" b="0"/>
            <wp:docPr id="5430016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01698" name="Picture 54300169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CAD" w:rsidRPr="00F22D85">
        <w:rPr>
          <w:rStyle w:val="Strong"/>
          <w:rFonts w:ascii="Arial" w:hAnsi="Arial" w:cs="Arial"/>
          <w:color w:val="000000"/>
          <w:sz w:val="22"/>
          <w:szCs w:val="22"/>
        </w:rPr>
        <w:lastRenderedPageBreak/>
        <w:t>Supplementary Figure 2. Genome-wide HDM-</w:t>
      </w:r>
      <w:r w:rsidR="002175CD">
        <w:rPr>
          <w:rStyle w:val="Strong"/>
          <w:rFonts w:ascii="Arial" w:hAnsi="Arial" w:cs="Arial"/>
          <w:color w:val="000000"/>
          <w:sz w:val="22"/>
          <w:szCs w:val="22"/>
        </w:rPr>
        <w:t>aligned</w:t>
      </w:r>
      <w:r w:rsidR="002175CD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="00305CAD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coverage </w:t>
      </w:r>
      <w:r w:rsidR="00073988">
        <w:rPr>
          <w:rStyle w:val="Strong"/>
          <w:rFonts w:ascii="Arial" w:hAnsi="Arial" w:cs="Arial"/>
          <w:color w:val="000000"/>
          <w:sz w:val="22"/>
          <w:szCs w:val="22"/>
        </w:rPr>
        <w:t>profiles</w:t>
      </w:r>
      <w:r w:rsidR="00073988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="00305CAD" w:rsidRPr="00F22D85">
        <w:rPr>
          <w:rStyle w:val="Strong"/>
          <w:rFonts w:ascii="Arial" w:hAnsi="Arial" w:cs="Arial"/>
          <w:color w:val="000000"/>
          <w:sz w:val="22"/>
          <w:szCs w:val="22"/>
        </w:rPr>
        <w:t>before and after read filtering.</w:t>
      </w:r>
      <w:r w:rsidR="000E40AE" w:rsidRPr="00F22D85">
        <w:rPr>
          <w:rFonts w:ascii="Arial" w:hAnsi="Arial" w:cs="Arial"/>
          <w:sz w:val="22"/>
          <w:szCs w:val="22"/>
        </w:rPr>
        <w:t xml:space="preserve"> </w:t>
      </w:r>
      <w:r w:rsidR="000E40AE" w:rsidRPr="00F22D85">
        <w:rPr>
          <w:rFonts w:ascii="Arial" w:hAnsi="Arial" w:cs="Arial"/>
          <w:b/>
          <w:bCs/>
          <w:sz w:val="22"/>
          <w:szCs w:val="22"/>
        </w:rPr>
        <w:t xml:space="preserve">A-D) </w:t>
      </w:r>
      <w:r w:rsidR="00305CAD" w:rsidRPr="00F22D85">
        <w:rPr>
          <w:rFonts w:ascii="Arial" w:hAnsi="Arial" w:cs="Arial"/>
          <w:sz w:val="22"/>
          <w:szCs w:val="22"/>
        </w:rPr>
        <w:t xml:space="preserve">Genome-wide coverage profiles </w:t>
      </w:r>
      <w:r w:rsidR="002175CD">
        <w:rPr>
          <w:rFonts w:ascii="Arial" w:hAnsi="Arial" w:cs="Arial"/>
          <w:sz w:val="22"/>
          <w:szCs w:val="22"/>
        </w:rPr>
        <w:t>of</w:t>
      </w:r>
      <w:r w:rsidR="00305CAD" w:rsidRPr="00F22D85">
        <w:rPr>
          <w:rFonts w:ascii="Arial" w:hAnsi="Arial" w:cs="Arial"/>
          <w:sz w:val="22"/>
          <w:szCs w:val="22"/>
        </w:rPr>
        <w:t xml:space="preserve"> candidate HDM-</w:t>
      </w:r>
      <w:r w:rsidR="002175CD">
        <w:rPr>
          <w:rFonts w:ascii="Arial" w:hAnsi="Arial" w:cs="Arial"/>
          <w:sz w:val="22"/>
          <w:szCs w:val="22"/>
        </w:rPr>
        <w:t>aligned</w:t>
      </w:r>
      <w:r w:rsidR="002175CD" w:rsidRPr="00F22D85">
        <w:rPr>
          <w:rFonts w:ascii="Arial" w:hAnsi="Arial" w:cs="Arial"/>
          <w:sz w:val="22"/>
          <w:szCs w:val="22"/>
        </w:rPr>
        <w:t xml:space="preserve"> </w:t>
      </w:r>
      <w:r w:rsidR="00305CAD" w:rsidRPr="00F22D85">
        <w:rPr>
          <w:rFonts w:ascii="Arial" w:hAnsi="Arial" w:cs="Arial"/>
          <w:sz w:val="22"/>
          <w:szCs w:val="22"/>
        </w:rPr>
        <w:t xml:space="preserve">reads mapped to </w:t>
      </w:r>
      <w:r w:rsidR="00073988">
        <w:rPr>
          <w:rFonts w:ascii="Arial" w:hAnsi="Arial" w:cs="Arial"/>
          <w:sz w:val="22"/>
          <w:szCs w:val="22"/>
        </w:rPr>
        <w:t>the</w:t>
      </w:r>
      <w:r w:rsidR="00305CAD"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305CAD" w:rsidRPr="00F22D85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American HDM chromosome (A), American HDM scaffold (B), European HDM scaffold (C), and European HDM contig (D).</w:t>
      </w:r>
      <w:r w:rsidR="00305CAD"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305CAD" w:rsidRPr="00F22D85">
        <w:rPr>
          <w:rFonts w:ascii="Arial" w:hAnsi="Arial" w:cs="Arial"/>
          <w:sz w:val="22"/>
          <w:szCs w:val="22"/>
        </w:rPr>
        <w:t>For each assembly, the</w:t>
      </w:r>
      <w:r w:rsidR="00305CAD"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305CAD" w:rsidRPr="00F22D85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 xml:space="preserve">upper </w:t>
      </w:r>
      <w:r w:rsidR="00073988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panel</w:t>
      </w:r>
      <w:r w:rsidR="00073988"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305CAD" w:rsidRPr="00F22D85">
        <w:rPr>
          <w:rFonts w:ascii="Arial" w:hAnsi="Arial" w:cs="Arial"/>
          <w:sz w:val="22"/>
          <w:szCs w:val="22"/>
        </w:rPr>
        <w:t>shows the coverage profile</w:t>
      </w:r>
      <w:r w:rsidR="00073988">
        <w:rPr>
          <w:rFonts w:ascii="Arial" w:hAnsi="Arial" w:cs="Arial"/>
          <w:sz w:val="22"/>
          <w:szCs w:val="22"/>
        </w:rPr>
        <w:t xml:space="preserve"> before filtering</w:t>
      </w:r>
      <w:r w:rsidR="00305CAD" w:rsidRPr="00F22D85">
        <w:rPr>
          <w:rFonts w:ascii="Arial" w:hAnsi="Arial" w:cs="Arial"/>
          <w:sz w:val="22"/>
          <w:szCs w:val="22"/>
        </w:rPr>
        <w:t xml:space="preserve">, </w:t>
      </w:r>
      <w:r w:rsidR="00073988">
        <w:rPr>
          <w:rFonts w:ascii="Arial" w:hAnsi="Arial" w:cs="Arial"/>
          <w:sz w:val="22"/>
          <w:szCs w:val="22"/>
        </w:rPr>
        <w:t>and</w:t>
      </w:r>
      <w:r w:rsidR="00073988" w:rsidRPr="00F22D85">
        <w:rPr>
          <w:rFonts w:ascii="Arial" w:hAnsi="Arial" w:cs="Arial"/>
          <w:sz w:val="22"/>
          <w:szCs w:val="22"/>
        </w:rPr>
        <w:t xml:space="preserve"> </w:t>
      </w:r>
      <w:r w:rsidR="00305CAD" w:rsidRPr="00F22D85">
        <w:rPr>
          <w:rFonts w:ascii="Arial" w:hAnsi="Arial" w:cs="Arial"/>
          <w:sz w:val="22"/>
          <w:szCs w:val="22"/>
        </w:rPr>
        <w:t>the</w:t>
      </w:r>
      <w:r w:rsidR="00305CAD"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305CAD" w:rsidRPr="00F22D85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 xml:space="preserve">lower </w:t>
      </w:r>
      <w:r w:rsidR="00073988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panel</w:t>
      </w:r>
      <w:r w:rsidR="00073988"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305CAD" w:rsidRPr="00F22D85">
        <w:rPr>
          <w:rFonts w:ascii="Arial" w:hAnsi="Arial" w:cs="Arial"/>
          <w:sz w:val="22"/>
          <w:szCs w:val="22"/>
        </w:rPr>
        <w:t>shows the profile after appl</w:t>
      </w:r>
      <w:r w:rsidR="002175CD">
        <w:rPr>
          <w:rFonts w:ascii="Arial" w:hAnsi="Arial" w:cs="Arial"/>
          <w:sz w:val="22"/>
          <w:szCs w:val="22"/>
        </w:rPr>
        <w:t>ication of</w:t>
      </w:r>
      <w:r w:rsidR="00305CAD" w:rsidRPr="00F22D85">
        <w:rPr>
          <w:rFonts w:ascii="Arial" w:hAnsi="Arial" w:cs="Arial"/>
          <w:sz w:val="22"/>
          <w:szCs w:val="22"/>
        </w:rPr>
        <w:t xml:space="preserve"> stringent filtering criteria. The</w:t>
      </w:r>
      <w:r w:rsidR="00305CAD"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305CAD" w:rsidRPr="00F22D85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x-axis</w:t>
      </w:r>
      <w:r w:rsidR="00305CAD"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305CAD" w:rsidRPr="00F22D85">
        <w:rPr>
          <w:rFonts w:ascii="Arial" w:hAnsi="Arial" w:cs="Arial"/>
          <w:sz w:val="22"/>
          <w:szCs w:val="22"/>
        </w:rPr>
        <w:t>represents the concatenated HDM reference genome coordinates, and the</w:t>
      </w:r>
      <w:r w:rsidR="00305CAD" w:rsidRPr="00F22D85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305CAD" w:rsidRPr="00F22D85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y-axis</w:t>
      </w:r>
      <w:r w:rsidR="00305CAD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="00305CAD" w:rsidRPr="00F22D85">
        <w:rPr>
          <w:rFonts w:ascii="Arial" w:hAnsi="Arial" w:cs="Arial"/>
          <w:sz w:val="22"/>
          <w:szCs w:val="22"/>
        </w:rPr>
        <w:t>represents log</w:t>
      </w:r>
      <w:r w:rsidR="00073988">
        <w:rPr>
          <w:rFonts w:ascii="Arial" w:hAnsi="Arial" w:cs="Arial"/>
          <w:sz w:val="22"/>
          <w:szCs w:val="22"/>
        </w:rPr>
        <w:t>10</w:t>
      </w:r>
      <w:r w:rsidR="00305CAD" w:rsidRPr="00F22D85">
        <w:rPr>
          <w:rFonts w:ascii="Arial" w:hAnsi="Arial" w:cs="Arial"/>
          <w:sz w:val="22"/>
          <w:szCs w:val="22"/>
        </w:rPr>
        <w:t>-transformed cohort median read depth</w:t>
      </w:r>
      <w:r w:rsidR="00073988">
        <w:rPr>
          <w:rFonts w:ascii="Arial" w:hAnsi="Arial" w:cs="Arial"/>
          <w:sz w:val="22"/>
          <w:szCs w:val="22"/>
        </w:rPr>
        <w:t xml:space="preserve"> [</w:t>
      </w:r>
      <w:r w:rsidR="00305CAD" w:rsidRPr="00F22D85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log10(cohort median depth + 1)</w:t>
      </w:r>
      <w:r w:rsidR="00073988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]</w:t>
      </w:r>
      <w:r w:rsidR="00305CAD" w:rsidRPr="00F22D85">
        <w:rPr>
          <w:rFonts w:ascii="Arial" w:hAnsi="Arial" w:cs="Arial"/>
          <w:sz w:val="22"/>
          <w:szCs w:val="22"/>
        </w:rPr>
        <w:t>.</w:t>
      </w:r>
    </w:p>
    <w:p w14:paraId="07807DB6" w14:textId="75C0C630" w:rsidR="00367044" w:rsidRDefault="003670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F800E1A" w14:textId="77777777" w:rsidR="00367044" w:rsidRPr="00F22D85" w:rsidRDefault="00367044" w:rsidP="000E40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9E32DAB" w14:textId="77777777" w:rsidR="00305CAD" w:rsidRPr="00F22D85" w:rsidRDefault="00305CAD" w:rsidP="000E40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9983F8A" w14:textId="77777777" w:rsidR="00367044" w:rsidRDefault="00F22D85" w:rsidP="00367044">
      <w:pPr>
        <w:spacing w:line="360" w:lineRule="auto"/>
        <w:ind w:firstLine="9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26EB638" wp14:editId="4478702A">
            <wp:extent cx="5407025" cy="3924886"/>
            <wp:effectExtent l="0" t="0" r="0" b="0"/>
            <wp:docPr id="9952826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82679" name="Picture 995282679"/>
                    <pic:cNvPicPr/>
                  </pic:nvPicPr>
                  <pic:blipFill rotWithShape="1">
                    <a:blip r:embed="rId6"/>
                    <a:srcRect l="7015" b="52305"/>
                    <a:stretch/>
                  </pic:blipFill>
                  <pic:spPr bwMode="auto">
                    <a:xfrm>
                      <a:off x="0" y="0"/>
                      <a:ext cx="5407367" cy="3925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01039" w14:textId="4252BD03" w:rsidR="00305823" w:rsidRPr="00F22D85" w:rsidRDefault="00305CAD" w:rsidP="00E300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2D85">
        <w:rPr>
          <w:rFonts w:ascii="Arial" w:hAnsi="Arial" w:cs="Arial"/>
          <w:b/>
          <w:bCs/>
          <w:sz w:val="22"/>
          <w:szCs w:val="22"/>
        </w:rPr>
        <w:t>Supplementary Figure 3.</w:t>
      </w:r>
      <w:r w:rsidR="00305823" w:rsidRPr="00F22D85">
        <w:rPr>
          <w:rFonts w:ascii="Arial" w:hAnsi="Arial" w:cs="Arial"/>
          <w:b/>
          <w:bCs/>
          <w:sz w:val="22"/>
          <w:szCs w:val="22"/>
        </w:rPr>
        <w:t xml:space="preserve"> </w:t>
      </w:r>
      <w:r w:rsidR="00305823" w:rsidRPr="00F22D85">
        <w:rPr>
          <w:rFonts w:ascii="Arial" w:hAnsi="Arial" w:cs="Arial"/>
          <w:b/>
          <w:bCs/>
          <w:color w:val="000000"/>
          <w:sz w:val="22"/>
          <w:szCs w:val="22"/>
        </w:rPr>
        <w:t>Candidate HDM-</w:t>
      </w:r>
      <w:r w:rsidR="002175CD">
        <w:rPr>
          <w:rFonts w:ascii="Arial" w:hAnsi="Arial" w:cs="Arial"/>
          <w:b/>
          <w:bCs/>
          <w:color w:val="000000"/>
          <w:sz w:val="22"/>
          <w:szCs w:val="22"/>
        </w:rPr>
        <w:t>aligned</w:t>
      </w:r>
      <w:r w:rsidR="002175CD" w:rsidRPr="00F22D8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73988" w:rsidRPr="0044380B">
        <w:rPr>
          <w:rFonts w:ascii="Arial" w:hAnsi="Arial" w:cs="Arial"/>
          <w:b/>
          <w:bCs/>
          <w:color w:val="000000"/>
          <w:sz w:val="22"/>
          <w:szCs w:val="22"/>
        </w:rPr>
        <w:t xml:space="preserve">singleton </w:t>
      </w:r>
      <w:r w:rsidR="00305823" w:rsidRPr="00F22D85">
        <w:rPr>
          <w:rFonts w:ascii="Arial" w:hAnsi="Arial" w:cs="Arial"/>
          <w:b/>
          <w:bCs/>
          <w:color w:val="000000"/>
          <w:sz w:val="22"/>
          <w:szCs w:val="22"/>
        </w:rPr>
        <w:t xml:space="preserve">read levels across matched sample </w:t>
      </w:r>
      <w:r w:rsidR="00073988">
        <w:rPr>
          <w:rFonts w:ascii="Arial" w:hAnsi="Arial" w:cs="Arial"/>
          <w:b/>
          <w:bCs/>
          <w:color w:val="000000"/>
          <w:sz w:val="22"/>
          <w:szCs w:val="22"/>
        </w:rPr>
        <w:t>types</w:t>
      </w:r>
      <w:r w:rsidR="000E40AE" w:rsidRPr="00F22D85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0E40AE" w:rsidRPr="00F22D8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="00305823" w:rsidRPr="00F22D85">
        <w:rPr>
          <w:rFonts w:ascii="Arial" w:hAnsi="Arial" w:cs="Arial"/>
          <w:sz w:val="22"/>
          <w:szCs w:val="22"/>
        </w:rPr>
        <w:t>Paired comparison of candidate HDM-</w:t>
      </w:r>
      <w:r w:rsidR="002175CD">
        <w:rPr>
          <w:rFonts w:ascii="Arial" w:hAnsi="Arial" w:cs="Arial"/>
          <w:sz w:val="22"/>
          <w:szCs w:val="22"/>
        </w:rPr>
        <w:t>aligned</w:t>
      </w:r>
      <w:r w:rsidR="002175CD" w:rsidRPr="00F22D85">
        <w:rPr>
          <w:rFonts w:ascii="Arial" w:hAnsi="Arial" w:cs="Arial"/>
          <w:sz w:val="22"/>
          <w:szCs w:val="22"/>
        </w:rPr>
        <w:t xml:space="preserve"> </w:t>
      </w:r>
      <w:r w:rsidR="00073988">
        <w:rPr>
          <w:rFonts w:ascii="Arial" w:hAnsi="Arial" w:cs="Arial"/>
          <w:sz w:val="22"/>
          <w:szCs w:val="22"/>
        </w:rPr>
        <w:t xml:space="preserve">singleton </w:t>
      </w:r>
      <w:r w:rsidR="00305823" w:rsidRPr="00F22D85">
        <w:rPr>
          <w:rFonts w:ascii="Arial" w:hAnsi="Arial" w:cs="Arial"/>
          <w:sz w:val="22"/>
          <w:szCs w:val="22"/>
        </w:rPr>
        <w:t>read levels between tumor</w:t>
      </w:r>
      <w:r w:rsidR="00073988">
        <w:rPr>
          <w:rFonts w:ascii="Arial" w:hAnsi="Arial" w:cs="Arial"/>
          <w:sz w:val="22"/>
          <w:szCs w:val="22"/>
        </w:rPr>
        <w:t>s</w:t>
      </w:r>
      <w:r w:rsidR="00305823" w:rsidRPr="00F22D85">
        <w:rPr>
          <w:rFonts w:ascii="Arial" w:hAnsi="Arial" w:cs="Arial"/>
          <w:sz w:val="22"/>
          <w:szCs w:val="22"/>
        </w:rPr>
        <w:t xml:space="preserve"> and matched </w:t>
      </w:r>
      <w:r w:rsidR="00073988">
        <w:rPr>
          <w:rFonts w:ascii="Arial" w:hAnsi="Arial" w:cs="Arial"/>
          <w:sz w:val="22"/>
          <w:szCs w:val="22"/>
        </w:rPr>
        <w:t xml:space="preserve">adjacent </w:t>
      </w:r>
      <w:r w:rsidR="00305823" w:rsidRPr="00F22D85">
        <w:rPr>
          <w:rFonts w:ascii="Arial" w:hAnsi="Arial" w:cs="Arial"/>
          <w:sz w:val="22"/>
          <w:szCs w:val="22"/>
        </w:rPr>
        <w:t xml:space="preserve">normal </w:t>
      </w:r>
      <w:r w:rsidR="00073988">
        <w:rPr>
          <w:rFonts w:ascii="Arial" w:hAnsi="Arial" w:cs="Arial"/>
          <w:sz w:val="22"/>
          <w:szCs w:val="22"/>
        </w:rPr>
        <w:t xml:space="preserve">lung </w:t>
      </w:r>
      <w:r w:rsidR="00073988" w:rsidRPr="008D7B10">
        <w:rPr>
          <w:rFonts w:ascii="Arial" w:hAnsi="Arial" w:cs="Arial"/>
          <w:sz w:val="22"/>
          <w:szCs w:val="22"/>
        </w:rPr>
        <w:t>tissue</w:t>
      </w:r>
      <w:r w:rsidR="00073988">
        <w:rPr>
          <w:rFonts w:ascii="Arial" w:hAnsi="Arial" w:cs="Arial"/>
          <w:sz w:val="22"/>
          <w:szCs w:val="22"/>
        </w:rPr>
        <w:t>s</w:t>
      </w:r>
      <w:r w:rsidR="00073988" w:rsidRPr="008D7B10">
        <w:rPr>
          <w:rFonts w:ascii="Arial" w:hAnsi="Arial" w:cs="Arial"/>
          <w:sz w:val="22"/>
          <w:szCs w:val="22"/>
        </w:rPr>
        <w:t xml:space="preserve"> </w:t>
      </w:r>
      <w:r w:rsidR="00305823" w:rsidRPr="00F22D85">
        <w:rPr>
          <w:rFonts w:ascii="Arial" w:hAnsi="Arial" w:cs="Arial"/>
          <w:sz w:val="22"/>
          <w:szCs w:val="22"/>
        </w:rPr>
        <w:t>(n = 32</w:t>
      </w:r>
      <w:r w:rsidR="00073988">
        <w:rPr>
          <w:rFonts w:ascii="Arial" w:hAnsi="Arial" w:cs="Arial"/>
          <w:sz w:val="22"/>
          <w:szCs w:val="22"/>
        </w:rPr>
        <w:t>8</w:t>
      </w:r>
      <w:r w:rsidR="00305823" w:rsidRPr="00F22D85">
        <w:rPr>
          <w:rFonts w:ascii="Arial" w:hAnsi="Arial" w:cs="Arial"/>
          <w:sz w:val="22"/>
          <w:szCs w:val="22"/>
        </w:rPr>
        <w:t>). Violin plots show log10(</w:t>
      </w:r>
      <w:proofErr w:type="spellStart"/>
      <w:r w:rsidR="00305823" w:rsidRPr="00F22D85">
        <w:rPr>
          <w:rFonts w:ascii="Arial" w:hAnsi="Arial" w:cs="Arial"/>
          <w:sz w:val="22"/>
          <w:szCs w:val="22"/>
        </w:rPr>
        <w:t>RPM.filtered</w:t>
      </w:r>
      <w:proofErr w:type="spellEnd"/>
      <w:r w:rsidR="00305823" w:rsidRPr="00F22D85">
        <w:rPr>
          <w:rFonts w:ascii="Arial" w:hAnsi="Arial" w:cs="Arial"/>
          <w:sz w:val="22"/>
          <w:szCs w:val="22"/>
        </w:rPr>
        <w:t xml:space="preserve"> + 1) for </w:t>
      </w:r>
      <w:r w:rsidR="00ED77BD">
        <w:rPr>
          <w:rFonts w:ascii="Arial" w:hAnsi="Arial" w:cs="Arial"/>
          <w:sz w:val="22"/>
          <w:szCs w:val="22"/>
        </w:rPr>
        <w:t xml:space="preserve">the </w:t>
      </w:r>
      <w:r w:rsidR="00305823" w:rsidRPr="00F22D85">
        <w:rPr>
          <w:rFonts w:ascii="Arial" w:hAnsi="Arial" w:cs="Arial"/>
          <w:sz w:val="22"/>
          <w:szCs w:val="22"/>
        </w:rPr>
        <w:t xml:space="preserve">American HDM chromosome and scaffold assemblies and </w:t>
      </w:r>
      <w:r w:rsidR="00ED77BD">
        <w:rPr>
          <w:rFonts w:ascii="Arial" w:hAnsi="Arial" w:cs="Arial"/>
          <w:sz w:val="22"/>
          <w:szCs w:val="22"/>
        </w:rPr>
        <w:t xml:space="preserve">the </w:t>
      </w:r>
      <w:r w:rsidR="00305823" w:rsidRPr="00F22D85">
        <w:rPr>
          <w:rFonts w:ascii="Arial" w:hAnsi="Arial" w:cs="Arial"/>
          <w:sz w:val="22"/>
          <w:szCs w:val="22"/>
        </w:rPr>
        <w:t xml:space="preserve">European HDM scaffold and contig assemblies. Gray lines connect matched tumor-normal pairs. </w:t>
      </w:r>
      <w:bookmarkStart w:id="0" w:name="OLE_LINK100"/>
      <w:r w:rsidR="00305823" w:rsidRPr="00F22D85">
        <w:rPr>
          <w:rFonts w:ascii="Arial" w:hAnsi="Arial" w:cs="Arial"/>
          <w:sz w:val="22"/>
          <w:szCs w:val="22"/>
        </w:rPr>
        <w:t>Two-sided paired Wilcoxon p-values are shown for each assembly.</w:t>
      </w:r>
      <w:bookmarkEnd w:id="0"/>
    </w:p>
    <w:p w14:paraId="3275D6F4" w14:textId="371B0F88" w:rsidR="00305CAD" w:rsidRPr="00F22D85" w:rsidRDefault="00305CAD" w:rsidP="000E40A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38916DC" w14:textId="77777777" w:rsidR="00E132B0" w:rsidRPr="00F22D85" w:rsidRDefault="00E132B0" w:rsidP="000E40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7900E6" w14:textId="77777777" w:rsidR="00BF1450" w:rsidRPr="00F22D85" w:rsidRDefault="00BF1450" w:rsidP="00F22D85">
      <w:pPr>
        <w:spacing w:line="360" w:lineRule="auto"/>
        <w:jc w:val="both"/>
        <w:rPr>
          <w:sz w:val="22"/>
          <w:szCs w:val="22"/>
        </w:rPr>
      </w:pPr>
    </w:p>
    <w:sectPr w:rsidR="00BF1450" w:rsidRPr="00F22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01"/>
    <w:rsid w:val="00001292"/>
    <w:rsid w:val="0002213B"/>
    <w:rsid w:val="000374B8"/>
    <w:rsid w:val="0004623A"/>
    <w:rsid w:val="0005087E"/>
    <w:rsid w:val="0006386A"/>
    <w:rsid w:val="00063BC5"/>
    <w:rsid w:val="00073988"/>
    <w:rsid w:val="00080FB6"/>
    <w:rsid w:val="00094DC8"/>
    <w:rsid w:val="000A1A49"/>
    <w:rsid w:val="000A2307"/>
    <w:rsid w:val="000A7C79"/>
    <w:rsid w:val="000E40AE"/>
    <w:rsid w:val="000E7975"/>
    <w:rsid w:val="000F2BC7"/>
    <w:rsid w:val="00111C07"/>
    <w:rsid w:val="00116C01"/>
    <w:rsid w:val="00141C3A"/>
    <w:rsid w:val="0015639C"/>
    <w:rsid w:val="00195278"/>
    <w:rsid w:val="001A2E1E"/>
    <w:rsid w:val="001A3929"/>
    <w:rsid w:val="002175CD"/>
    <w:rsid w:val="002210FA"/>
    <w:rsid w:val="00257A33"/>
    <w:rsid w:val="00273A13"/>
    <w:rsid w:val="00290631"/>
    <w:rsid w:val="002A47F7"/>
    <w:rsid w:val="002A59C1"/>
    <w:rsid w:val="002D2F12"/>
    <w:rsid w:val="002E1F0A"/>
    <w:rsid w:val="002E3D92"/>
    <w:rsid w:val="00302BDA"/>
    <w:rsid w:val="00305823"/>
    <w:rsid w:val="00305CAD"/>
    <w:rsid w:val="0031762C"/>
    <w:rsid w:val="00347693"/>
    <w:rsid w:val="00367044"/>
    <w:rsid w:val="003811D5"/>
    <w:rsid w:val="00381499"/>
    <w:rsid w:val="003B5F38"/>
    <w:rsid w:val="003C49BA"/>
    <w:rsid w:val="003C7499"/>
    <w:rsid w:val="003F7A25"/>
    <w:rsid w:val="00441853"/>
    <w:rsid w:val="00450F2E"/>
    <w:rsid w:val="00455F83"/>
    <w:rsid w:val="004665CD"/>
    <w:rsid w:val="004965EE"/>
    <w:rsid w:val="004A1E61"/>
    <w:rsid w:val="004A1F8E"/>
    <w:rsid w:val="004C0099"/>
    <w:rsid w:val="004C67BA"/>
    <w:rsid w:val="004E426D"/>
    <w:rsid w:val="005177C0"/>
    <w:rsid w:val="00537144"/>
    <w:rsid w:val="00540483"/>
    <w:rsid w:val="0054163A"/>
    <w:rsid w:val="00544EF8"/>
    <w:rsid w:val="005576B7"/>
    <w:rsid w:val="005A1099"/>
    <w:rsid w:val="005C74FE"/>
    <w:rsid w:val="005D0F82"/>
    <w:rsid w:val="005D6D04"/>
    <w:rsid w:val="005E4C39"/>
    <w:rsid w:val="005F0947"/>
    <w:rsid w:val="00636DDD"/>
    <w:rsid w:val="006413DB"/>
    <w:rsid w:val="00655E42"/>
    <w:rsid w:val="00657A49"/>
    <w:rsid w:val="006664BE"/>
    <w:rsid w:val="00673236"/>
    <w:rsid w:val="00696CBA"/>
    <w:rsid w:val="006C46BC"/>
    <w:rsid w:val="006F50DA"/>
    <w:rsid w:val="00733264"/>
    <w:rsid w:val="007345D7"/>
    <w:rsid w:val="007345E9"/>
    <w:rsid w:val="007561AC"/>
    <w:rsid w:val="00766A04"/>
    <w:rsid w:val="00776561"/>
    <w:rsid w:val="00782A1C"/>
    <w:rsid w:val="007A6C8D"/>
    <w:rsid w:val="007A6E35"/>
    <w:rsid w:val="007D21FB"/>
    <w:rsid w:val="007E735B"/>
    <w:rsid w:val="008100B0"/>
    <w:rsid w:val="00823A74"/>
    <w:rsid w:val="00827DEA"/>
    <w:rsid w:val="00830561"/>
    <w:rsid w:val="008419B5"/>
    <w:rsid w:val="00847EDE"/>
    <w:rsid w:val="008570B5"/>
    <w:rsid w:val="008717A5"/>
    <w:rsid w:val="00881A21"/>
    <w:rsid w:val="008A5C23"/>
    <w:rsid w:val="008D36DF"/>
    <w:rsid w:val="008D4EC2"/>
    <w:rsid w:val="008F731E"/>
    <w:rsid w:val="00921220"/>
    <w:rsid w:val="009238D9"/>
    <w:rsid w:val="009365F0"/>
    <w:rsid w:val="009413DA"/>
    <w:rsid w:val="00956F36"/>
    <w:rsid w:val="0096675D"/>
    <w:rsid w:val="00972102"/>
    <w:rsid w:val="00973879"/>
    <w:rsid w:val="009777FB"/>
    <w:rsid w:val="009A200D"/>
    <w:rsid w:val="009A2EBF"/>
    <w:rsid w:val="009A3EF0"/>
    <w:rsid w:val="009B5AA8"/>
    <w:rsid w:val="009C2662"/>
    <w:rsid w:val="009C2CD5"/>
    <w:rsid w:val="00A60240"/>
    <w:rsid w:val="00A66936"/>
    <w:rsid w:val="00AA737C"/>
    <w:rsid w:val="00B06F23"/>
    <w:rsid w:val="00B10AB4"/>
    <w:rsid w:val="00B43756"/>
    <w:rsid w:val="00B64E1C"/>
    <w:rsid w:val="00B66D3C"/>
    <w:rsid w:val="00B73627"/>
    <w:rsid w:val="00B740A7"/>
    <w:rsid w:val="00B83D46"/>
    <w:rsid w:val="00B952B4"/>
    <w:rsid w:val="00BA0445"/>
    <w:rsid w:val="00BE00B7"/>
    <w:rsid w:val="00BE3486"/>
    <w:rsid w:val="00BF1450"/>
    <w:rsid w:val="00C11484"/>
    <w:rsid w:val="00C174A9"/>
    <w:rsid w:val="00C30C01"/>
    <w:rsid w:val="00C43ED6"/>
    <w:rsid w:val="00C74E5A"/>
    <w:rsid w:val="00C80D15"/>
    <w:rsid w:val="00C82142"/>
    <w:rsid w:val="00C85ED2"/>
    <w:rsid w:val="00C877F2"/>
    <w:rsid w:val="00CD11E4"/>
    <w:rsid w:val="00CE4055"/>
    <w:rsid w:val="00CF0ADD"/>
    <w:rsid w:val="00CF321B"/>
    <w:rsid w:val="00CF7F87"/>
    <w:rsid w:val="00D37964"/>
    <w:rsid w:val="00D47B26"/>
    <w:rsid w:val="00D8014E"/>
    <w:rsid w:val="00D82525"/>
    <w:rsid w:val="00D97767"/>
    <w:rsid w:val="00DA08F9"/>
    <w:rsid w:val="00DA41AD"/>
    <w:rsid w:val="00DC316E"/>
    <w:rsid w:val="00E1066B"/>
    <w:rsid w:val="00E132B0"/>
    <w:rsid w:val="00E2331F"/>
    <w:rsid w:val="00E3008C"/>
    <w:rsid w:val="00E32F6A"/>
    <w:rsid w:val="00E82F33"/>
    <w:rsid w:val="00E86701"/>
    <w:rsid w:val="00E951F4"/>
    <w:rsid w:val="00EB3EC7"/>
    <w:rsid w:val="00EC2708"/>
    <w:rsid w:val="00EC47AA"/>
    <w:rsid w:val="00ED28AF"/>
    <w:rsid w:val="00ED77BD"/>
    <w:rsid w:val="00F00BA9"/>
    <w:rsid w:val="00F14C68"/>
    <w:rsid w:val="00F22D85"/>
    <w:rsid w:val="00F46A62"/>
    <w:rsid w:val="00F8178F"/>
    <w:rsid w:val="00F8254D"/>
    <w:rsid w:val="00F83C6B"/>
    <w:rsid w:val="00F907D6"/>
    <w:rsid w:val="00F94154"/>
    <w:rsid w:val="00FD4247"/>
    <w:rsid w:val="00FE6CA8"/>
    <w:rsid w:val="00FF0F4F"/>
    <w:rsid w:val="00FF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2A3B4B"/>
  <w15:chartTrackingRefBased/>
  <w15:docId w15:val="{C9C7C9AC-C449-0E48-8A11-1E4F14A8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7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7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7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7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7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7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7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7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7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7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7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740A7"/>
    <w:rPr>
      <w:b/>
      <w:bCs/>
    </w:rPr>
  </w:style>
  <w:style w:type="character" w:customStyle="1" w:styleId="apple-converted-space">
    <w:name w:val="apple-converted-space"/>
    <w:basedOn w:val="DefaultParagraphFont"/>
    <w:rsid w:val="00B740A7"/>
  </w:style>
  <w:style w:type="paragraph" w:styleId="Revision">
    <w:name w:val="Revision"/>
    <w:hidden/>
    <w:uiPriority w:val="99"/>
    <w:semiHidden/>
    <w:rsid w:val="000E4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5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Sunandini (NIH/NCI) [V]</dc:creator>
  <cp:keywords/>
  <dc:description/>
  <cp:lastModifiedBy>Bertin, Samuel</cp:lastModifiedBy>
  <cp:revision>6</cp:revision>
  <dcterms:created xsi:type="dcterms:W3CDTF">2026-07-01T18:49:00Z</dcterms:created>
  <dcterms:modified xsi:type="dcterms:W3CDTF">2026-07-06T16:56:00Z</dcterms:modified>
</cp:coreProperties>
</file>