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ascii="Times New Roman" w:hAnsi="Times New Roman" w:cs="Times New Roman" w:eastAsia="Times New Roman"/>
          <w:sz w:val="22"/>
        </w:rPr>
        <w:t xml:space="preserve">TRIPOD-LLM Checklist</w:t>
      </w:r>
    </w:p>
    <w:p>
      <w:pPr/>
      <w:r>
        <w:rPr>
          <w:rFonts w:ascii="Times New Roman" w:hAnsi="Times New Roman" w:cs="Times New Roman" w:eastAsia="Times New Roman"/>
          <w:b/>
          <w:sz w:val="22"/>
        </w:rPr>
        <w:t xml:space="preserve">Supplement: TRIPOD-LLM reporting checklist</w:t>
      </w:r>
    </w:p>
    <w:p>
      <w:pPr>
        <w:pStyle w:val="FirstParagraph"/>
      </w:pPr>
      <w:r>
        <w:rPr>
          <w:rFonts w:ascii="Times New Roman" w:hAnsi="Times New Roman" w:cs="Times New Roman" w:eastAsia="Times New Roman"/>
          <w:sz w:val="22"/>
        </w:rPr>
        <w:t xml:space="preserve">This is the TRIPOD-LLM reporting checklist (Gallifant J, Afshar M, Ameen S, et al. The TRIPOD-LLM reporting guideline for studies using large language models.</w:t>
      </w:r>
      <w:r>
        <w:rPr>
          <w:rFonts w:ascii="Times New Roman" w:hAnsi="Times New Roman" w:cs="Times New Roman" w:eastAsia="Times New Roman"/>
          <w:sz w:val="22"/>
        </w:rPr>
        <w:t xml:space="preserve"> </w:t>
      </w:r>
      <w:r>
        <w:rPr>
          <w:rFonts w:ascii="Times New Roman" w:hAnsi="Times New Roman" w:cs="Times New Roman" w:eastAsia="Times New Roman"/>
          <w:i/>
          <w:iCs/>
          <w:sz w:val="22"/>
        </w:rPr>
        <w:t xml:space="preserve">Nat Med</w:t>
      </w:r>
      <w:r>
        <w:rPr>
          <w:rFonts w:ascii="Times New Roman" w:hAnsi="Times New Roman" w:cs="Times New Roman" w:eastAsia="Times New Roman"/>
          <w:sz w:val="22"/>
        </w:rPr>
        <w:t xml:space="preserve">. 2025;31(1):60-9), completed for this study. The study is an LLM-evaluation-in-healthcare design, so the applicable TRIPOD-LLM design codes are E (LLM evaluation/validation) and H (healthcare). It is NOT an LLM development (D) or methods-development (M) study: no weights were altered, no fine-tuning, no instruction tuning, no RAG, and no architecture/training pipeline. Development-only items (architecture, training process, alignment, compute/FLOPs, LLM updating, corpus annotation/instruction-tuning) are therefore marked NA with a one-line reason.</w:t>
      </w:r>
    </w:p>
    <w:p>
      <w:pPr>
        <w:pStyle w:val="BodyText"/>
      </w:pPr>
      <w:r>
        <w:rPr>
          <w:rFonts w:ascii="Times New Roman" w:hAnsi="Times New Roman" w:cs="Times New Roman" w:eastAsia="Times New Roman"/>
          <w:sz w:val="22"/>
        </w:rPr>
        <w:t xml:space="preserve">A structural constraint affects several items: the three models were accessed through consumer web (chatbot) interfaces, not via API. Sampling parameters (temperature, seed, max tokens, penalties) are not exposed or user-controllable, and exact model build/version is not separately logged. Where an item asks for those details, this is reported as a constraint/limitation rather than fitted.</w:t>
      </w:r>
    </w:p>
    <w:p>
      <w:pPr>
        <w:pStyle w:val="BodyText"/>
      </w:pPr>
      <w:r>
        <w:rPr>
          <w:rFonts w:ascii="Times New Roman" w:hAnsi="Times New Roman" w:cs="Times New Roman" w:eastAsia="Times New Roman"/>
          <w:sz w:val="22"/>
        </w:rPr>
        <w:t xml:space="preserve">Status legend: Reported / Partially reported / Not reported / NA.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644"/>
        <w:gridCol w:w="2118"/>
        <w:gridCol w:w="644"/>
        <w:gridCol w:w="1105"/>
        <w:gridCol w:w="3223"/>
      </w:tblGrid>
      <w:tr>
        <w:trPr>
          <w:tblHeader w:val="on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#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Applicability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Item (abbrev.)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Status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Location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Notes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Title: identify as developing/fine-tuning/evaluating an LLM; task, population, outcome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Title (manuscript title line)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Title identifies an LLM safety benchmark/evaluation for intraoperative crises (task + population). It does not explicitly name the outcome (guideline-anchored sentinel completion) or the word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“evaluation”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the title states neither.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Abstract: structured per TRIPOD-LLM for Abstracts (2a-2l)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Abstract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The abstract is structured (Background, Methods, Results, Conclusions) and covers the objective (no published benchmark), methods (10 scenarios, 3 models, web UI, 3 runs, double-scored, estimator with bootstrap CIs), results (completion, unsafe rates, axis concentration, instability), and conclusion. It is not mapped to the TRIPOD-LLM 2a-2l item-by-item abstract format. No data or code availability line appears in the abstract.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3a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Introduction: healthcare context/use case + rationale, with references to existing approaches/models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Introduction, paras 1-2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Establishes that existing LLM-in-healthcare benchmarks target outpatient/diagnostic/general safety [1-3], identifies the intraoperative-crisis gap, and cites crisis-checklist literature [6-8] and review evidence [4,5].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3b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Target population + intended use of the LLM in the care pathway, including intended users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Introduction para 3; Discussion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“Implications for evaluation and selection”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Intended setting (perioperative crisis care, OR team as user) and bounded roles (checklist augmentation, protocol retrieval, education, not autonomous decision support) are stated in Discussion. Intro frames the OR as a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“stress test rather than a downstream deployment setting.”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Intended-user/level-of-autonomy framing is present but lives mostly in Discussion rather than being declared up front.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Objectives: study objectives; whether development/fine-tuning/validation (or multiple stages)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Introduction para 3; 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“Study design”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Objective stated: measure whether models perform required actions, avoid unsafe ones, escalate, and stay consistent. Clearly an evaluation (no development/tuning).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5a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Data sources for training/tuning/evaluation datasets + rationale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“Scenario development,”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“Sentinel framework”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Evaluation data = 10 author-constructed synthetic crisis scenarios with 150 sentinels anchored to named guidelines/checklists [9-19, 6-8]; rationale for count (=10, phase-resolvable, single-investigator scoring) and for synthetic stems given. No training/tuning data (evaluation-only).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5b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Relevant data points + quantitative/qualitative distribution description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“Sentinel framework,”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Results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“Completion by sentinel anchoring tier”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150 sentinels (100 positive, 50 unsafe by the Results count of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“100 positive sentinels”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), 6 safety axes, 5-7 phases per scenario, anchoring-tier distribution (113 guideline, 26 checklist/CRM, 11 consensus) all quantified.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5c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Date of oldest and newest text used in development and evaluation datasets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“Models and prompting”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(run window Feb-Mar 2026); References (guideline pub years)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The inference/run window (Feb-Mar 2026) is given. The scenario/sentinel source texts’ span is implied by reference years (2010-2023) but not stated as an explicit oldest-newest range. Model training-data cutoffs are not reported (web UI, not disclosed). 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“Models and prompting”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the consumer interfaces did not disclose training-data cutoff dates.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5d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Data pre-processing and quality checking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“Scenario development,”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“Expert review”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Scenarios standardized to state-only phase names with minimal objective cues; iterative expert review by surgeons + anesthesiologists for clinical accuracy, physiologic coherence, phase alignment, positive/unsafe classification.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5e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How missing/imbalanced data handled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Results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 completeness”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Limitations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Reliability-fill batches added where coverage unbalanced (≥2 double-scored runs/cell); 4 runs had a single unscored sentinel excluded from that run’s denominator (stated in Limitations). Rare-event imbalance for unsafe sentinels addressed via percent-agreement alongside kappa.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6a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LLM name, version, and last date of training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“Models and prompting”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Names + stated versions reported: ChatGPT 5.2 (OpenAI), Claude Opus 4.6 (Anthropic), Gemini 3.1 Pro (Google), run Feb-Mar 2026. Versions are the latest-in-window labels from the web UI, not logged build IDs; last date of training not available (consumer UI does not expose it). 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“Models and prompting”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the consumer interfaces did not disclose exact build identifiers or training-data cutoff dates.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6b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M,D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LLM development process (architecture, training, fine-tuning, alignment)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NA: evaluation-only study; no model development. Models are third-party closed/frontier systems, unmodified.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6c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M,D,E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How text generated: prompt engineering (incl output consistency), inference settings (seed, temperature, max tokens, penalties)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“Models and prompting”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Prompt protocol described (operative briefing + sequential phase cues + fixed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“What should the OR team do next?”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query; outputs constrained to brief action-oriented responses). Inference settings (seed, temperature, max tokens, penalties) are not user-controllable via the consumer web UI and are not reported as values; the Limitations explicitly note the absence of control over decoding parameters such as temperature. Output consistency across runs is itself measured (run-to-run instability).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6d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Initial and post-processed output of the LLM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“Models and prompting,”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Outputs were constrained to brief action-oriented responses; scoring judged clinical equivalence, not wording. The transformation from raw model text to binary sentinel scores is described. Verbatim raw outputs are not stated as released.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6e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C,OF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Classification details + probabilities/thresholds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NA: no model-produced classification/probability output. Scoring is human binary judgment of free-text recommendations, not a model classifier with thresholds.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7a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QA,IR,DG,SS,MT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Metrics capturing quality of generative outputs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NA: study does not evaluate question-answering/information-retrieval/summarization/translation generative-quality metrics (e.g., BLEU/ROUGE/factuality scores). Outputs scored against discrete safety-action sentinels, not generative-quality metrics.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7b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Outcome metrics’ relevance to downstream task + correlation to human evaluation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“Sentinel framework,”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“Outcomes”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Discussion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“What the sentinel framework shows”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Outcomes (positive-sentinel completion, critical omission, unsafe-action rate, run-to-run instability) are explicitly tied to crisis safety; each sentinel carries a stated safety rationale; the entire scoring is human expert evaluation, so metric-to-human correlation is intrinsic.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7c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Define outcome; how predictions calculated; date of inference for closed-source LLMs; evaluation metrics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“Outcomes,”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“Statistical analysis”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“Models and prompting”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(Feb-Mar 2026)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Outcomes defined; estimator = mean of scenario-level means on double-scored runs; instability = within-cell SD across 3 runs; cluster bootstrap (scenarios resampled) for 95% CIs [20-22]; inference date window reported for the closed-source models.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7d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If outcome assessment subjective: assessor qualifications, instructions, demographics, inter-assessor agreement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Results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“Inter-rater reliability”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Table 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Four clinician raters (3 anesthesiologists, 1 surgeon), all blinded to model identity; two-tier calibration + double-scoring; mean-of-votes consensus (a rater split scored as one half); Cohen’s kappa reported overall (0.74), per pairing, positive-only (0.60), unsafe (0.25 with &gt;91% agreement). Demographics beyond specialty not given (likely acceptable; specialty is the relevant qualification).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7e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How performance compared to other LLMs, humans, benchmarks/standards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Results (paired model-vs-model comparisons); Discussion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“From prediction to safety”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Head-to-head model comparison with Wilcoxon signed-rank paired tests + bootstrap CIs reported; performance benchmarked against guideline/checklist standards (the sentinels). No human-clinician comparator (explicitly acknowledged in Limitations); cross-study comparison is narrative [28-30] rather than on a shared metric.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8a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If annotation done: how text labeled + guidelines/examples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No corpus annotation for model development was performed. The analogous labeling activity is human scoring of model outputs against sentinel definitions, with calibration on a protocol-heavy, judgment-heavy, and ambiguous subset that refined the operational definitions before full scoring. Reported under 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and item 7d; consistent with 8b and 8c.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8b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If annotation done: number of annotators, proportion multiply-annotated, inter-annotator agreement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Results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 completeness,”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“Inter-rater reliability”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4 raters; 62 of 90 runs double-scored (≥2/cell); kappa values reported. (Same activity as 8a, i.e., scoring not corpus annotation.)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8c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If annotation done: annotator background/experience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Raters identified as 3 anesthesiologists + 1 surgeon, blinded. Years-of-experience/seniority not specified.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9a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If prompting: prompt design/curation/selection processes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“Models and prompting”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(prompt-sensitivity); Results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“Sensitivity analyses”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Standardized prompting protocol described; a pre-specified prompt-sensitivity analysis (3 variants on 1 scenario) reported (ChatGPT 70.0-76.7%).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9b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If prompting: what data used to develop prompts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“Models and prompting”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The prompt structure (operative briefing + phase cues + fixed query) is described and was designed by the study clinicians; the iterative process that produced the final prompt wording (interim versions/iterations) is not detailed. The full prompt text is provided verbatim in Supplementary Methods S1; the iterative development history is not detailed.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Preprocessing before summarization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NA: not a summarization task.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11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M,D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Instruction tuning/alignment: instructions, data, interface, evaluator populations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NA: no instruction tuning or alignment performed; models used as released.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12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M,D,E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Compute (time/cost/machines/inference time/FLOPs)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Not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Web-UI access means no FLOPs/inference-time/machine metrics; none reported. No compute measurement is possible through the consumer web UI, and none is reported.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Ethics: IRB/ethics committee + informed consent or waiver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“Ethics and oversight”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no human subjects or patient data; IRB review not required. Appropriate for synthetic-scenario, no-PHI design.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14a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Source of funding + role of funders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Statements and 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“Funding”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“Funding”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the research received no specific grant from any funding agency in the public, commercial, or not-for-profit sectors.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14b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Conflicts of interest + financial disclosures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Statements and 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“Competing interests”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“Competing interests”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all authors declare no known competing financial interests or personal relationships that could have influenced the work.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14c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Where study protocol can be accessed, or state none prepared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Not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No protocol-availability statement. A priori outcomes are stated in 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“Outcomes,”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but no separate protocol-availability statement is included.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14d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Registration information, or state not registered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Statements and 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“Registration”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“Registration”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the study was not registered.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14e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Availability of study data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Conclusions (final paragraph); Statements and 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“Data availability”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Scenario definitions, sentinel lists, axes, scoring rules, and prompt templates are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“designed for open release.”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“Data availability”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these benchmark assets are available from the corresponding author upon reasonable request.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14f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Availability of code to reproduce results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Statements and 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“Code availability”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Analyses stated to be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“conducted in Python,”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and 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“Code availability”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the analysis code is available from the corresponding author upon reasonable request.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Patient and public involvement, or state none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Statements and 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“Patient and public involvement”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Declarations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“Patient and public involvement”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no patients or members of the public were involved in the design, conduct, reporting, or dissemination.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16a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Flow of text/EHR/patient data through study (numbers with/without outcome)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 (by analogy; no patient/EHR data)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Results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 completeness,”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“Inter-rater reliability”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No patient or EHR data are used (synthetic vignettes); reported here by analogy as the run and scoring data flow. Flow given: 90 runs across 30 cells; 62 double-scored runs (Claude n=20, ChatGPT n=21, Gemini n=21); 520 sentinel observations for primary kappa; 345 positive-only. No patient data (synthetic).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16b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Characteristics overall + per source/setting + dev/eval splits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 (by analogy; no patient/EHR data)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“Sentinel framework”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Results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“Completion by sentinel anchoring tier”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“Characteristics”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= scenario/sentinel composition (axes, anchoring tiers, phase counts) reported overall and by tier/axis. No dev/eval split (evaluation-only, no training set).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16c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Comparison of clinical variable distributions dev vs eval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NA: no development vs evaluation split; single evaluation set only.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16d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Number of participants and outcome events per analysis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 (by analogy; no patient/EHR data)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Results throughout;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“Scoring completeness,”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“Failure taxonomy by safety axis”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Observation/event counts reported per analysis (e.g., 520 and 345 sentinel observations; axis-level observation counts such as 34 for global strategy, 6-7 for activate-algorithm; &gt;2000 total safety judgments noted in Limitations).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17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 LLM performance per pre-specified metrics and/or human evaluation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Results (all subsections); Tables 1-2; Figures 1,3,4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Completion, omission, unsafe-action rates with CIs; paired comparisons; instability; axis- and phase-level failures; anchoring-tier completion; sensitivity analyses. All human-scored.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18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If applicable, results from any LLM updating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NA: no LLM updating/retraining performed. Models evaluated as released within the window.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19a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Overall interpretation incl fairness, vs objectives and previous studies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Discussion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“Principal findings,”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“From prediction to safety,”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“What the sentinel framework shows”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Strong interpretation vs objectives and prior work [4,27-30]. Fairness/subgroup analysis is absent (no patient subgroups in synthetic design; no demographic axis). Fairness across patient subgroups is not analyzed and is not framed as an explicit scope statement; the synthetic design contains no patient subgroups or demographic axis.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19b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Limitations + effects on bias, statistical uncertainty, generalizability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Discussion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“Limitations”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Covers small N/power, web-UI non-reproducibility/version drift, vignette-not-simulation, no human comparator, uncalibrated sentinel difficulty, single unscored-sentinel adjustment, snapshot-in-time.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19c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Known challenges using data for task/domain (representation, missingness, harmonization, bias)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Methods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“Scenario development”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; Discussion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“Limitations”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Synthetic-scenario representativeness limits and resource-dependence exclusions are addressed. Harmonization of phase structures noted (methods snippets). The Discussion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“Limitations”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states the benchmark rests on ten synthetic scenarios that limit power and representativeness relative to the full crisis space.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19d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Intended use: intended input, end-user, level of autonomy/human oversight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Discussion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“Implications for evaluation and selection”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Bounded roles (checklist augmentation, protocol retrieval, education) explicitly preferred over autonomous crisis decision support; OR team as user; human-in-the-loop oversight implied.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19e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How poor-quality/unavailable input should be handled at implementation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Not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—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The manuscript does not address how a deployed tool should handle degraded/missing input. This is out of the study’s scope and is not reported.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19f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E,H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Whether users interact in handling input/use of LLM + expertise required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Partially 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Discussion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“Implications for evaluation and selection”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Bounded-role framing implies an expert clinician in the loop; the required user expertise and interaction model are not stated explicitly. These are not reported beyond the bounded-role framing.</w:t>
            </w:r>
          </w:p>
        </w:tc>
      </w:tr>
      <w:t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19g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all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Next steps for future research re applicability/generalizability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Reported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Conclusions (final paragraph)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jc w:val="left"/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Open-release of the instrument for reproducible evaluation of future models across releases is stated as the path forward.</w:t>
            </w:r>
          </w:p>
        </w:tc>
      </w:tr>
    </w:tbl>
    <w:p>
      <w:pPr/>
      <w:r>
        <w:rPr>
          <w:rFonts w:ascii="Times New Roman" w:hAnsi="Times New Roman" w:cs="Times New Roman" w:eastAsia="Times New Roman"/>
          <w:b/>
          <w:sz w:val="22"/>
        </w:rPr>
        <w:t xml:space="preserve">Design-code key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cs="Times New Roman" w:eastAsia="Times New Roman"/>
          <w:sz w:val="22"/>
        </w:rPr>
        <w:t xml:space="preserve">E = LLM evaluation/validation study (applies)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cs="Times New Roman" w:eastAsia="Times New Roman"/>
          <w:sz w:val="22"/>
        </w:rPr>
        <w:t xml:space="preserve">H = healthcare domain (applies)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cs="Times New Roman" w:eastAsia="Times New Roman"/>
          <w:sz w:val="22"/>
        </w:rPr>
        <w:t xml:space="preserve">M = methods development; D = LLM development/fine-tuning (do NOT apply here)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cs="Times New Roman" w:eastAsia="Times New Roman"/>
          <w:sz w:val="22"/>
        </w:rPr>
        <w:t xml:space="preserve">C/OF = classification / other output-type items; QA/IR/DG/SS/MT = task-specific generative items (do NOT apply)</w:t>
      </w:r>
    </w:p>
    <w:sectPr>
      <w:footerReference w:type="default" r:id="rId9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fldSimple w:instr="PAGE">
      <w:r>
        <w:t>1</w:t>
      </w:r>
    </w:fldSimple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TRIPOD-LLM Checklist</dc:title>
  <dc:creator/>
  <cp:keywords/>
  <dcterms:created xsi:type="dcterms:W3CDTF">2026-07-21T19:16:27Z</dcterms:created>
  <dcterms:modified xsi:type="dcterms:W3CDTF">2026-07-21T19:16:27Z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