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39A0C" w14:textId="77777777" w:rsidR="003D40CB" w:rsidRDefault="003D40CB" w:rsidP="003D40CB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bCs/>
          <w:color w:val="000000"/>
        </w:rPr>
      </w:pPr>
      <w:r w:rsidRPr="0086406D">
        <w:rPr>
          <w:rFonts w:ascii="Arial" w:hAnsi="Arial" w:cs="Arial"/>
          <w:b/>
          <w:bCs/>
          <w:color w:val="000000"/>
        </w:rPr>
        <w:t xml:space="preserve">SUPPLEMENTARY </w:t>
      </w:r>
      <w:r>
        <w:rPr>
          <w:rFonts w:ascii="Arial" w:hAnsi="Arial" w:cs="Arial"/>
          <w:b/>
          <w:bCs/>
          <w:color w:val="000000"/>
        </w:rPr>
        <w:t>FIGURES</w:t>
      </w:r>
    </w:p>
    <w:p w14:paraId="1AE97728" w14:textId="77777777" w:rsidR="003D40CB" w:rsidRDefault="003D40CB" w:rsidP="003D40CB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bCs/>
          <w:color w:val="000000"/>
        </w:rPr>
      </w:pPr>
    </w:p>
    <w:p w14:paraId="098D073C" w14:textId="77777777" w:rsidR="003D40CB" w:rsidRDefault="003D40CB" w:rsidP="003D40CB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bCs/>
          <w:color w:val="000000"/>
        </w:rPr>
      </w:pPr>
    </w:p>
    <w:p w14:paraId="025B4A23" w14:textId="77777777" w:rsidR="003D40CB" w:rsidRDefault="003D40CB" w:rsidP="003D40CB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bCs/>
          <w:color w:val="000000"/>
        </w:rPr>
      </w:pPr>
    </w:p>
    <w:p w14:paraId="0337E32E" w14:textId="77777777" w:rsidR="003D40CB" w:rsidRDefault="003D40CB" w:rsidP="003D40CB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42A16FD5" wp14:editId="464C25C8">
            <wp:extent cx="5943350" cy="3343910"/>
            <wp:effectExtent l="0" t="0" r="635" b="0"/>
            <wp:docPr id="187925784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257842" name="Picture 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35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3139D" w14:textId="77777777" w:rsidR="003D40CB" w:rsidRPr="00B861ED" w:rsidRDefault="003D40CB" w:rsidP="003D40C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cs="Arial"/>
          <w:color w:val="000000"/>
        </w:rPr>
      </w:pPr>
      <w:r w:rsidRPr="00D86381">
        <w:rPr>
          <w:rFonts w:ascii="Arial" w:hAnsi="Arial" w:cs="Arial"/>
          <w:b/>
          <w:bCs/>
          <w:sz w:val="20"/>
          <w:szCs w:val="20"/>
        </w:rPr>
        <w:t>Figure S1.</w:t>
      </w:r>
      <w:r>
        <w:rPr>
          <w:rFonts w:ascii="Arial" w:hAnsi="Arial" w:cs="Arial"/>
          <w:b/>
          <w:bCs/>
          <w:sz w:val="20"/>
          <w:szCs w:val="20"/>
        </w:rPr>
        <w:t xml:space="preserve"> Representative HP </w:t>
      </w:r>
      <w:r w:rsidRPr="00044069">
        <w:rPr>
          <w:rFonts w:ascii="Arial" w:hAnsi="Arial" w:cs="Arial"/>
          <w:b/>
          <w:bCs/>
          <w:sz w:val="20"/>
          <w:szCs w:val="20"/>
          <w:vertAlign w:val="superscript"/>
        </w:rPr>
        <w:t>13</w:t>
      </w:r>
      <w:r>
        <w:rPr>
          <w:rFonts w:ascii="Arial" w:hAnsi="Arial" w:cs="Arial"/>
          <w:b/>
          <w:bCs/>
          <w:sz w:val="20"/>
          <w:szCs w:val="20"/>
        </w:rPr>
        <w:t xml:space="preserve">C Spectra and metabolite maps. </w:t>
      </w:r>
      <w:r w:rsidRPr="00B861ED">
        <w:rPr>
          <w:rFonts w:ascii="Arial" w:hAnsi="Arial" w:cs="Arial"/>
          <w:sz w:val="20"/>
          <w:szCs w:val="20"/>
        </w:rPr>
        <w:t xml:space="preserve">(A) Anatomical image with marker overlay for ROI voxels from which HP 13C metabolite data are extracted; (B) </w:t>
      </w:r>
      <w:r>
        <w:rPr>
          <w:rFonts w:ascii="Arial" w:hAnsi="Arial" w:cs="Arial"/>
          <w:sz w:val="20"/>
          <w:szCs w:val="20"/>
        </w:rPr>
        <w:t xml:space="preserve">Representative </w:t>
      </w:r>
      <w:r w:rsidRPr="00044069">
        <w:rPr>
          <w:rFonts w:ascii="Arial" w:hAnsi="Arial" w:cs="Arial"/>
          <w:sz w:val="20"/>
          <w:szCs w:val="20"/>
          <w:vertAlign w:val="superscript"/>
        </w:rPr>
        <w:t>13</w:t>
      </w:r>
      <w:r>
        <w:rPr>
          <w:rFonts w:ascii="Arial" w:hAnsi="Arial" w:cs="Arial"/>
          <w:sz w:val="20"/>
          <w:szCs w:val="20"/>
        </w:rPr>
        <w:t xml:space="preserve">C Spectra from the whole brain; (C) HP </w:t>
      </w:r>
      <w:r w:rsidRPr="00044069">
        <w:rPr>
          <w:rFonts w:ascii="Arial" w:hAnsi="Arial" w:cs="Arial"/>
          <w:sz w:val="20"/>
          <w:szCs w:val="20"/>
          <w:vertAlign w:val="superscript"/>
        </w:rPr>
        <w:t>13</w:t>
      </w:r>
      <w:r>
        <w:rPr>
          <w:rFonts w:ascii="Arial" w:hAnsi="Arial" w:cs="Arial"/>
          <w:sz w:val="20"/>
          <w:szCs w:val="20"/>
        </w:rPr>
        <w:t>C metabolite maps of [1-</w:t>
      </w:r>
      <w:r w:rsidRPr="00044069">
        <w:rPr>
          <w:rFonts w:ascii="Arial" w:hAnsi="Arial" w:cs="Arial"/>
          <w:sz w:val="20"/>
          <w:szCs w:val="20"/>
          <w:vertAlign w:val="superscript"/>
        </w:rPr>
        <w:t>13</w:t>
      </w:r>
      <w:r>
        <w:rPr>
          <w:rFonts w:ascii="Arial" w:hAnsi="Arial" w:cs="Arial"/>
          <w:sz w:val="20"/>
          <w:szCs w:val="20"/>
        </w:rPr>
        <w:t>C]Pyruvate, [1-</w:t>
      </w:r>
      <w:r w:rsidRPr="00601FE6">
        <w:rPr>
          <w:rFonts w:ascii="Arial" w:hAnsi="Arial" w:cs="Arial"/>
          <w:sz w:val="20"/>
          <w:szCs w:val="20"/>
          <w:vertAlign w:val="superscript"/>
        </w:rPr>
        <w:t>13</w:t>
      </w:r>
      <w:r>
        <w:rPr>
          <w:rFonts w:ascii="Arial" w:hAnsi="Arial" w:cs="Arial"/>
          <w:sz w:val="20"/>
          <w:szCs w:val="20"/>
        </w:rPr>
        <w:t>C]Lactate, [1-</w:t>
      </w:r>
      <w:r w:rsidRPr="00601FE6">
        <w:rPr>
          <w:rFonts w:ascii="Arial" w:hAnsi="Arial" w:cs="Arial"/>
          <w:sz w:val="20"/>
          <w:szCs w:val="20"/>
          <w:vertAlign w:val="superscript"/>
        </w:rPr>
        <w:t>13</w:t>
      </w:r>
      <w:r>
        <w:rPr>
          <w:rFonts w:ascii="Arial" w:hAnsi="Arial" w:cs="Arial"/>
          <w:sz w:val="20"/>
          <w:szCs w:val="20"/>
        </w:rPr>
        <w:t xml:space="preserve">C]Lactate/Pyruvate and </w:t>
      </w:r>
      <w:r w:rsidRPr="00044069">
        <w:rPr>
          <w:rFonts w:ascii="Arial" w:hAnsi="Arial" w:cs="Arial"/>
          <w:sz w:val="20"/>
          <w:szCs w:val="20"/>
          <w:vertAlign w:val="superscript"/>
        </w:rPr>
        <w:t>13</w:t>
      </w:r>
      <w:r>
        <w:rPr>
          <w:rFonts w:ascii="Arial" w:hAnsi="Arial" w:cs="Arial"/>
          <w:sz w:val="20"/>
          <w:szCs w:val="20"/>
        </w:rPr>
        <w:t>C Urea.</w:t>
      </w:r>
    </w:p>
    <w:p w14:paraId="00E4257B" w14:textId="77777777" w:rsidR="003D40CB" w:rsidRDefault="003D40CB" w:rsidP="003D40CB">
      <w:pPr>
        <w:spacing w:line="360" w:lineRule="auto"/>
        <w:jc w:val="both"/>
        <w:rPr>
          <w:rFonts w:ascii="Arial" w:hAnsi="Arial" w:cs="Arial"/>
        </w:rPr>
      </w:pPr>
    </w:p>
    <w:p w14:paraId="4B7E9B6B" w14:textId="77777777" w:rsidR="003D40CB" w:rsidRDefault="003D40CB" w:rsidP="003D40CB">
      <w:pPr>
        <w:spacing w:line="360" w:lineRule="auto"/>
        <w:jc w:val="both"/>
        <w:rPr>
          <w:rFonts w:ascii="Arial" w:hAnsi="Arial" w:cs="Arial"/>
        </w:rPr>
      </w:pPr>
    </w:p>
    <w:p w14:paraId="531D474F" w14:textId="77777777" w:rsidR="003D40CB" w:rsidRDefault="003D40CB" w:rsidP="003D40C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000000"/>
        </w:rPr>
        <w:lastRenderedPageBreak/>
        <w:drawing>
          <wp:inline distT="0" distB="0" distL="0" distR="0" wp14:anchorId="7252369B" wp14:editId="5705C70D">
            <wp:extent cx="5943600" cy="5925820"/>
            <wp:effectExtent l="0" t="0" r="0" b="5080"/>
            <wp:docPr id="161236698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366988" name="Picture 161236698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2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58308" w14:textId="77777777" w:rsidR="003D40CB" w:rsidRPr="000665FC" w:rsidRDefault="003D40CB" w:rsidP="003D40C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86381">
        <w:rPr>
          <w:rFonts w:ascii="Arial" w:hAnsi="Arial" w:cs="Arial"/>
          <w:b/>
          <w:bCs/>
          <w:sz w:val="20"/>
          <w:szCs w:val="20"/>
        </w:rPr>
        <w:t>Figure S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Pr="00D86381">
        <w:rPr>
          <w:rFonts w:ascii="Arial" w:hAnsi="Arial" w:cs="Arial"/>
          <w:b/>
          <w:bCs/>
          <w:sz w:val="20"/>
          <w:szCs w:val="20"/>
        </w:rPr>
        <w:t xml:space="preserve">. </w:t>
      </w:r>
      <w:r w:rsidRPr="00E34EB4">
        <w:rPr>
          <w:rFonts w:ascii="Arial" w:hAnsi="Arial" w:cs="Arial"/>
          <w:b/>
          <w:bCs/>
          <w:sz w:val="20"/>
          <w:szCs w:val="20"/>
        </w:rPr>
        <w:t xml:space="preserve">Representative ¹H-NMR spectrum of brain tissue extracts with metabolite peak assignments. </w:t>
      </w:r>
      <w:r w:rsidRPr="000665FC">
        <w:rPr>
          <w:rFonts w:ascii="Arial" w:hAnsi="Arial" w:cs="Arial"/>
          <w:sz w:val="20"/>
          <w:szCs w:val="20"/>
        </w:rPr>
        <w:t>(Top) Full ¹H-NMR spectrum spanning the downfield, midfield, and upfield regions, with overlaid traces from individual samples. (Bottom) Expanded view of the boxed midfield region (~2.3–2.5 ppm), showing resolved resonances for representative metabolites including glutathione, glutamine, succinate, glutamate, and 4-aminobutyrate (GABA). Peaks are color-coded by metabolite, and spectral fits are overlaid on the acquired spectra.</w:t>
      </w:r>
    </w:p>
    <w:p w14:paraId="76C0A1DE" w14:textId="77777777" w:rsidR="003D40CB" w:rsidRPr="00111107" w:rsidRDefault="003D40CB" w:rsidP="003D40CB">
      <w:pPr>
        <w:rPr>
          <w:rFonts w:ascii="Arial" w:hAnsi="Arial" w:cs="Arial"/>
        </w:rPr>
      </w:pPr>
    </w:p>
    <w:p w14:paraId="570ECB4A" w14:textId="77777777" w:rsidR="003D40CB" w:rsidRDefault="003D40CB" w:rsidP="003D40CB">
      <w:pPr>
        <w:tabs>
          <w:tab w:val="left" w:pos="5938"/>
        </w:tabs>
        <w:rPr>
          <w:rFonts w:ascii="Arial" w:hAnsi="Arial" w:cs="Arial"/>
        </w:rPr>
      </w:pPr>
    </w:p>
    <w:p w14:paraId="6D99C9A5" w14:textId="77777777" w:rsidR="003D40CB" w:rsidRDefault="003D40CB" w:rsidP="003D40CB">
      <w:pPr>
        <w:tabs>
          <w:tab w:val="left" w:pos="5938"/>
        </w:tabs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000000"/>
        </w:rPr>
        <w:lastRenderedPageBreak/>
        <w:drawing>
          <wp:inline distT="0" distB="0" distL="0" distR="0" wp14:anchorId="13B2298C" wp14:editId="34F0A1F2">
            <wp:extent cx="5943600" cy="5043054"/>
            <wp:effectExtent l="0" t="0" r="0" b="0"/>
            <wp:docPr id="19124910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491074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4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9B122" w14:textId="77777777" w:rsidR="003D40CB" w:rsidRDefault="003D40CB" w:rsidP="003D40CB">
      <w:pPr>
        <w:tabs>
          <w:tab w:val="left" w:pos="5938"/>
        </w:tabs>
        <w:rPr>
          <w:rFonts w:ascii="Arial" w:hAnsi="Arial" w:cs="Arial"/>
        </w:rPr>
      </w:pPr>
    </w:p>
    <w:p w14:paraId="1D6D384D" w14:textId="77777777" w:rsidR="003D40CB" w:rsidRPr="00D86381" w:rsidRDefault="003D40CB" w:rsidP="003D40CB">
      <w:pPr>
        <w:tabs>
          <w:tab w:val="left" w:pos="5938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86381">
        <w:rPr>
          <w:rFonts w:ascii="Arial" w:hAnsi="Arial" w:cs="Arial"/>
          <w:b/>
          <w:bCs/>
          <w:sz w:val="20"/>
          <w:szCs w:val="20"/>
        </w:rPr>
        <w:t>Figure S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Pr="00D86381">
        <w:rPr>
          <w:rFonts w:ascii="Arial" w:hAnsi="Arial" w:cs="Arial"/>
          <w:b/>
          <w:bCs/>
          <w:sz w:val="20"/>
          <w:szCs w:val="20"/>
        </w:rPr>
        <w:t>.</w:t>
      </w:r>
      <w:r>
        <w:rPr>
          <w:rFonts w:ascii="Arial" w:hAnsi="Arial" w:cs="Arial"/>
          <w:b/>
          <w:bCs/>
          <w:sz w:val="20"/>
          <w:szCs w:val="20"/>
        </w:rPr>
        <w:t xml:space="preserve"> Unadjusted HP [1-</w:t>
      </w:r>
      <w:r w:rsidRPr="005146D7">
        <w:rPr>
          <w:rFonts w:ascii="Arial" w:hAnsi="Arial" w:cs="Arial"/>
          <w:b/>
          <w:bCs/>
          <w:sz w:val="20"/>
          <w:szCs w:val="20"/>
          <w:vertAlign w:val="superscript"/>
        </w:rPr>
        <w:t>13</w:t>
      </w:r>
      <w:r>
        <w:rPr>
          <w:rFonts w:ascii="Arial" w:hAnsi="Arial" w:cs="Arial"/>
          <w:b/>
          <w:bCs/>
          <w:sz w:val="20"/>
          <w:szCs w:val="20"/>
        </w:rPr>
        <w:t xml:space="preserve">C] metabolite signals across age </w:t>
      </w:r>
      <w:r w:rsidRPr="00D86381">
        <w:rPr>
          <w:rFonts w:ascii="Arial" w:hAnsi="Arial" w:cs="Arial"/>
          <w:b/>
          <w:bCs/>
          <w:sz w:val="20"/>
          <w:szCs w:val="20"/>
        </w:rPr>
        <w:t xml:space="preserve">in hAPP-J20 </w:t>
      </w:r>
      <w:r>
        <w:rPr>
          <w:rFonts w:ascii="Arial" w:hAnsi="Arial" w:cs="Arial"/>
          <w:b/>
          <w:bCs/>
          <w:sz w:val="20"/>
          <w:szCs w:val="20"/>
        </w:rPr>
        <w:t>and WT fe</w:t>
      </w:r>
      <w:r w:rsidRPr="00D86381">
        <w:rPr>
          <w:rFonts w:ascii="Arial" w:hAnsi="Arial" w:cs="Arial"/>
          <w:b/>
          <w:bCs/>
          <w:sz w:val="20"/>
          <w:szCs w:val="20"/>
        </w:rPr>
        <w:t xml:space="preserve">male mice. </w:t>
      </w:r>
      <w:r w:rsidRPr="00D86381">
        <w:rPr>
          <w:rFonts w:ascii="Arial" w:hAnsi="Arial" w:cs="Arial"/>
          <w:sz w:val="20"/>
          <w:szCs w:val="20"/>
        </w:rPr>
        <w:t xml:space="preserve">Each column represents the anatomical image with an overlay ROI, whereas inter-genotypic differences in </w:t>
      </w:r>
      <w:r>
        <w:rPr>
          <w:rFonts w:ascii="Arial" w:hAnsi="Arial" w:cs="Arial"/>
          <w:sz w:val="20"/>
          <w:szCs w:val="20"/>
        </w:rPr>
        <w:t xml:space="preserve"> SNR of </w:t>
      </w:r>
      <w:r w:rsidRPr="00D86381">
        <w:rPr>
          <w:rFonts w:ascii="Arial" w:hAnsi="Arial" w:cs="Arial"/>
          <w:sz w:val="20"/>
          <w:szCs w:val="20"/>
        </w:rPr>
        <w:t>HP [1-</w:t>
      </w:r>
      <w:r w:rsidRPr="00D86381">
        <w:rPr>
          <w:rFonts w:ascii="Arial" w:hAnsi="Arial" w:cs="Arial"/>
          <w:sz w:val="20"/>
          <w:szCs w:val="20"/>
          <w:vertAlign w:val="superscript"/>
        </w:rPr>
        <w:t>13</w:t>
      </w:r>
      <w:r w:rsidRPr="00D86381">
        <w:rPr>
          <w:rFonts w:ascii="Arial" w:hAnsi="Arial" w:cs="Arial"/>
          <w:sz w:val="20"/>
          <w:szCs w:val="20"/>
        </w:rPr>
        <w:t>C]Pyruvate, HP [1-</w:t>
      </w:r>
      <w:r w:rsidRPr="00D86381">
        <w:rPr>
          <w:rFonts w:ascii="Arial" w:hAnsi="Arial" w:cs="Arial"/>
          <w:sz w:val="20"/>
          <w:szCs w:val="20"/>
          <w:vertAlign w:val="superscript"/>
        </w:rPr>
        <w:t>13</w:t>
      </w:r>
      <w:r w:rsidRPr="00D86381">
        <w:rPr>
          <w:rFonts w:ascii="Arial" w:hAnsi="Arial" w:cs="Arial"/>
          <w:sz w:val="20"/>
          <w:szCs w:val="20"/>
        </w:rPr>
        <w:t>C]Lactate and HP [1-</w:t>
      </w:r>
      <w:r w:rsidRPr="00D86381">
        <w:rPr>
          <w:rFonts w:ascii="Arial" w:hAnsi="Arial" w:cs="Arial"/>
          <w:sz w:val="20"/>
          <w:szCs w:val="20"/>
          <w:vertAlign w:val="superscript"/>
        </w:rPr>
        <w:t>13</w:t>
      </w:r>
      <w:r w:rsidRPr="00D86381">
        <w:rPr>
          <w:rFonts w:ascii="Arial" w:hAnsi="Arial" w:cs="Arial"/>
          <w:sz w:val="20"/>
          <w:szCs w:val="20"/>
        </w:rPr>
        <w:t>C]Lactate/Pyruvate conversion, for (A) whole brain, (B) Cortex, (C) Hippocampus, and (D) Subcortical regions. Graph representation of bar graphs with subject values with SD per group; linear mixed model with Šidák post-hoc correction: dotted line - main age effect, full line - post-hoc comparisons; *p ≤ .05, **p ≤ 0.01, ***p ≤ 0.001, ****p ≤ 0.0001</w:t>
      </w:r>
    </w:p>
    <w:p w14:paraId="02159860" w14:textId="77777777" w:rsidR="003D40CB" w:rsidRPr="00D86381" w:rsidRDefault="003D40CB" w:rsidP="003D40CB">
      <w:pPr>
        <w:tabs>
          <w:tab w:val="left" w:pos="5938"/>
        </w:tabs>
        <w:rPr>
          <w:rFonts w:ascii="Arial" w:hAnsi="Arial" w:cs="Arial"/>
        </w:rPr>
      </w:pPr>
    </w:p>
    <w:p w14:paraId="11834969" w14:textId="77777777" w:rsidR="003D40CB" w:rsidRDefault="003D40CB" w:rsidP="003D40CB">
      <w:pPr>
        <w:tabs>
          <w:tab w:val="left" w:pos="5938"/>
        </w:tabs>
        <w:rPr>
          <w:rFonts w:ascii="Arial" w:hAnsi="Arial" w:cs="Arial"/>
        </w:rPr>
      </w:pPr>
    </w:p>
    <w:p w14:paraId="74A3ECE7" w14:textId="77777777" w:rsidR="003D40CB" w:rsidRPr="00425D1B" w:rsidRDefault="003D40CB" w:rsidP="003D40CB">
      <w:pPr>
        <w:tabs>
          <w:tab w:val="left" w:pos="5938"/>
        </w:tabs>
        <w:rPr>
          <w:rFonts w:ascii="Arial" w:hAnsi="Arial" w:cs="Arial"/>
        </w:rPr>
      </w:pPr>
    </w:p>
    <w:p w14:paraId="4FC44DC2" w14:textId="77777777" w:rsidR="003D40CB" w:rsidRPr="00425D1B" w:rsidRDefault="003D40CB" w:rsidP="003D40CB">
      <w:pPr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000000"/>
        </w:rPr>
        <w:lastRenderedPageBreak/>
        <w:drawing>
          <wp:inline distT="0" distB="0" distL="0" distR="0" wp14:anchorId="0E81A2B3" wp14:editId="1E4B6214">
            <wp:extent cx="5943561" cy="5102860"/>
            <wp:effectExtent l="0" t="0" r="635" b="2540"/>
            <wp:docPr id="15821418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141869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561" cy="510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7DE6C" w14:textId="77777777" w:rsidR="003D40CB" w:rsidRPr="005146D7" w:rsidRDefault="003D40CB" w:rsidP="003D40CB">
      <w:pPr>
        <w:tabs>
          <w:tab w:val="left" w:pos="5938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571F1">
        <w:rPr>
          <w:rFonts w:ascii="Arial" w:hAnsi="Arial" w:cs="Arial"/>
          <w:b/>
          <w:bCs/>
          <w:sz w:val="20"/>
          <w:szCs w:val="20"/>
        </w:rPr>
        <w:t>Figure S</w:t>
      </w:r>
      <w:r>
        <w:rPr>
          <w:rFonts w:ascii="Arial" w:hAnsi="Arial" w:cs="Arial"/>
          <w:b/>
          <w:bCs/>
          <w:sz w:val="20"/>
          <w:szCs w:val="20"/>
        </w:rPr>
        <w:t>4</w:t>
      </w:r>
      <w:r w:rsidRPr="00C571F1">
        <w:rPr>
          <w:rFonts w:ascii="Arial" w:hAnsi="Arial" w:cs="Arial"/>
          <w:b/>
          <w:bCs/>
          <w:sz w:val="20"/>
          <w:szCs w:val="20"/>
        </w:rPr>
        <w:t>.</w:t>
      </w:r>
      <w:r>
        <w:rPr>
          <w:rFonts w:ascii="Arial" w:hAnsi="Arial" w:cs="Arial"/>
          <w:b/>
          <w:bCs/>
          <w:sz w:val="20"/>
          <w:szCs w:val="20"/>
        </w:rPr>
        <w:t xml:space="preserve"> Unadjusted HP [1-</w:t>
      </w:r>
      <w:r w:rsidRPr="005146D7">
        <w:rPr>
          <w:rFonts w:ascii="Arial" w:hAnsi="Arial" w:cs="Arial"/>
          <w:b/>
          <w:bCs/>
          <w:sz w:val="20"/>
          <w:szCs w:val="20"/>
          <w:vertAlign w:val="superscript"/>
        </w:rPr>
        <w:t>13</w:t>
      </w:r>
      <w:r>
        <w:rPr>
          <w:rFonts w:ascii="Arial" w:hAnsi="Arial" w:cs="Arial"/>
          <w:b/>
          <w:bCs/>
          <w:sz w:val="20"/>
          <w:szCs w:val="20"/>
        </w:rPr>
        <w:t xml:space="preserve">C] metabolite signals across age </w:t>
      </w:r>
      <w:r w:rsidRPr="00D86381">
        <w:rPr>
          <w:rFonts w:ascii="Arial" w:hAnsi="Arial" w:cs="Arial"/>
          <w:b/>
          <w:bCs/>
          <w:sz w:val="20"/>
          <w:szCs w:val="20"/>
        </w:rPr>
        <w:t xml:space="preserve">in hAPP-J20 </w:t>
      </w:r>
      <w:r>
        <w:rPr>
          <w:rFonts w:ascii="Arial" w:hAnsi="Arial" w:cs="Arial"/>
          <w:b/>
          <w:bCs/>
          <w:sz w:val="20"/>
          <w:szCs w:val="20"/>
        </w:rPr>
        <w:t xml:space="preserve">and WT </w:t>
      </w:r>
      <w:r w:rsidRPr="00D86381">
        <w:rPr>
          <w:rFonts w:ascii="Arial" w:hAnsi="Arial" w:cs="Arial"/>
          <w:b/>
          <w:bCs/>
          <w:sz w:val="20"/>
          <w:szCs w:val="20"/>
        </w:rPr>
        <w:t xml:space="preserve">male mice. </w:t>
      </w:r>
      <w:r w:rsidRPr="005146D7">
        <w:rPr>
          <w:rFonts w:ascii="Arial" w:hAnsi="Arial" w:cs="Arial"/>
          <w:sz w:val="20"/>
          <w:szCs w:val="20"/>
        </w:rPr>
        <w:t>Each column represents the anatomical image with an overlay ROI, whereas inter-genotypic differences in</w:t>
      </w:r>
      <w:r>
        <w:rPr>
          <w:rFonts w:ascii="Arial" w:hAnsi="Arial" w:cs="Arial"/>
          <w:sz w:val="20"/>
          <w:szCs w:val="20"/>
        </w:rPr>
        <w:t xml:space="preserve"> SNR of </w:t>
      </w:r>
      <w:r w:rsidRPr="005146D7">
        <w:rPr>
          <w:rFonts w:ascii="Arial" w:hAnsi="Arial" w:cs="Arial"/>
          <w:sz w:val="20"/>
          <w:szCs w:val="20"/>
        </w:rPr>
        <w:t>HP [1-</w:t>
      </w:r>
      <w:r w:rsidRPr="005146D7">
        <w:rPr>
          <w:rFonts w:ascii="Arial" w:hAnsi="Arial" w:cs="Arial"/>
          <w:sz w:val="20"/>
          <w:szCs w:val="20"/>
          <w:vertAlign w:val="superscript"/>
        </w:rPr>
        <w:t>13</w:t>
      </w:r>
      <w:r w:rsidRPr="005146D7">
        <w:rPr>
          <w:rFonts w:ascii="Arial" w:hAnsi="Arial" w:cs="Arial"/>
          <w:sz w:val="20"/>
          <w:szCs w:val="20"/>
        </w:rPr>
        <w:t>C]Pyruvate, HP [1-</w:t>
      </w:r>
      <w:r w:rsidRPr="005146D7">
        <w:rPr>
          <w:rFonts w:ascii="Arial" w:hAnsi="Arial" w:cs="Arial"/>
          <w:sz w:val="20"/>
          <w:szCs w:val="20"/>
          <w:vertAlign w:val="superscript"/>
        </w:rPr>
        <w:t>13</w:t>
      </w:r>
      <w:r w:rsidRPr="005146D7">
        <w:rPr>
          <w:rFonts w:ascii="Arial" w:hAnsi="Arial" w:cs="Arial"/>
          <w:sz w:val="20"/>
          <w:szCs w:val="20"/>
        </w:rPr>
        <w:t>C]Lactate and HP [1-</w:t>
      </w:r>
      <w:r w:rsidRPr="005146D7">
        <w:rPr>
          <w:rFonts w:ascii="Arial" w:hAnsi="Arial" w:cs="Arial"/>
          <w:sz w:val="20"/>
          <w:szCs w:val="20"/>
          <w:vertAlign w:val="superscript"/>
        </w:rPr>
        <w:t>13</w:t>
      </w:r>
      <w:r w:rsidRPr="005146D7">
        <w:rPr>
          <w:rFonts w:ascii="Arial" w:hAnsi="Arial" w:cs="Arial"/>
          <w:sz w:val="20"/>
          <w:szCs w:val="20"/>
        </w:rPr>
        <w:t>C]Lactate/Pyruvate conversion, for (A) whole brain, (B) Cortex, (C) Hippocampus, and (D) Subcortical regions. Graph representation of bar graphs with subject values with SD per group; linear mixed model with Šidák post-hoc correction: dotted line - main age effect, full line - post-hoc comparisons; *p ≤ .05, **p ≤ 0.01, ***p ≤ 0.001, ****p ≤ 0.0001</w:t>
      </w:r>
    </w:p>
    <w:p w14:paraId="324CB1FF" w14:textId="77777777" w:rsidR="003D40CB" w:rsidRPr="00D86381" w:rsidRDefault="003D40CB" w:rsidP="003D40CB">
      <w:pPr>
        <w:tabs>
          <w:tab w:val="left" w:pos="5938"/>
        </w:tabs>
        <w:rPr>
          <w:rFonts w:ascii="Arial" w:hAnsi="Arial" w:cs="Arial"/>
        </w:rPr>
      </w:pPr>
    </w:p>
    <w:p w14:paraId="43555888" w14:textId="77777777" w:rsidR="003D40CB" w:rsidRPr="00C571F1" w:rsidRDefault="003D40CB" w:rsidP="003D40CB">
      <w:pPr>
        <w:rPr>
          <w:rFonts w:ascii="Arial" w:hAnsi="Arial" w:cs="Arial"/>
          <w:b/>
          <w:bCs/>
          <w:sz w:val="20"/>
          <w:szCs w:val="20"/>
        </w:rPr>
      </w:pPr>
    </w:p>
    <w:p w14:paraId="3C322B87" w14:textId="77777777" w:rsidR="003D40CB" w:rsidRPr="00425D1B" w:rsidRDefault="003D40CB" w:rsidP="003D40CB">
      <w:pPr>
        <w:rPr>
          <w:rFonts w:ascii="Arial" w:hAnsi="Arial" w:cs="Arial"/>
        </w:rPr>
      </w:pPr>
    </w:p>
    <w:p w14:paraId="6BBCB6E0" w14:textId="77777777" w:rsidR="003D40CB" w:rsidRPr="00425D1B" w:rsidRDefault="003D40CB" w:rsidP="003D40CB">
      <w:pPr>
        <w:rPr>
          <w:rFonts w:ascii="Arial" w:hAnsi="Arial" w:cs="Arial"/>
        </w:rPr>
      </w:pPr>
    </w:p>
    <w:p w14:paraId="41C0B19A" w14:textId="77777777" w:rsidR="003D40CB" w:rsidRPr="00425D1B" w:rsidRDefault="003D40CB" w:rsidP="003D40CB">
      <w:pPr>
        <w:rPr>
          <w:rFonts w:ascii="Arial" w:hAnsi="Arial" w:cs="Arial"/>
        </w:rPr>
      </w:pPr>
    </w:p>
    <w:p w14:paraId="186A2F19" w14:textId="77777777" w:rsidR="003D40CB" w:rsidRPr="00425D1B" w:rsidRDefault="003D40CB" w:rsidP="003D40CB">
      <w:pPr>
        <w:rPr>
          <w:rFonts w:ascii="Arial" w:hAnsi="Arial" w:cs="Arial"/>
        </w:rPr>
      </w:pPr>
    </w:p>
    <w:p w14:paraId="3C9D96DE" w14:textId="77777777" w:rsidR="003D40CB" w:rsidRDefault="003D40CB" w:rsidP="003D40CB">
      <w:pPr>
        <w:rPr>
          <w:rFonts w:ascii="Arial" w:hAnsi="Arial" w:cs="Arial"/>
        </w:rPr>
      </w:pPr>
    </w:p>
    <w:p w14:paraId="04B192C0" w14:textId="77777777" w:rsidR="003D40CB" w:rsidRDefault="003D40CB" w:rsidP="003D40CB">
      <w:pPr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000000"/>
        </w:rPr>
        <w:lastRenderedPageBreak/>
        <w:drawing>
          <wp:inline distT="0" distB="0" distL="0" distR="0" wp14:anchorId="4CFE63D2" wp14:editId="56483EDD">
            <wp:extent cx="5928610" cy="3278035"/>
            <wp:effectExtent l="0" t="0" r="2540" b="0"/>
            <wp:docPr id="1360208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20813" name="Picture 3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5" r="5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31" cy="32814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5789E5" w14:textId="77777777" w:rsidR="003D40CB" w:rsidRPr="005146D7" w:rsidRDefault="003D40CB" w:rsidP="003D40CB">
      <w:pPr>
        <w:tabs>
          <w:tab w:val="left" w:pos="5938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571F1">
        <w:rPr>
          <w:rFonts w:ascii="Arial" w:hAnsi="Arial" w:cs="Arial"/>
          <w:b/>
          <w:bCs/>
          <w:sz w:val="20"/>
          <w:szCs w:val="20"/>
        </w:rPr>
        <w:t>Figure S</w:t>
      </w:r>
      <w:r>
        <w:rPr>
          <w:rFonts w:ascii="Arial" w:hAnsi="Arial" w:cs="Arial"/>
          <w:b/>
          <w:bCs/>
          <w:sz w:val="20"/>
          <w:szCs w:val="20"/>
        </w:rPr>
        <w:t>5</w:t>
      </w:r>
      <w:r w:rsidRPr="00C571F1">
        <w:rPr>
          <w:rFonts w:ascii="Arial" w:hAnsi="Arial" w:cs="Arial"/>
          <w:b/>
          <w:bCs/>
          <w:sz w:val="20"/>
          <w:szCs w:val="20"/>
        </w:rPr>
        <w:t>.</w:t>
      </w:r>
      <w:r>
        <w:rPr>
          <w:rFonts w:ascii="Arial" w:hAnsi="Arial" w:cs="Arial"/>
          <w:b/>
          <w:bCs/>
          <w:sz w:val="20"/>
          <w:szCs w:val="20"/>
        </w:rPr>
        <w:t xml:space="preserve"> Normalized HP </w:t>
      </w:r>
      <w:r w:rsidRPr="005146D7">
        <w:rPr>
          <w:rFonts w:ascii="Arial" w:hAnsi="Arial" w:cs="Arial"/>
          <w:b/>
          <w:bCs/>
          <w:sz w:val="20"/>
          <w:szCs w:val="20"/>
          <w:vertAlign w:val="superscript"/>
        </w:rPr>
        <w:t>13</w:t>
      </w:r>
      <w:r>
        <w:rPr>
          <w:rFonts w:ascii="Arial" w:hAnsi="Arial" w:cs="Arial"/>
          <w:b/>
          <w:bCs/>
          <w:sz w:val="20"/>
          <w:szCs w:val="20"/>
        </w:rPr>
        <w:t xml:space="preserve">C Urea across age </w:t>
      </w:r>
      <w:r w:rsidRPr="00D86381">
        <w:rPr>
          <w:rFonts w:ascii="Arial" w:hAnsi="Arial" w:cs="Arial"/>
          <w:b/>
          <w:bCs/>
          <w:sz w:val="20"/>
          <w:szCs w:val="20"/>
        </w:rPr>
        <w:t xml:space="preserve">in hAPP-J20 </w:t>
      </w:r>
      <w:r>
        <w:rPr>
          <w:rFonts w:ascii="Arial" w:hAnsi="Arial" w:cs="Arial"/>
          <w:b/>
          <w:bCs/>
          <w:sz w:val="20"/>
          <w:szCs w:val="20"/>
        </w:rPr>
        <w:t xml:space="preserve">and WT </w:t>
      </w:r>
      <w:r w:rsidRPr="00D86381">
        <w:rPr>
          <w:rFonts w:ascii="Arial" w:hAnsi="Arial" w:cs="Arial"/>
          <w:b/>
          <w:bCs/>
          <w:sz w:val="20"/>
          <w:szCs w:val="20"/>
        </w:rPr>
        <w:t xml:space="preserve">mice. </w:t>
      </w:r>
      <w:r w:rsidRPr="005146D7">
        <w:rPr>
          <w:rFonts w:ascii="Arial" w:hAnsi="Arial" w:cs="Arial"/>
          <w:sz w:val="20"/>
          <w:szCs w:val="20"/>
        </w:rPr>
        <w:t>Each column represents the anatomical image with an overlay ROI, w</w:t>
      </w:r>
      <w:r>
        <w:rPr>
          <w:rFonts w:ascii="Arial" w:hAnsi="Arial" w:cs="Arial"/>
          <w:sz w:val="20"/>
          <w:szCs w:val="20"/>
        </w:rPr>
        <w:t xml:space="preserve">ith </w:t>
      </w:r>
      <w:r w:rsidRPr="005146D7">
        <w:rPr>
          <w:rFonts w:ascii="Arial" w:hAnsi="Arial" w:cs="Arial"/>
          <w:sz w:val="20"/>
          <w:szCs w:val="20"/>
        </w:rPr>
        <w:t xml:space="preserve">inter-genotypic differences </w:t>
      </w:r>
      <w:r>
        <w:rPr>
          <w:rFonts w:ascii="Arial" w:hAnsi="Arial" w:cs="Arial"/>
          <w:sz w:val="20"/>
          <w:szCs w:val="20"/>
        </w:rPr>
        <w:t>for</w:t>
      </w:r>
      <w:r w:rsidRPr="005146D7">
        <w:rPr>
          <w:rFonts w:ascii="Arial" w:hAnsi="Arial" w:cs="Arial"/>
          <w:sz w:val="20"/>
          <w:szCs w:val="20"/>
        </w:rPr>
        <w:t xml:space="preserve"> (A) whole brain, (B) Cortex, (C) Hippocampus, and (D) Subcortical regions</w:t>
      </w:r>
      <w:r>
        <w:rPr>
          <w:rFonts w:ascii="Arial" w:hAnsi="Arial" w:cs="Arial"/>
          <w:sz w:val="20"/>
          <w:szCs w:val="20"/>
        </w:rPr>
        <w:t xml:space="preserve"> (E) Blood voxel (unadjusted HP </w:t>
      </w:r>
      <w:r w:rsidRPr="009C6365">
        <w:rPr>
          <w:rFonts w:ascii="Arial" w:hAnsi="Arial" w:cs="Arial"/>
          <w:sz w:val="20"/>
          <w:szCs w:val="20"/>
          <w:vertAlign w:val="superscript"/>
        </w:rPr>
        <w:t>13</w:t>
      </w:r>
      <w:r>
        <w:rPr>
          <w:rFonts w:ascii="Arial" w:hAnsi="Arial" w:cs="Arial"/>
          <w:sz w:val="20"/>
          <w:szCs w:val="20"/>
        </w:rPr>
        <w:t>C Urea SNR)</w:t>
      </w:r>
      <w:r w:rsidRPr="005146D7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Top row is females and bottom row is males. </w:t>
      </w:r>
      <w:r w:rsidRPr="005146D7">
        <w:rPr>
          <w:rFonts w:ascii="Arial" w:hAnsi="Arial" w:cs="Arial"/>
          <w:sz w:val="20"/>
          <w:szCs w:val="20"/>
        </w:rPr>
        <w:t>Graph representation of bar graphs with subject values with SD per group; linear mixed model with Šidák post-hoc correction: dotted line - main age effect, full line - post-hoc comparisons; *p ≤ .05, **p ≤ 0.01, ***p ≤ 0.001, ****p ≤ 0.0001</w:t>
      </w:r>
    </w:p>
    <w:p w14:paraId="6D78DFFB" w14:textId="77777777" w:rsidR="008B07A6" w:rsidRDefault="008B07A6"/>
    <w:sectPr w:rsidR="008B07A6" w:rsidSect="003D40CB">
      <w:pgSz w:w="12240" w:h="15840"/>
      <w:pgMar w:top="1440" w:right="1440" w:bottom="1440" w:left="1440" w:header="720" w:footer="720" w:gutter="0"/>
      <w:lnNumType w:countBy="1" w:restart="newSection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0CB"/>
    <w:rsid w:val="00066677"/>
    <w:rsid w:val="00153A17"/>
    <w:rsid w:val="001A37F3"/>
    <w:rsid w:val="003A4E89"/>
    <w:rsid w:val="003D40CB"/>
    <w:rsid w:val="00556784"/>
    <w:rsid w:val="006D37D2"/>
    <w:rsid w:val="008B07A6"/>
    <w:rsid w:val="0097029A"/>
    <w:rsid w:val="00987B63"/>
    <w:rsid w:val="00A234E6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36D55"/>
  <w15:chartTrackingRefBased/>
  <w15:docId w15:val="{C737A0C7-9580-4824-852D-7655E7746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0CB"/>
    <w:pPr>
      <w:spacing w:after="0" w:line="240" w:lineRule="auto"/>
    </w:pPr>
    <w:rPr>
      <w:rFonts w:ascii="Calibri" w:eastAsia="Calibri" w:hAnsi="Calibri" w:cs="Calibri"/>
      <w:kern w:val="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40C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40C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40C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40C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40C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40C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40C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40C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40C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40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40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40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40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40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40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40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40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40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40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D40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40C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D40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40C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D40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40C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D40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40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40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40CB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3D4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402</Words>
  <Characters>2293</Characters>
  <Application>Microsoft Office Word</Application>
  <DocSecurity>0</DocSecurity>
  <Lines>19</Lines>
  <Paragraphs>5</Paragraphs>
  <ScaleCrop>false</ScaleCrop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2026-07-24T06:22:00Z</dcterms:created>
  <dcterms:modified xsi:type="dcterms:W3CDTF">2026-07-24T06:23:00Z</dcterms:modified>
</cp:coreProperties>
</file>