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Firearm-specific suicide mortality across two decades of opposing firearm legislation: a controlled interrupted time-series analysis</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Times New Roman" w:cs="Times New Roman" w:eastAsia="Times New Roman" w:hAnsi="Times New Roman"/>
          <w:b w:val="1"/>
          <w:bCs w:val="1"/>
          <w:sz w:val="20"/>
          <w:szCs w:val="20"/>
          <w:vertAlign w:val="superscript"/>
        </w:rPr>
      </w:pPr>
      <w:r w:rsidDel="00000000" w:rsidR="00000000" w:rsidRPr="00000000">
        <w:rPr>
          <w:rFonts w:ascii="Times New Roman" w:cs="Times New Roman" w:eastAsia="Times New Roman" w:hAnsi="Times New Roman"/>
          <w:b w:val="1"/>
          <w:bCs w:val="1"/>
          <w:sz w:val="20"/>
          <w:szCs w:val="20"/>
          <w:rtl w:val="0"/>
        </w:rPr>
        <w:t xml:space="preserve">Bruno da Silva Santos</w:t>
      </w:r>
      <w:r w:rsidDel="00000000" w:rsidR="00000000" w:rsidRPr="00000000">
        <w:rPr>
          <w:rFonts w:ascii="Times New Roman" w:cs="Times New Roman" w:eastAsia="Times New Roman" w:hAnsi="Times New Roman"/>
          <w:b w:val="1"/>
          <w:bCs w:val="1"/>
          <w:sz w:val="20"/>
          <w:szCs w:val="20"/>
          <w:vertAlign w:val="superscript"/>
          <w:rtl w:val="0"/>
        </w:rPr>
        <w:t xml:space="preserve">a, b</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0000-0003-3466-4190</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euobrunosantos@gmail.com</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7">
      <w:pPr>
        <w:shd w:fill="ffffff" w:val="clear"/>
        <w:jc w:val="both"/>
        <w:rPr>
          <w:rFonts w:ascii="Times New Roman" w:cs="Times New Roman" w:eastAsia="Times New Roman" w:hAnsi="Times New Roman"/>
          <w:b w:val="1"/>
          <w:bCs w:val="1"/>
          <w:sz w:val="20"/>
          <w:szCs w:val="20"/>
          <w:vertAlign w:val="superscript"/>
        </w:rPr>
      </w:pPr>
      <w:r w:rsidDel="00000000" w:rsidR="00000000" w:rsidRPr="00000000">
        <w:rPr>
          <w:rFonts w:ascii="Times New Roman" w:cs="Times New Roman" w:eastAsia="Times New Roman" w:hAnsi="Times New Roman"/>
          <w:b w:val="1"/>
          <w:bCs w:val="1"/>
          <w:sz w:val="20"/>
          <w:szCs w:val="20"/>
          <w:rtl w:val="0"/>
        </w:rPr>
        <w:t xml:space="preserve">Ives Cavalcante Passos</w:t>
      </w:r>
      <w:r w:rsidDel="00000000" w:rsidR="00000000" w:rsidRPr="00000000">
        <w:rPr>
          <w:rFonts w:ascii="Times New Roman" w:cs="Times New Roman" w:eastAsia="Times New Roman" w:hAnsi="Times New Roman"/>
          <w:b w:val="1"/>
          <w:bCs w:val="1"/>
          <w:sz w:val="20"/>
          <w:szCs w:val="20"/>
          <w:vertAlign w:val="superscript"/>
          <w:rtl w:val="0"/>
        </w:rPr>
        <w:t xml:space="preserve">a, b</w:t>
      </w:r>
    </w:p>
    <w:p w:rsidR="00000000" w:rsidDel="00000000" w:rsidP="00000000" w:rsidRDefault="00000000" w:rsidRPr="00000000" w14:paraId="00000008">
      <w:pPr>
        <w:shd w:fill="ffffff" w:val="clea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0000-0001-6407-8219</w:t>
      </w:r>
    </w:p>
    <w:p w:rsidR="00000000" w:rsidDel="00000000" w:rsidP="00000000" w:rsidRDefault="00000000" w:rsidRPr="00000000" w14:paraId="00000009">
      <w:pPr>
        <w:shd w:fill="ffffff" w:val="clea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ipassos@hcpa.edu.br</w:t>
        <w:br w:type="textWrapping"/>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vertAlign w:val="superscript"/>
          <w:rtl w:val="0"/>
        </w:rPr>
        <w:t xml:space="preserve">a</w:t>
      </w:r>
      <w:r w:rsidDel="00000000" w:rsidR="00000000" w:rsidRPr="00000000">
        <w:rPr>
          <w:rFonts w:ascii="Times New Roman" w:cs="Times New Roman" w:eastAsia="Times New Roman" w:hAnsi="Times New Roman"/>
          <w:i w:val="1"/>
          <w:iCs w:val="1"/>
          <w:sz w:val="18"/>
          <w:szCs w:val="18"/>
          <w:rtl w:val="0"/>
        </w:rPr>
        <w:t xml:space="preserve"> Laboratory of Molecular Psychiatry, Federal University of Rio Grande do Sul (UFRGS), Rio Grande do Sul, Porto Alegre, Brazil.</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 </w:t>
      </w:r>
    </w:p>
    <w:p w:rsidR="00000000" w:rsidDel="00000000" w:rsidP="00000000" w:rsidRDefault="00000000" w:rsidRPr="00000000" w14:paraId="0000000C">
      <w:pPr>
        <w:shd w:fill="ffffff" w:val="clear"/>
        <w:jc w:val="both"/>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vertAlign w:val="superscript"/>
          <w:rtl w:val="0"/>
        </w:rPr>
        <w:t xml:space="preserve">b </w:t>
      </w:r>
      <w:r w:rsidDel="00000000" w:rsidR="00000000" w:rsidRPr="00000000">
        <w:rPr>
          <w:rFonts w:ascii="Times New Roman" w:cs="Times New Roman" w:eastAsia="Times New Roman" w:hAnsi="Times New Roman"/>
          <w:i w:val="1"/>
          <w:iCs w:val="1"/>
          <w:sz w:val="18"/>
          <w:szCs w:val="18"/>
          <w:rtl w:val="0"/>
        </w:rPr>
        <w:t xml:space="preserve">National Institute of Science and Technology in Digital Mental Health (INCT-SMD), Rio Grande do Sul, Porto Alegre, Brazil.</w:t>
      </w:r>
    </w:p>
    <w:p w:rsidR="00000000" w:rsidDel="00000000" w:rsidP="00000000" w:rsidRDefault="00000000" w:rsidRPr="00000000" w14:paraId="0000000D">
      <w:pPr>
        <w:shd w:fill="ffffff" w:val="clea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Corresponding author:</w:t>
      </w:r>
      <w:r w:rsidDel="00000000" w:rsidR="00000000" w:rsidRPr="00000000">
        <w:rPr>
          <w:rFonts w:ascii="Times New Roman" w:cs="Times New Roman" w:eastAsia="Times New Roman" w:hAnsi="Times New Roman"/>
          <w:sz w:val="20"/>
          <w:szCs w:val="20"/>
          <w:rtl w:val="0"/>
        </w:rPr>
        <w:t xml:space="preserve"> Bruno da Silva Santos</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fffff" w:val="clea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(euobrunosantos@gmail.com)</w:t>
      </w:r>
    </w:p>
    <w:p w:rsidR="00000000" w:rsidDel="00000000" w:rsidP="00000000" w:rsidRDefault="00000000" w:rsidRPr="00000000" w14:paraId="00000010">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Summary</w:t>
      </w:r>
    </w:p>
    <w:sdt>
      <w:sdtPr>
        <w:id w:val="-627127932"/>
        <w:docPartObj>
          <w:docPartGallery w:val="Table of Contents"/>
          <w:docPartUnique w:val="1"/>
        </w:docPartObj>
      </w:sdtPr>
      <w:sdtContent>
        <w:p w:rsidR="00000000" w:rsidDel="00000000" w:rsidP="00000000" w:rsidRDefault="00000000" w:rsidRPr="00000000" w14:paraId="00000012">
          <w:pPr>
            <w:widowControl w:val="0"/>
            <w:tabs>
              <w:tab w:val="right" w:leader="dot" w:pos="12000"/>
            </w:tabs>
            <w:spacing w:before="60" w:line="240" w:lineRule="auto"/>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ft30jvhid4be">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Supplementary Methods</w:t>
              <w:tab/>
              <w:t xml:space="preserve">2</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yafnaqx9fuzk">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Study design and registration</w:t>
              <w:tab/>
              <w:t xml:space="preserve">2</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30wwblom6fc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Mortality data and outcome construction</w:t>
              <w:tab/>
              <w:t xml:space="preserve">2</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ytoi5xjjwk20">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Population denominators</w:t>
              <w:tab/>
              <w:t xml:space="preserve">2</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7zl60k5u3gsg">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Redistribution of deaths of undetermined intent</w:t>
              <w:tab/>
              <w:t xml:space="preserve">2</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jyt7g81cdifu">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Policy variables and covariates</w:t>
              <w:tab/>
              <w:t xml:space="preserve">3</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odtvn8irq3i4">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Primary controlled interrupted time-series model</w:t>
              <w:tab/>
              <w:t xml:space="preserve">3</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3mj0sgbgox79">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Cumulative effects and counterfactual counts</w:t>
              <w:tab/>
              <w:t xml:space="preserve">3</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5w57obbujom4">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Confirmatory inference and multiplicity</w:t>
              <w:tab/>
              <w:t xml:space="preserve">4</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y7rcdz6zwgau">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Secondary substitution analysis</w:t>
              <w:tab/>
              <w:t xml:space="preserve">4</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uukw137qvi4o">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Diagnostics</w:t>
              <w:tab/>
              <w:t xml:space="preserve">5</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m0bmwfj8ncii">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Sensitivity and falsification analyses</w:t>
              <w:tab/>
              <w:t xml:space="preserve">5</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dsodmntkzrka">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Exploratory heterogeneity analyses</w:t>
              <w:tab/>
              <w:t xml:space="preserve">6</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zfctj6om6nlj">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Reproducibility and analysis freeze</w:t>
              <w:tab/>
              <w:t xml:space="preserve">6</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60" w:line="240" w:lineRule="auto"/>
            <w:ind w:left="360" w:firstLine="0"/>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9fu7j9hyh10e">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Data-quality and reconstruction audits</w:t>
              <w:tab/>
              <w:t xml:space="preserve">6</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240" w:lineRule="auto"/>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dzd3logrjd68">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Supplementary Figure S1. Deletion influence</w:t>
              <w:tab/>
              <w:t xml:space="preserve">8</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240" w:lineRule="auto"/>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ru3c8fmxb4ca">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Supplementary Table S1. Record selection and analytic data-completion cascade, Brazil, 2000–2023</w:t>
              <w:tab/>
              <w:t xml:space="preserve">9</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240" w:lineRule="auto"/>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akc181v884nj">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Supplementary Table S2. ICD-10 codes and analytic variable dictionary</w:t>
              <w:tab/>
              <w:t xml:space="preserve">10</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240" w:lineRule="auto"/>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r67aq5spg8oe">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Supplementary Table S3. Use of the S4 probability fallback hierarchy, Brazil, 2000–2023</w:t>
              <w:tab/>
              <w:t xml:space="preserve">11</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240" w:lineRule="auto"/>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iw11vedc5q5a">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Supplementary Table S4. Primary national controlled interrupted time-series estimates for firearm suicide relative to non-firearm suicide, Brazil, 2000–2023</w:t>
              <w:tab/>
              <w:t xml:space="preserve">12</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240" w:lineRule="auto"/>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2629p215kzc7">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Supplementary Table S5. Secondary single-series 36-month interrupted time-series estimates for suicide outcomes, Brazil, 2000–2023</w:t>
              <w:tab/>
              <w:t xml:space="preserve">13</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240" w:lineRule="auto"/>
            <w:rPr>
              <w:rFonts w:ascii="Times New Roman" w:cs="Times New Roman" w:eastAsia="Times New Roman" w:hAnsi="Times New Roman"/>
              <w:i w:val="0"/>
              <w:iCs w:val="0"/>
              <w:smallCaps w:val="0"/>
              <w:strike w:val="0"/>
              <w:color w:val="000000"/>
              <w:sz w:val="20"/>
              <w:szCs w:val="20"/>
              <w:u w:val="none"/>
              <w:shd w:fill="auto" w:val="clear"/>
              <w:vertAlign w:val="baseline"/>
            </w:rPr>
          </w:pPr>
          <w:hyperlink w:anchor="_heading=h.vjpxthhjj2jq">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Supplementary Table S6. Exploratory 36-month controlled interrupted time-series estimates by sex and macroregion, Brazil, 2000–2023</w:t>
              <w:tab/>
              <w:t xml:space="preserve">14</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u1eh3p65yzzx">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Supplementary Table S7. Exploratory controlled interrupted time-series estimates for the August 2023 restrictive reversal, Brazil, August–December 2023</w:t>
              <w:tab/>
            </w:r>
          </w:hyperlink>
          <w:r w:rsidDel="00000000" w:rsidR="00000000" w:rsidRPr="00000000">
            <w:fldChar w:fldCharType="begin"/>
            <w:instrText xml:space="preserve"> PAGEREF _heading=h.u1eh3p65yzzx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15</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9">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A">
      <w:pPr>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spacing w:line="276" w:lineRule="auto"/>
        <w:rPr/>
      </w:pPr>
      <w:bookmarkStart w:colFirst="0" w:colLast="0" w:name="_heading=h.ft30jvhid4be" w:id="0"/>
      <w:bookmarkEnd w:id="0"/>
      <w:r w:rsidDel="00000000" w:rsidR="00000000" w:rsidRPr="00000000">
        <w:rPr>
          <w:rtl w:val="0"/>
        </w:rPr>
        <w:t xml:space="preserve">Supplementary Methods</w:t>
      </w:r>
    </w:p>
    <w:p w:rsidR="00000000" w:rsidDel="00000000" w:rsidP="00000000" w:rsidRDefault="00000000" w:rsidRPr="00000000" w14:paraId="0000002C">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following section reproduces the complete, unabridged study methods. The main-text Methods present a condensed summary; the granular reproducibility, quality-control, and specification detail relocated from the main text is retained here in full.</w:t>
      </w:r>
    </w:p>
    <w:p w:rsidR="00000000" w:rsidDel="00000000" w:rsidP="00000000" w:rsidRDefault="00000000" w:rsidRPr="00000000" w14:paraId="0000002D">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conducted a population-level, controlled interrupted time-series study of monthly suicide mortality in Brazil from January 2000 through December 2023. Firearm suicide was the intervention-sensitive series and non-firearm suicide was a within-population comparator. Two policy interruptions were specified prospectively: the restrictive shift following Lei nº 10.826, modelled from January 2004 (I1), and the permissive June 2019 decree package—Decretos nº 9.844, 9.845, 9.846, and 9.847—modelled from July 2019 (I2).</w:t>
      </w:r>
    </w:p>
    <w:p w:rsidR="00000000" w:rsidDel="00000000" w:rsidP="00000000" w:rsidRDefault="00000000" w:rsidRPr="00000000" w14:paraId="0000002E">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F">
      <w:pPr>
        <w:pStyle w:val="Heading2"/>
        <w:spacing w:line="276" w:lineRule="auto"/>
        <w:rPr/>
      </w:pPr>
      <w:bookmarkStart w:colFirst="0" w:colLast="0" w:name="_heading=h.yafnaqx9fuzk" w:id="1"/>
      <w:bookmarkEnd w:id="1"/>
      <w:r w:rsidDel="00000000" w:rsidR="00000000" w:rsidRPr="00000000">
        <w:rPr>
          <w:rtl w:val="0"/>
        </w:rPr>
        <w:t xml:space="preserve">Study design and registration</w:t>
      </w:r>
    </w:p>
    <w:p w:rsidR="00000000" w:rsidDel="00000000" w:rsidP="00000000" w:rsidRDefault="00000000" w:rsidRPr="00000000" w14:paraId="00000030">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study protocol and analysis plan were registered on the Open Science Framework on 26 June 2026, before outcome modelling (original registration: https://osf.io/k82j5/overview). A pre-outcome amendment dated 11 July 2026 (https://osf.io/x7f8k/overview) documented the change from deterministic S4 redistribution, which produced fractional expected deaths incompatible with the preregistered negative-binomial count likelihood, to stochastic integer completion across 200 datasets. Deterministic expected-S4 and raw X-coded analyses remained prespecified sensitivities. The primary dates, estimands, multiplicity rules, and core sensitivity definitions were unchanged; analysis-specific seeds and computational choices were recorded in dated manifests. This study involved no contact with participants, no person-level or institution-level linkage to another database, and no study-specific validation of the ICD-based record-selection or firearm/non-firearm classification algorithms was performed. The manuscript was prepared in accordance with the RECORD extension of STROBE for routinely collected health data and segmented-regression interrupted time-series reporting conventions; a completed checklist is available in the supplementary materials.</w:t>
      </w:r>
    </w:p>
    <w:p w:rsidR="00000000" w:rsidDel="00000000" w:rsidP="00000000" w:rsidRDefault="00000000" w:rsidRPr="00000000" w14:paraId="00000031">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2">
      <w:pPr>
        <w:pStyle w:val="Heading2"/>
        <w:spacing w:line="276" w:lineRule="auto"/>
        <w:rPr/>
      </w:pPr>
      <w:bookmarkStart w:colFirst="0" w:colLast="0" w:name="_heading=h.30wwblom6fcr" w:id="2"/>
      <w:bookmarkEnd w:id="2"/>
      <w:r w:rsidDel="00000000" w:rsidR="00000000" w:rsidRPr="00000000">
        <w:rPr>
          <w:rtl w:val="0"/>
        </w:rPr>
        <w:t xml:space="preserve">Mortality data and outcome construction</w:t>
      </w:r>
    </w:p>
    <w:p w:rsidR="00000000" w:rsidDel="00000000" w:rsidP="00000000" w:rsidRDefault="00000000" w:rsidRPr="00000000" w14:paraId="00000033">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Publicly accessible, de-identified secondary mortality records and aggregated population estimates were obtained from the Brazilian Mortality Information System (Sistema de Informações sobre Mortalidade; SIM/DATASUS). Underlying causes were classified using ICD-10 codes and aggregated by month of death, federative unit of residence, sex, age group, and mechanism. The frozen extraction comprised 648 federative-unit–year files (27 units × 24 years), all of which passed structural audits. The mortality-data vintage was frozen on 11 July 2026. The canonical dataset contained 288 months and three mutually consistent national series: firearm suicide (X72–X74), non-firearm suicide (X60–X84 excluding X72–X74), and total suicide (X60–X84). The primary controlled analysis stacked firearm and non-firearm suicide, yielding 576 month-by-series observations per completed dataset. Total suicide was reconstructed as firearm plus non-firearm suicide within each completion and retained for the secondary substitution analysis.</w:t>
      </w:r>
    </w:p>
    <w:p w:rsidR="00000000" w:rsidDel="00000000" w:rsidP="00000000" w:rsidRDefault="00000000" w:rsidRPr="00000000" w14:paraId="00000034">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5">
      <w:pPr>
        <w:pStyle w:val="Heading2"/>
        <w:spacing w:line="276" w:lineRule="auto"/>
        <w:rPr/>
      </w:pPr>
      <w:bookmarkStart w:colFirst="0" w:colLast="0" w:name="_heading=h.ytoi5xjjwk20" w:id="3"/>
      <w:bookmarkEnd w:id="3"/>
      <w:r w:rsidDel="00000000" w:rsidR="00000000" w:rsidRPr="00000000">
        <w:rPr>
          <w:rtl w:val="0"/>
        </w:rPr>
        <w:t xml:space="preserve">Population denominators</w:t>
      </w:r>
    </w:p>
    <w:p w:rsidR="00000000" w:rsidDel="00000000" w:rsidP="00000000" w:rsidRDefault="00000000" w:rsidRPr="00000000" w14:paraId="00000036">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Population denominators were derived from Table 1 of the 2024 revision of the Brazilian Institute of Geography and Statistics (IBGE) population projections. The source workbook was frozen by SHA-256 checksum. Estimates referred to 1 July of each year and covered 2000–2024; 2024 values served only as interpolation anchors. Brazilian totals were obtained by summing the 27 federative units, and both-sex estimates were calculated as male plus female. Population was interpolated linearly on the population scale from the annual 1-July anchors to the 15th day of each analytic month. Months preceding the first July 2000 anchor were extrapolated using the slope between the first two annual estimates. The logarithm of mid-month population was included as the model offset. Prespecified population-offset sensitivities used natural cubic-spline interpolation with linear endpoint extrapolation, carried the July 2000 value backward unchanged to January–June 2000, or excluded those first six months. Calendar score rows for excluded months were set to zero before HAC calculation.</w:t>
      </w:r>
    </w:p>
    <w:p w:rsidR="00000000" w:rsidDel="00000000" w:rsidP="00000000" w:rsidRDefault="00000000" w:rsidRPr="00000000" w14:paraId="00000037">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8">
      <w:pPr>
        <w:pStyle w:val="Heading2"/>
        <w:spacing w:line="276" w:lineRule="auto"/>
        <w:rPr/>
      </w:pPr>
      <w:bookmarkStart w:colFirst="0" w:colLast="0" w:name="_heading=h.7zl60k5u3gsg" w:id="4"/>
      <w:bookmarkEnd w:id="4"/>
      <w:r w:rsidDel="00000000" w:rsidR="00000000" w:rsidRPr="00000000">
        <w:rPr>
          <w:rtl w:val="0"/>
        </w:rPr>
        <w:t xml:space="preserve">Redistribution of deaths of undetermined intent</w:t>
      </w:r>
    </w:p>
    <w:p w:rsidR="00000000" w:rsidDel="00000000" w:rsidP="00000000" w:rsidRDefault="00000000" w:rsidRPr="00000000" w14:paraId="00000039">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primary outcome incorporated deaths of undetermined intent coded Y10–Y34 using the prespecified S4 mechanism-specific redistribution algorithm developed for the companion GBD×SIM study. Y87.0, Y87.2, R99, and other R-coded deaths were not redistributed. For each annual stratum, the probability that an undetermined-intent death represented suicide was based on the proportion of suicides among deaths with known intent—suicide, unintentional injury, or assault. Mechanism-specific probabilities were selected through a fixed hierarchical fallback: (1) year × federative unit × sex × age × mechanism; (2) year × federative unit × sex × mechanism; (3) year × federative unit × mechanism; (4) year × macroregion × sex × mechanism; (5) year × national × sex × age × mechanism; (6) year × national × mechanism; and (7) period × national × mechanism. Probabilities were accepted only when based on at least 20 known-intent deaths. For unspecified and other non-informative mechanisms, the corresponding hierarchy without mechanism was used. Final pooled fallback periods were 2000–2009 and 2010–2023. Allocation-cell counts, Y10–Y34 source deaths, deterministic expected reallocations, and the proportion of the total S4 increment contributed by each fallback tier are reported in Supplementary Table S4. To propagate classification uncertainty while retaining integer counts, we generated 200 completed datasets using master seed 20260711. Within imputation m, one probability was drawn for each selected S4 stratum as a Beta distribution where S was the number of known-intent suicides and N the known-intent denominator. The same draw was shared across all monthly cells belonging to that annual stratum. For each cell, the number allocated to suicide was then drawn from a binomial. Firearm undetermined deaths (Y22–Y24) contributed to firearm suicide; all other Y10–Y34 mechanisms contributed to non-firearm suicide. Every completed dataset contained non-negative integer counts and preserved firearm plus non-firearm suicide equal to total suicide.</w:t>
      </w:r>
    </w:p>
    <w:p w:rsidR="00000000" w:rsidDel="00000000" w:rsidP="00000000" w:rsidRDefault="00000000" w:rsidRPr="00000000" w14:paraId="0000003A">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B">
      <w:pPr>
        <w:pStyle w:val="Heading2"/>
        <w:spacing w:line="276" w:lineRule="auto"/>
        <w:rPr/>
      </w:pPr>
      <w:bookmarkStart w:colFirst="0" w:colLast="0" w:name="_heading=h.jyt7g81cdifu" w:id="5"/>
      <w:bookmarkEnd w:id="5"/>
      <w:r w:rsidDel="00000000" w:rsidR="00000000" w:rsidRPr="00000000">
        <w:rPr>
          <w:rtl w:val="0"/>
        </w:rPr>
        <w:t xml:space="preserve">Policy variables and covariates</w:t>
      </w:r>
    </w:p>
    <w:p w:rsidR="00000000" w:rsidDel="00000000" w:rsidP="00000000" w:rsidRDefault="00000000" w:rsidRPr="00000000" w14:paraId="0000003C">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Calendar time was coded from 0 in January 2000. For each interruption, a step indicator changed from 0 to 1 in the intervention month, and a ramp term counted completed months since the interruption, beginning at 0 in that month. No transition months were excluded in the primary model. The primary I1 date was January 2004, following Lei nº 10.826 of 22 December 2003. The primary I2 date was July 2019, the first full month after the June package comprising Decretos nº 9.844, 9.845, 9.846, and 9.847. The August 2023 restrictive reversal under Decreto nº 11.615 was excluded from the confirmatory 36-month cDRR grid because only five postinterruption months were observed and was evaluated separately as a short-follow-up sensitivity analysis. Seasonality was represented by two series-specific Fourier harmonic pairs. COVID-19 was represented by a common step from March 2020 onwards and a transient indicator for March 2020 alone. Baseline level, baseline trend, policy step and ramp terms, and seasonal terms were allowed to differ between firearm and non-firearm suicide; the COVID indicators represented common shocks.</w:t>
      </w:r>
    </w:p>
    <w:p w:rsidR="00000000" w:rsidDel="00000000" w:rsidP="00000000" w:rsidRDefault="00000000" w:rsidRPr="00000000" w14:paraId="0000003D">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E">
      <w:pPr>
        <w:pStyle w:val="Heading2"/>
        <w:spacing w:line="276" w:lineRule="auto"/>
        <w:rPr/>
      </w:pPr>
      <w:bookmarkStart w:colFirst="0" w:colLast="0" w:name="_heading=h.odtvn8irq3i4" w:id="6"/>
      <w:bookmarkEnd w:id="6"/>
      <w:r w:rsidDel="00000000" w:rsidR="00000000" w:rsidRPr="00000000">
        <w:rPr>
          <w:rtl w:val="0"/>
        </w:rPr>
        <w:t xml:space="preserve">Primary controlled interrupted time-series model</w:t>
      </w:r>
    </w:p>
    <w:p w:rsidR="00000000" w:rsidDel="00000000" w:rsidP="00000000" w:rsidRDefault="00000000" w:rsidRPr="00000000" w14:paraId="0000003F">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negative-binomial generalised linear model with log link was fitted separately to each of the 200 completed datasets. Each stacked fit estimated a single dispersion parameter shared by the firearm and non-firearm series. This common-dispersion assumption was examined indirectly in the variance-identity generalised least-squares sensitivity, which allowed series-specific residual variances. Non-firearm suicide was the reference series. The firearm-by-step and firearm-by-ramp interactions therefore estimated changes in firearm suicide beyond contemporaneous changes in non-firearm suicide. Because the comparator could itself respond through method substitution, these parameters were interpreted as mechanism-specific differential changes rather than as the total effect of firearm policy on suicide mortality. Inference used a score-based Newey–West heteroskedasticity- and autocorrelation-consistent covariance estimator with Bartlett weights and a prespecified 12-calendar-month lag. Score contributions from the two stacked series were first aggregated by calendar month. Zero score rows were retained for deliberately excluded months so that lag 12 always represented 12 calendar months.</w:t>
      </w:r>
    </w:p>
    <w:p w:rsidR="00000000" w:rsidDel="00000000" w:rsidP="00000000" w:rsidRDefault="00000000" w:rsidRPr="00000000" w14:paraId="00000040">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1">
      <w:pPr>
        <w:pStyle w:val="Heading2"/>
        <w:spacing w:line="276" w:lineRule="auto"/>
        <w:rPr/>
      </w:pPr>
      <w:bookmarkStart w:colFirst="0" w:colLast="0" w:name="_heading=h.3mj0sgbgox79" w:id="7"/>
      <w:bookmarkEnd w:id="7"/>
      <w:r w:rsidDel="00000000" w:rsidR="00000000" w:rsidRPr="00000000">
        <w:rPr>
          <w:rtl w:val="0"/>
        </w:rPr>
        <w:t xml:space="preserve">Cumulative effects and counterfactual counts</w:t>
      </w:r>
    </w:p>
    <w:p w:rsidR="00000000" w:rsidDel="00000000" w:rsidP="00000000" w:rsidRDefault="00000000" w:rsidRPr="00000000" w14:paraId="00000042">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primary effect measure was the cumulative differential rate ratio (cDRR) over the first 36 months following each interruption. For interruption j, fitted firearm-suicide deaths were predicted across the complete 36-calendar-month window and summed. The counterfactual sum was obtained after setting only interruption j's firearm-specific step and ramp interactions to zero while retaining all other fitted terms. The cDRR was the ratio of the fitted to counterfactual cumulative sums. Within each imputation, uncertainty was propagated using 10,000 coefficient vectors drawn from the multivariate sampling distribution defined by the fitted coefficients and HAC covariance matrix; the master Monte Carlo seed was 20260712. Log-cDRRs for I1 and I2, their within-imputation variances, and their covariance were retained. Estimates were combined using Rubin's rules, incorporating both within- and between-imputation uncertainty. Ninety-five per cent confidence intervals were calculated on the log scale and exponentiated. For interpretability on the count scale, we also estimated cumulative firearm-suicide deaths under the fitted and interruption-specific counterfactual models over the same 36-month windows. The signed difference was fitted cumulative deaths minus counterfactual cumulative deaths, so negative values represented deaths averted and positive values represented excess deaths. Ten thousand HAC-covariance coefficient draws per imputation were pooled on the count scale using Rubin's rules. A hard reconstruction audit required all 200 log-cDRRs and their Monte Carlo variances to reproduce the primary analysis. This translation introduced no additional hypothesis test or estimator.</w:t>
      </w:r>
    </w:p>
    <w:p w:rsidR="00000000" w:rsidDel="00000000" w:rsidP="00000000" w:rsidRDefault="00000000" w:rsidRPr="00000000" w14:paraId="00000043">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4">
      <w:pPr>
        <w:pStyle w:val="Heading2"/>
        <w:spacing w:line="276" w:lineRule="auto"/>
        <w:rPr/>
      </w:pPr>
      <w:bookmarkStart w:colFirst="0" w:colLast="0" w:name="_heading=h.5w57obbujom4" w:id="8"/>
      <w:bookmarkEnd w:id="8"/>
      <w:r w:rsidDel="00000000" w:rsidR="00000000" w:rsidRPr="00000000">
        <w:rPr>
          <w:rtl w:val="0"/>
        </w:rPr>
        <w:t xml:space="preserve">Confirmatory inference and multiplicity</w:t>
      </w:r>
    </w:p>
    <w:p w:rsidR="00000000" w:rsidDel="00000000" w:rsidP="00000000" w:rsidRDefault="00000000" w:rsidRPr="00000000" w14:paraId="00000045">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Confirmatory inference followed the preregistered fixed-sequence procedure. Test A evaluated the I2-versus-I1 contrast using a two-sided α of .05. Only if Test A was rejected were the directional national hypotheses cDRR(I1) &lt; 1 and cDRR(I2) &gt; 1 evaluated, using one-sided tests with Holm adjustment across the two comparisons. The prespecified ordering was a reduction after restriction and an increase after permissiveness. Rejection in the reverse ordering was treated as an interpretable counter-finding rather than as support for the hypotheses. The adults aged 60 years or older analysis was last in the confirmatory sequence. The two-sided subgroup I2-versus-I1 contrast (Test C) was eligible only after Test A and both national directional tests (B1 and B2) were rejected. The one-sided subgroup I1 reduction test (C1) was eligible after A and B1, and the one-sided subgroup I2 increase test (C2) was eligible after A and B2. Tests C1 and C2 used α = .05 in their corresponding fixed-sequence branches. All single-series effects, level-versus-slope decompositions, substitution analyses, falsification outcomes, and robustness variants were secondary or diagnostic and did not expand the confirmatory family.</w:t>
      </w:r>
    </w:p>
    <w:p w:rsidR="00000000" w:rsidDel="00000000" w:rsidP="00000000" w:rsidRDefault="00000000" w:rsidRPr="00000000" w14:paraId="00000046">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Confirmatory subgroup and power assessment</w:t>
      </w:r>
      <w:r w:rsidDel="00000000" w:rsidR="00000000" w:rsidRPr="00000000">
        <w:rPr>
          <w:rtl w:val="0"/>
        </w:rPr>
      </w:r>
    </w:p>
    <w:p w:rsidR="00000000" w:rsidDel="00000000" w:rsidP="00000000" w:rsidRDefault="00000000" w:rsidRPr="00000000" w14:paraId="00000048">
      <w:pPr>
        <w:spacing w:after="0" w:before="0" w:line="276" w:lineRule="auto"/>
        <w:jc w:val="both"/>
        <w:rPr>
          <w:rFonts w:ascii="Times New Roman" w:cs="Times New Roman" w:eastAsia="Times New Roman" w:hAnsi="Times New Roman"/>
          <w:sz w:val="20"/>
          <w:szCs w:val="20"/>
        </w:rPr>
      </w:pPr>
      <w:sdt>
        <w:sdtPr>
          <w:id w:val="360725873"/>
          <w:tag w:val="goog_rdk_0"/>
        </w:sdtPr>
        <w:sdtContent>
          <w:r w:rsidDel="00000000" w:rsidR="00000000" w:rsidRPr="00000000">
            <w:rPr>
              <w:rFonts w:ascii="Gungsuh" w:cs="Gungsuh" w:eastAsia="Gungsuh" w:hAnsi="Gungsuh"/>
              <w:sz w:val="20"/>
              <w:szCs w:val="20"/>
              <w:rtl w:val="0"/>
            </w:rPr>
            <w:t xml:space="preserve">The ≥60-year series was constructed by retaining strata with lower age bound of at least 60 years and replaying the same frozen S4 probability and allocation stream. The subgroup otherwise used the primary 200-imputation negative-binomial model, policy dates, 36-month cDRR, 10,000 coefficient draws, and Rubin pooling. An initial simulation-based minimum detectable effect assessment was frozen before outcome modelling. Calibration used only January 2000–December 2003 firearm and non-firearm counts from the 200 completed datasets. Negative-binomial series were simulated under constant and ramp-only firearm-specific effects, with 500 simulations at each cDRR value. The I1 grid ranged from 0.600 to 0.975 and the I2 grid from 1.025 to 1.400 in increments of 0.025. The minimum detectable effect was the cDRR closest to 1 attaining at least 80% directional power at α = .05. After the primary analysis, an estimator audit identified that the original simulation had applied Newey–West lags by stacked row order rather than calendar month. The simulation was therefore rerun using the primary calendar-month score-HAC estimator while preserving the original outputs. This post-unblinding computational correction was documented separately and did not change the primary outcome model.</w:t>
          </w:r>
        </w:sdtContent>
      </w:sdt>
    </w:p>
    <w:p w:rsidR="00000000" w:rsidDel="00000000" w:rsidP="00000000" w:rsidRDefault="00000000" w:rsidRPr="00000000" w14:paraId="00000049">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A">
      <w:pPr>
        <w:pStyle w:val="Heading2"/>
        <w:spacing w:line="276" w:lineRule="auto"/>
        <w:rPr/>
      </w:pPr>
      <w:bookmarkStart w:colFirst="0" w:colLast="0" w:name="_heading=h.y7rcdz6zwgau" w:id="9"/>
      <w:bookmarkEnd w:id="9"/>
      <w:r w:rsidDel="00000000" w:rsidR="00000000" w:rsidRPr="00000000">
        <w:rPr>
          <w:rtl w:val="0"/>
        </w:rPr>
        <w:t xml:space="preserve">Secondary substitution analysis</w:t>
      </w:r>
    </w:p>
    <w:p w:rsidR="00000000" w:rsidDel="00000000" w:rsidP="00000000" w:rsidRDefault="00000000" w:rsidRPr="00000000" w14:paraId="0000004B">
      <w:pPr>
        <w:spacing w:after="0" w:before="0" w:line="276" w:lineRule="auto"/>
        <w:jc w:val="both"/>
        <w:rPr>
          <w:rFonts w:ascii="Times New Roman" w:cs="Times New Roman" w:eastAsia="Times New Roman" w:hAnsi="Times New Roman"/>
          <w:sz w:val="20"/>
          <w:szCs w:val="20"/>
        </w:rPr>
      </w:pPr>
      <w:sdt>
        <w:sdtPr>
          <w:id w:val="-152044116"/>
          <w:tag w:val="goog_rdk_1"/>
        </w:sdtPr>
        <w:sdtContent>
          <w:r w:rsidDel="00000000" w:rsidR="00000000" w:rsidRPr="00000000">
            <w:rPr>
              <w:rFonts w:ascii="Gungsuh" w:cs="Gungsuh" w:eastAsia="Gungsuh" w:hAnsi="Gungsuh"/>
              <w:sz w:val="20"/>
              <w:szCs w:val="20"/>
              <w:rtl w:val="0"/>
            </w:rPr>
            <w:t xml:space="preserve">To address method substitution and net change, separate single-series negative-binomial segmented regressions were fitted within each of the 200 completed datasets for firearm suicide, non-firearm suicide, and total suicide. Total suicide was reconstructed within each imputation as firearm plus non-firearm suicide. Each model retained the registered I1 and I2 step and ramp terms, two Fourier harmonic pairs, COVID step and pulse, log-population offset, and calendar score-HAC covariance with Bartlett lag 12. For each outcome and interruption, a 36-month cumulative rate ratio was calculated relative to a counterfactual that removed the indexed interruption's single-series step and ramp terms. Within-imputation uncertainty and I1–I2 covariance were obtained by the analytic delta method and combined on the log scale using Rubin's rules. Effect covariance matrices that were numerically near positive semidefinite were repaired only when the magnitude of the negative eigenvalue relative to the largest positive eigenvalue was no greater than 10^−6; spectral clipping was used and raw and repaired eigenvalues were retained for audit. These secondary models did not alter controlled-ITS gatekeeping.</w:t>
          </w:r>
        </w:sdtContent>
      </w:sdt>
    </w:p>
    <w:p w:rsidR="00000000" w:rsidDel="00000000" w:rsidP="00000000" w:rsidRDefault="00000000" w:rsidRPr="00000000" w14:paraId="0000004C">
      <w:pPr>
        <w:spacing w:after="0" w:before="0" w:line="276" w:lineRule="auto"/>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4D">
      <w:pPr>
        <w:pStyle w:val="Heading2"/>
        <w:spacing w:line="276" w:lineRule="auto"/>
        <w:rPr/>
      </w:pPr>
      <w:bookmarkStart w:colFirst="0" w:colLast="0" w:name="_heading=h.uukw137qvi4o" w:id="10"/>
      <w:bookmarkEnd w:id="10"/>
      <w:r w:rsidDel="00000000" w:rsidR="00000000" w:rsidRPr="00000000">
        <w:rPr>
          <w:rtl w:val="0"/>
        </w:rPr>
        <w:t xml:space="preserve">Diagnostics</w:t>
      </w:r>
    </w:p>
    <w:p w:rsidR="00000000" w:rsidDel="00000000" w:rsidP="00000000" w:rsidRDefault="00000000" w:rsidRPr="00000000" w14:paraId="0000004E">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Residual diagnostics were calculated across all 200 primary negative-binomial fits and summarised separately by series. Pearson and deviance residuals were examined, and ACF and PACF values were calculated through lag 24. Summary measures included the maximum absolute ACF over lags 1–12 and the lag-12 ACF. Additional diagnostics included a 12-lag Breusch–Godfrey-style auxiliary LM test, Ljung–Box tests at lags 12 and 24, Pearson dispersion, root-mean-square deviance residuals, and Cook's distance; observations exceeding 4/n were flagged as influential. Medians, ranges, and test-rejection proportions were summarised across imputations.</w:t>
      </w:r>
    </w:p>
    <w:p w:rsidR="00000000" w:rsidDel="00000000" w:rsidP="00000000" w:rsidRDefault="00000000" w:rsidRPr="00000000" w14:paraId="0000004F">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0">
      <w:pPr>
        <w:pStyle w:val="Heading2"/>
        <w:spacing w:line="276" w:lineRule="auto"/>
        <w:rPr/>
      </w:pPr>
      <w:bookmarkStart w:colFirst="0" w:colLast="0" w:name="_heading=h.m0bmwfj8ncii" w:id="11"/>
      <w:bookmarkEnd w:id="11"/>
      <w:r w:rsidDel="00000000" w:rsidR="00000000" w:rsidRPr="00000000">
        <w:rPr>
          <w:rtl w:val="0"/>
        </w:rPr>
        <w:t xml:space="preserve">Sensitivity and falsification analyses</w:t>
      </w:r>
    </w:p>
    <w:p w:rsidR="00000000" w:rsidDel="00000000" w:rsidP="00000000" w:rsidRDefault="00000000" w:rsidRPr="00000000" w14:paraId="00000051">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Outcome and model sensitivities included the raw X-coded firearm and non-firearm suicide counts without S4 redistribution and the deterministic fractional expected-S4 series. The latter was analysed with a quasi-Poisson log-link controlled model using the primary fixed effects, population offset, calendar score-HAC(12), 36-month cDRR, and 10,000 coefficient draws; values were neither rounded nor treated as observed integer deaths. Seasonality and covariance sensitivities used Fourier models with HAC lags 6 and 18 and a month-factor model interacted by series with HAC lag 12. To assess residual correlation under a different modelling framework, log monthly S4-imputed suicide rates were fitted by restricted maximum likelihood using the primary fixed effects. Within-series residual correlation was represented by AR(1), AR(2), and ARMA(1,1) structures, and a variance-identity structure permitted different residual variances for firearm and non-firearm suicide. Model adequacy was evaluated using residual ACF/PACF, Ljung–Box tests at lags 12 and 24, and autoregressive and moving-average root moduli. A structure was classified as regular when no more than 5% of fits had a root modulus of 1.02 or smaller and as adequately whitening when no more than 10% of imputations rejected either Ljung–Box test in either series. cDRRs were retransformed to expected counts, based on 10,000 coefficient draws per imputation, and pooled using Rubin's rules. The ARMA(1,1) likelihood profile for the first imputation was examined diagnostically and was not used for data-driven model selection. Post-window and COVID sensitivities used 24- and 48-month cDRR windows, removed the March 2020 pulse while retaining the pandemic step, or excluded outcome rows from March 2020 through December 2021 and omitted COVID covariates. The censored variant retained the complete 36-calendar-month prediction window, using model-based predictions during censored months, and zero-filled omitted calendar scores before HAC calculation. Intervention-timing sensitivities evaluated the registered alternative legal dates of August 2004 for I1 and June 2019 for I2 separately and jointly. Additional variants shifted both primary dates by 3 months earlier or later and excluded the shifted intervention month as a one-month transition, excluded the January 2004 and July 2019 intervention months without shifting the dates, and modelled I2 with Ramp2 alone by removing Step2 from both the main and firearm-interaction terms. All seven variants retained the negative-binomial likelihood, population offset, Fourier seasonality, COVID step and pulse, calendar HAC(12), complete 36-month prediction windows, and Rubin pooling. An additional short-follow-up sensitivity augmented the frozen national controlled model with Step3 and Ramp3 terms beginning in August 2023, following Decreto nº 11.615 of 21 July 2023. The cumulative differential rate ratio was calculated over the five observed months from August through December 2023; its counterfactual set only the firearm-specific Step3 and Ramp3 interactions to zero. The analysis used all 200 S4 completions, calendar score–HAC covariance with Bartlett weights and lag 12, 10,000 coefficient draws per imputation (master seed 20260715), and Rubin pooling for the five-month log-cDRR and the Step3 and Ramp3 interaction rate ratios. Estimates and two-sided 95% confidence intervals were reported descriptively, without P values, multiplicity adjustment, or entry into the confirmatory gatekeeping sequence. Data-quality and design sensitivities excluded North and Northeast federative units before January 2006 while retaining all 27 units thereafter. Pre-I1 trend linearity was examined over January 2000–December 2003 using two natural-spline curvature components with boundary values at t = 0 and 47 and fixed internal knots at t = 16 and 32. The components were residualised against the intercept and linear trend and standardised over the pre-I1 period; the spline extrapolated linearly thereafter. Curvature was assessed with scalar Rubin tests and a joint Wald test, and the nonlinear full-period model otherwise retained the primary specification. A fixed-seed placebo analysis sampled 20 false interruption dates without replacement between January 2007 and June 2016 using seed 20260715. Each false date was added separately as step and ramp main effects and firearm interactions while the real I1 and I2 terms remained in the model. Component-wise Rubin tests and a 2-df joint Wald test were calculated. Holm and Benjamini–Hochberg adjustments were retained as diagnostic bookkeeping; no false date was selected or changed using observed outcomes. Influence at broader temporal and geographic scales was examined by omitting each of the five macroregions in turn and by omitting each calendar year from 2000 through 2023 in turn. Leave-one-region-out analyses comprised 1,000 negative-binomial fits and leave-one-year-out analyses 4,800 fits across the 200 completed datasets. The leave-one-year-out models predicted on the complete frozen calendar; for the 2020-excluded variant, the structurally unidentifiable March 2020 pulse was omitted. Within-imputation cDRR covariance was calculated using analytic gradients and the fitted HAC covariance, followed by Rubin pooling. Falsification analyses fitted separate single-series negative-binomial segmented models to national firearm assault or homicide deaths (X93–X95) as a positive comparator and land-transport deaths (V01–V89) as a negative comparator. Both used frozen raw integer counts because S4 redistribution was not applicable. Calendar terms, primary policy dates, Fourier seasonality, COVID step and pulse, population offset, calendar score-HAC(12), and 36-month cumulative rate-ratio windows matched the registered analysis. All robustness and falsification outputs were diagnostic and did not alter confirmatory gatekeeping.</w:t>
      </w:r>
    </w:p>
    <w:p w:rsidR="00000000" w:rsidDel="00000000" w:rsidP="00000000" w:rsidRDefault="00000000" w:rsidRPr="00000000" w14:paraId="00000052">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3">
      <w:pPr>
        <w:pStyle w:val="Heading2"/>
        <w:spacing w:line="276" w:lineRule="auto"/>
        <w:rPr/>
      </w:pPr>
      <w:bookmarkStart w:colFirst="0" w:colLast="0" w:name="_heading=h.dsodmntkzrka" w:id="12"/>
      <w:bookmarkEnd w:id="12"/>
      <w:r w:rsidDel="00000000" w:rsidR="00000000" w:rsidRPr="00000000">
        <w:rPr>
          <w:rtl w:val="0"/>
        </w:rPr>
        <w:t xml:space="preserve">Exploratory heterogeneity analyses</w:t>
      </w:r>
    </w:p>
    <w:p w:rsidR="00000000" w:rsidDel="00000000" w:rsidP="00000000" w:rsidRDefault="00000000" w:rsidRPr="00000000" w14:paraId="00000054">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Exploratory heterogeneity analyses were conducted for 54 strata: male and female; 20 IBGE-compatible age groups; five macroregions; and all 27 federative units. For each of the 200 S4 completions, the frozen beta draws and binomial allocation stream were replayed exactly, and stratum-by-month-by-series grids were completed with explicit integer zeros. Male/female analyses excluded 80 raw records with unknown sex; across completed datasets this corresponded to a mean of 210.5 completed suicides (range, 180–260). Age analyses excluded 1,224 raw records with unknown age; the corresponding completed mean was 2,271.8 (range, 2,178–2,358). Ages 90–94 and 95 years or older were combined into the population-compatible 90+ group. Geographic totals retained all source cells. Within each stratification family, population denominators were required to aggregate exactly to the IBGE Brazil total. The primary controlled negative-binomial specification was then fitted separately within each stratum, retaining the registered policy dates, two Fourier harmonic pairs, COVID step and pulse, population offset, calendar score–HAC covariance with Bartlett weights and lag 12, 36-month cDRRs, and 10,000 coefficient draws (master seed 20260713). Rubin pooling was performed only when all 200 imputation-specific fits for a stratum were valid; incomplete strata were retained in the audit but were not pooled. Level and slope interaction rate ratios, I1 and I2 cDRRs, and their ratio were reported with two-sided 95% confidence intervals only. These analyses were exploratory and used no P values, multiplicity adjustment, decision rule, or confirmatory claim.</w:t>
      </w:r>
    </w:p>
    <w:p w:rsidR="00000000" w:rsidDel="00000000" w:rsidP="00000000" w:rsidRDefault="00000000" w:rsidRPr="00000000" w14:paraId="00000055">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6">
      <w:pPr>
        <w:pStyle w:val="Heading2"/>
        <w:spacing w:line="276" w:lineRule="auto"/>
        <w:rPr/>
      </w:pPr>
      <w:bookmarkStart w:colFirst="0" w:colLast="0" w:name="_heading=h.zfctj6om6nlj" w:id="13"/>
      <w:bookmarkEnd w:id="13"/>
      <w:r w:rsidDel="00000000" w:rsidR="00000000" w:rsidRPr="00000000">
        <w:rPr>
          <w:rtl w:val="0"/>
        </w:rPr>
        <w:t xml:space="preserve">Reproducibility and analysis freeze</w:t>
      </w:r>
    </w:p>
    <w:p w:rsidR="00000000" w:rsidDel="00000000" w:rsidP="00000000" w:rsidRDefault="00000000" w:rsidRPr="00000000" w14:paraId="00000057">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data construction, modelling, simulation, diagnostics, sensitivity analyses, and reporting outputs were scripted in R version 4.5.2. Negative-binomial models used MASS version 7.3-65 (glm.nb). Calendar-score Newey–West covariance used a bespoke audited implementation with Bartlett weights; sandwich version 3.1-1 and zoo version 1.8-15 were recorded in the frozen session. Seeds, package-session information, specification manifests, convergence checks, direction-consistency checks, and machine-readable QC summaries were retained. Seed 20260715 was used separately for the false-date sampling and August 2023 Monte Carlo streams; the analyses were executed as distinct named steps with separate manifests and output objects. The complete pipeline—including the primary analysis, confirmatory subgroup, secondary and sensitivity analyses, counterfactual-count translation, exploratory heterogeneity analyses, August 2023 short-follow-up sensitivity, and reporting-only tables and figures—was frozen as analysis release v2 on 16 July 2026. The v2 release superseded v1 and preserved immutable SHA-256 inventories of QC outputs, reporting artifacts, metadata, session records, and analysis scripts. Publication tables and figures were assembled from audited frozen outputs without refitting models or recalculating inferential statistics. Two explicitly named legacy nonrelease artifacts were excluded from the release inventory and documented in the freeze record.</w:t>
      </w:r>
    </w:p>
    <w:p w:rsidR="00000000" w:rsidDel="00000000" w:rsidP="00000000" w:rsidRDefault="00000000" w:rsidRPr="00000000" w14:paraId="00000058">
      <w:pPr>
        <w:spacing w:after="0" w:before="0" w:line="276"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9">
      <w:pPr>
        <w:pStyle w:val="Heading2"/>
        <w:spacing w:line="276" w:lineRule="auto"/>
        <w:rPr/>
      </w:pPr>
      <w:bookmarkStart w:colFirst="0" w:colLast="0" w:name="_heading=h.9fu7j9hyh10e" w:id="14"/>
      <w:bookmarkEnd w:id="14"/>
      <w:r w:rsidDel="00000000" w:rsidR="00000000" w:rsidRPr="00000000">
        <w:rPr>
          <w:rtl w:val="0"/>
        </w:rPr>
        <w:t xml:space="preserve">Data-quality and reconstruction audits</w:t>
      </w:r>
    </w:p>
    <w:p w:rsidR="00000000" w:rsidDel="00000000" w:rsidP="00000000" w:rsidRDefault="00000000" w:rsidRPr="00000000" w14:paraId="0000005A">
      <w:pPr>
        <w:spacing w:after="0" w:before="0"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648 federative-unit–year mortality files passed the structural audit. Of 29,062,440 extracted all-cause records, 499 (0.0017%) with missing or invalid month of death were excluded; no record showed a date–year mismatch or a missing federative unit of residence. Population denominators reconstructed from the checksum-frozen 2024 IBGE projection workbook covered 27 federative units and 25 annual anchors, yielding 508,032 monthly unit-by-sex-by-age values with a maximum both-sex aggregation discrepancy below 3 × 10⁻⁸ persons, no non-positive values, and boundary extrapolation confined to January–June 2000. Every completed dataset reproduced the 864 month-by-series grid with zero identity violations, preserved firearm plus non-firearm suicide equal to total suicide, contained no negative or noninteger counts, and allocated no cell above its source total.</w:t>
      </w:r>
    </w:p>
    <w:p w:rsidR="00000000" w:rsidDel="00000000" w:rsidP="00000000" w:rsidRDefault="00000000" w:rsidRPr="00000000" w14:paraId="0000005B">
      <w:pPr>
        <w:spacing w:after="0" w:before="0" w:line="276" w:lineRule="auto"/>
        <w:rPr>
          <w:rFonts w:ascii="Times New Roman" w:cs="Times New Roman" w:eastAsia="Times New Roman" w:hAnsi="Times New Roman"/>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C">
      <w:pPr>
        <w:spacing w:after="0" w:before="0" w:line="276" w:lineRule="auto"/>
        <w:rPr>
          <w:rFonts w:ascii="Times New Roman" w:cs="Times New Roman" w:eastAsia="Times New Roman" w:hAnsi="Times New Roman"/>
          <w:sz w:val="20"/>
          <w:szCs w:val="20"/>
        </w:rPr>
      </w:pPr>
      <w:r w:rsidDel="00000000" w:rsidR="00000000" w:rsidRPr="00000000">
        <w:rPr>
          <w:rtl w:val="0"/>
        </w:rPr>
      </w:r>
    </w:p>
    <w:tbl>
      <w:tblPr>
        <w:tblStyle w:val="Table1"/>
        <w:tblW w:w="9026.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D">
            <w:pPr>
              <w:pStyle w:val="Heading1"/>
              <w:spacing w:after="0" w:before="0" w:line="276" w:lineRule="auto"/>
              <w:rPr>
                <w:sz w:val="20"/>
                <w:szCs w:val="20"/>
              </w:rPr>
            </w:pPr>
            <w:bookmarkStart w:colFirst="0" w:colLast="0" w:name="_heading=h.dzd3logrjd68" w:id="15"/>
            <w:bookmarkEnd w:id="15"/>
            <w:r w:rsidDel="00000000" w:rsidR="00000000" w:rsidRPr="00000000">
              <w:rPr>
                <w:sz w:val="20"/>
                <w:szCs w:val="20"/>
                <w:rtl w:val="0"/>
              </w:rPr>
              <w:t xml:space="preserve">Supplementary Figure S1. Deletion influence</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E">
            <w:pPr>
              <w:spacing w:after="0" w:before="0" w:line="276" w:lineRule="auto"/>
              <w:jc w:val="left"/>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-316798</wp:posOffset>
                  </wp:positionH>
                  <wp:positionV relativeFrom="paragraph">
                    <wp:posOffset>151200</wp:posOffset>
                  </wp:positionV>
                  <wp:extent cx="6439313" cy="1841241"/>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14293" l="0" r="0" t="17992"/>
                          <a:stretch>
                            <a:fillRect/>
                          </a:stretch>
                        </pic:blipFill>
                        <pic:spPr>
                          <a:xfrm>
                            <a:off x="0" y="0"/>
                            <a:ext cx="6439313" cy="1841241"/>
                          </a:xfrm>
                          <a:prstGeom prst="rect"/>
                          <a:ln/>
                        </pic:spPr>
                      </pic:pic>
                    </a:graphicData>
                  </a:graphic>
                </wp:anchor>
              </w:drawing>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Legend</w:t>
            </w:r>
            <w:r w:rsidDel="00000000" w:rsidR="00000000" w:rsidRPr="00000000">
              <w:rPr>
                <w:rFonts w:ascii="Times New Roman" w:cs="Times New Roman" w:eastAsia="Times New Roman" w:hAnsi="Times New Roman"/>
                <w:sz w:val="20"/>
                <w:szCs w:val="20"/>
                <w:rtl w:val="0"/>
              </w:rPr>
              <w:t xml:space="preserve">. Dots are individual deletions; diamonds are the primary estimates. Dots are pooled point estimates after omitting one macroregion or calendar year; diamonds show the corresponding primary estimates.</w:t>
            </w:r>
          </w:p>
        </w:tc>
      </w:tr>
    </w:tbl>
    <w:p w:rsidR="00000000" w:rsidDel="00000000" w:rsidP="00000000" w:rsidRDefault="00000000" w:rsidRPr="00000000" w14:paraId="00000060">
      <w:pPr>
        <w:spacing w:after="0" w:before="0" w:line="276" w:lineRule="auto"/>
        <w:rPr>
          <w:rFonts w:ascii="Times New Roman" w:cs="Times New Roman" w:eastAsia="Times New Roman" w:hAnsi="Times New Roman"/>
          <w:sz w:val="20"/>
          <w:szCs w:val="20"/>
        </w:rPr>
        <w:sectPr>
          <w:pgSz w:h="16838" w:w="11906"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tbl>
      <w:tblPr>
        <w:tblStyle w:val="Table2"/>
        <w:tblW w:w="10770.0" w:type="dxa"/>
        <w:jc w:val="center"/>
        <w:tblLayout w:type="fixed"/>
        <w:tblLook w:val="0400"/>
      </w:tblPr>
      <w:tblGrid>
        <w:gridCol w:w="3255"/>
        <w:gridCol w:w="3765"/>
        <w:gridCol w:w="3750"/>
        <w:tblGridChange w:id="0">
          <w:tblGrid>
            <w:gridCol w:w="3255"/>
            <w:gridCol w:w="3765"/>
            <w:gridCol w:w="3750"/>
          </w:tblGrid>
        </w:tblGridChange>
      </w:tblGrid>
      <w:tr>
        <w:trPr>
          <w:cantSplit w:val="0"/>
          <w:trHeight w:val="121.9775390625" w:hRule="atLeast"/>
          <w:tblHeader w:val="0"/>
        </w:trPr>
        <w:tc>
          <w:tcPr>
            <w:gridSpan w:val="3"/>
            <w:tcBorders>
              <w:bottom w:color="000000" w:space="0" w:sz="8" w:val="single"/>
            </w:tcBorders>
            <w:vAlign w:val="center"/>
          </w:tcPr>
          <w:p w:rsidR="00000000" w:rsidDel="00000000" w:rsidP="00000000" w:rsidRDefault="00000000" w:rsidRPr="00000000" w14:paraId="00000062">
            <w:pPr>
              <w:pStyle w:val="Heading1"/>
              <w:rPr/>
            </w:pPr>
            <w:bookmarkStart w:colFirst="0" w:colLast="0" w:name="_heading=h.ru3c8fmxb4ca" w:id="16"/>
            <w:bookmarkEnd w:id="16"/>
            <w:r w:rsidDel="00000000" w:rsidR="00000000" w:rsidRPr="00000000">
              <w:rPr>
                <w:rtl w:val="0"/>
              </w:rPr>
              <w:t xml:space="preserve">Supplementary Table S1. Record selection and analytic data-completion cascade, Brazil, 2000–2023</w:t>
            </w:r>
          </w:p>
        </w:tc>
      </w:tr>
      <w:tr>
        <w:trPr>
          <w:cantSplit w:val="0"/>
          <w:trHeight w:val="121.9775390625"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6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Stage</w:t>
            </w: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06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Records or analytic cells</w:t>
            </w: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06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Handling</w:t>
            </w:r>
            <w:r w:rsidDel="00000000" w:rsidR="00000000" w:rsidRPr="00000000">
              <w:rPr>
                <w:rtl w:val="0"/>
              </w:rPr>
            </w:r>
          </w:p>
        </w:tc>
      </w:tr>
      <w:tr>
        <w:trPr>
          <w:cantSplit w:val="0"/>
          <w:trHeight w:val="365.9326171875"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6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Source extraction</w:t>
            </w:r>
          </w:p>
        </w:tc>
        <w:tc>
          <w:tcPr>
            <w:tcBorders>
              <w:top w:color="000000" w:space="0" w:sz="8" w:val="single"/>
              <w:bottom w:color="000000" w:space="0" w:sz="8" w:val="single"/>
            </w:tcBorders>
            <w:vAlign w:val="center"/>
          </w:tcPr>
          <w:p w:rsidR="00000000" w:rsidDel="00000000" w:rsidP="00000000" w:rsidRDefault="00000000" w:rsidRPr="00000000" w14:paraId="0000006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648 federative-unit–year files; 29,062,440 all-cause records</w:t>
            </w:r>
          </w:p>
        </w:tc>
        <w:tc>
          <w:tcPr>
            <w:tcBorders>
              <w:top w:color="000000" w:space="0" w:sz="8" w:val="single"/>
              <w:bottom w:color="000000" w:space="0" w:sz="8" w:val="single"/>
            </w:tcBorders>
            <w:vAlign w:val="center"/>
          </w:tcPr>
          <w:p w:rsidR="00000000" w:rsidDel="00000000" w:rsidP="00000000" w:rsidRDefault="00000000" w:rsidRPr="00000000" w14:paraId="0000006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27 federative units and 24 calendar years (2000–2023) passed the structural audit.</w:t>
            </w:r>
          </w:p>
        </w:tc>
      </w:tr>
      <w:tr>
        <w:trPr>
          <w:cantSplit w:val="0"/>
          <w:trHeight w:val="365.9326171875"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6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Invalid calendar month</w:t>
            </w:r>
          </w:p>
        </w:tc>
        <w:tc>
          <w:tcPr>
            <w:tcBorders>
              <w:top w:color="000000" w:space="0" w:sz="8" w:val="single"/>
              <w:bottom w:color="000000" w:space="0" w:sz="8" w:val="single"/>
            </w:tcBorders>
            <w:vAlign w:val="center"/>
          </w:tcPr>
          <w:p w:rsidR="00000000" w:rsidDel="00000000" w:rsidP="00000000" w:rsidRDefault="00000000" w:rsidRPr="00000000" w14:paraId="0000006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499 records (0.0017%) excluded</w:t>
            </w:r>
          </w:p>
        </w:tc>
        <w:tc>
          <w:tcPr>
            <w:tcBorders>
              <w:top w:color="000000" w:space="0" w:sz="8" w:val="single"/>
              <w:bottom w:color="000000" w:space="0" w:sz="8" w:val="single"/>
            </w:tcBorders>
            <w:vAlign w:val="center"/>
          </w:tcPr>
          <w:p w:rsidR="00000000" w:rsidDel="00000000" w:rsidP="00000000" w:rsidRDefault="00000000" w:rsidRPr="00000000" w14:paraId="0000006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Month of death missing or invalid; no record had a date–year mismatch or missing federative unit.</w:t>
            </w:r>
          </w:p>
        </w:tc>
      </w:tr>
      <w:tr>
        <w:trPr>
          <w:cantSplit w:val="0"/>
          <w:trHeight w:val="365.9326171875"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6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Records eligible for monthly aggregation</w:t>
            </w:r>
          </w:p>
        </w:tc>
        <w:tc>
          <w:tcPr>
            <w:tcBorders>
              <w:top w:color="000000" w:space="0" w:sz="8" w:val="single"/>
              <w:bottom w:color="000000" w:space="0" w:sz="8" w:val="single"/>
            </w:tcBorders>
            <w:vAlign w:val="center"/>
          </w:tcPr>
          <w:p w:rsidR="00000000" w:rsidDel="00000000" w:rsidP="00000000" w:rsidRDefault="00000000" w:rsidRPr="00000000" w14:paraId="0000006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29,061,941 records</w:t>
            </w:r>
          </w:p>
        </w:tc>
        <w:tc>
          <w:tcPr>
            <w:tcBorders>
              <w:top w:color="000000" w:space="0" w:sz="8" w:val="single"/>
              <w:bottom w:color="000000" w:space="0" w:sz="8" w:val="single"/>
            </w:tcBorders>
            <w:vAlign w:val="center"/>
          </w:tcPr>
          <w:p w:rsidR="00000000" w:rsidDel="00000000" w:rsidP="00000000" w:rsidRDefault="00000000" w:rsidRPr="00000000" w14:paraId="0000007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Aggregated by month, federative unit of residence, sex, age group, and ICD-10 underlying-cause mechanism.</w:t>
            </w:r>
          </w:p>
        </w:tc>
      </w:tr>
      <w:tr>
        <w:trPr>
          <w:cantSplit w:val="0"/>
          <w:trHeight w:val="243.955078125"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7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Raw suicide outcomes</w:t>
            </w:r>
          </w:p>
        </w:tc>
        <w:tc>
          <w:tcPr>
            <w:tcBorders>
              <w:top w:color="000000" w:space="0" w:sz="8" w:val="single"/>
              <w:bottom w:color="000000" w:space="0" w:sz="8" w:val="single"/>
            </w:tcBorders>
            <w:vAlign w:val="center"/>
          </w:tcPr>
          <w:p w:rsidR="00000000" w:rsidDel="00000000" w:rsidP="00000000" w:rsidRDefault="00000000" w:rsidRPr="00000000" w14:paraId="0000007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257,843 X60–X84 deaths: 26,296 firearm; 231,547 non-firearm</w:t>
            </w:r>
          </w:p>
        </w:tc>
        <w:tc>
          <w:tcPr>
            <w:tcBorders>
              <w:top w:color="000000" w:space="0" w:sz="8" w:val="single"/>
              <w:bottom w:color="000000" w:space="0" w:sz="8" w:val="single"/>
            </w:tcBorders>
            <w:vAlign w:val="center"/>
          </w:tcPr>
          <w:p w:rsidR="00000000" w:rsidDel="00000000" w:rsidP="00000000" w:rsidRDefault="00000000" w:rsidRPr="00000000" w14:paraId="0000007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Firearm: X72–X74. Non-firearm: X60–X84 excluding X72–X74.</w:t>
            </w:r>
          </w:p>
        </w:tc>
      </w:tr>
      <w:tr>
        <w:trPr>
          <w:cantSplit w:val="0"/>
          <w:trHeight w:val="243.955078125"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7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Undetermined-intent pool</w:t>
            </w:r>
          </w:p>
        </w:tc>
        <w:tc>
          <w:tcPr>
            <w:tcBorders>
              <w:top w:color="000000" w:space="0" w:sz="8" w:val="single"/>
              <w:bottom w:color="000000" w:space="0" w:sz="8" w:val="single"/>
            </w:tcBorders>
            <w:vAlign w:val="center"/>
          </w:tcPr>
          <w:p w:rsidR="00000000" w:rsidDel="00000000" w:rsidP="00000000" w:rsidRDefault="00000000" w:rsidRPr="00000000" w14:paraId="0000007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281,312 Y10–Y34 deaths</w:t>
            </w:r>
          </w:p>
        </w:tc>
        <w:tc>
          <w:tcPr>
            <w:tcBorders>
              <w:top w:color="000000" w:space="0" w:sz="8" w:val="single"/>
              <w:bottom w:color="000000" w:space="0" w:sz="8" w:val="single"/>
            </w:tcBorders>
            <w:vAlign w:val="center"/>
          </w:tcPr>
          <w:p w:rsidR="00000000" w:rsidDel="00000000" w:rsidP="00000000" w:rsidRDefault="00000000" w:rsidRPr="00000000" w14:paraId="0000007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Eligible for S4 stochastic redistribution; 200 completed datasets were generated.</w:t>
            </w:r>
          </w:p>
        </w:tc>
      </w:tr>
      <w:tr>
        <w:trPr>
          <w:cantSplit w:val="0"/>
          <w:trHeight w:val="365.9326171875"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7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completed national series</w:t>
            </w:r>
          </w:p>
        </w:tc>
        <w:tc>
          <w:tcPr>
            <w:tcBorders>
              <w:top w:color="000000" w:space="0" w:sz="8" w:val="single"/>
              <w:bottom w:color="000000" w:space="0" w:sz="8" w:val="single"/>
            </w:tcBorders>
            <w:vAlign w:val="center"/>
          </w:tcPr>
          <w:p w:rsidR="00000000" w:rsidDel="00000000" w:rsidP="00000000" w:rsidRDefault="00000000" w:rsidRPr="00000000" w14:paraId="0000007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 datasets × 288 months × 2 series = 115,200 month-by-series rows</w:t>
            </w:r>
          </w:p>
        </w:tc>
        <w:tc>
          <w:tcPr>
            <w:tcBorders>
              <w:top w:color="000000" w:space="0" w:sz="8" w:val="single"/>
              <w:bottom w:color="000000" w:space="0" w:sz="8" w:val="single"/>
            </w:tcBorders>
            <w:vAlign w:val="center"/>
          </w:tcPr>
          <w:p w:rsidR="00000000" w:rsidDel="00000000" w:rsidP="00000000" w:rsidRDefault="00000000" w:rsidRPr="00000000" w14:paraId="0000007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Each completion preserved firearm plus non-firearm suicide equal to total suicide.</w:t>
            </w:r>
          </w:p>
        </w:tc>
      </w:tr>
      <w:tr>
        <w:trPr>
          <w:cantSplit w:val="0"/>
          <w:trHeight w:val="365.9326171875" w:hRule="atLeast"/>
          <w:tblHeader w:val="0"/>
        </w:trPr>
        <w:tc>
          <w:tcPr>
            <w:tcBorders>
              <w:top w:color="000000" w:space="0" w:sz="8" w:val="single"/>
              <w:bottom w:color="000000" w:space="0" w:sz="8" w:val="single"/>
            </w:tcBorders>
            <w:vAlign w:val="center"/>
          </w:tcPr>
          <w:p w:rsidR="00000000" w:rsidDel="00000000" w:rsidP="00000000" w:rsidRDefault="00000000" w:rsidRPr="00000000" w14:paraId="0000007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Stratified-analysis exclusions</w:t>
            </w:r>
          </w:p>
        </w:tc>
        <w:tc>
          <w:tcPr>
            <w:tcBorders>
              <w:top w:color="000000" w:space="0" w:sz="8" w:val="single"/>
              <w:bottom w:color="000000" w:space="0" w:sz="8" w:val="single"/>
            </w:tcBorders>
            <w:vAlign w:val="center"/>
          </w:tcPr>
          <w:p w:rsidR="00000000" w:rsidDel="00000000" w:rsidP="00000000" w:rsidRDefault="00000000" w:rsidRPr="00000000" w14:paraId="0000007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Sex: 80 raw records unknown; age: 1,224 raw records unknown</w:t>
            </w:r>
          </w:p>
        </w:tc>
        <w:tc>
          <w:tcPr>
            <w:tcBorders>
              <w:top w:color="000000" w:space="0" w:sz="8" w:val="single"/>
              <w:bottom w:color="000000" w:space="0" w:sz="8" w:val="single"/>
            </w:tcBorders>
            <w:vAlign w:val="center"/>
          </w:tcPr>
          <w:p w:rsidR="00000000" w:rsidDel="00000000" w:rsidP="00000000" w:rsidRDefault="00000000" w:rsidRPr="00000000" w14:paraId="0000007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Excluded only from the respective sex or age strata; retained in national and geographic totals.</w:t>
            </w:r>
          </w:p>
        </w:tc>
      </w:tr>
      <w:tr>
        <w:trPr>
          <w:cantSplit w:val="0"/>
          <w:trHeight w:val="365.9326171875" w:hRule="atLeast"/>
          <w:tblHeader w:val="0"/>
        </w:trPr>
        <w:tc>
          <w:tcPr>
            <w:gridSpan w:val="3"/>
            <w:tcBorders>
              <w:top w:color="000000" w:space="0" w:sz="8" w:val="single"/>
            </w:tcBorders>
            <w:vAlign w:val="center"/>
          </w:tcPr>
          <w:p w:rsidR="00000000" w:rsidDel="00000000" w:rsidP="00000000" w:rsidRDefault="00000000" w:rsidRPr="00000000" w14:paraId="0000007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Legend</w:t>
            </w:r>
            <w:r w:rsidDel="00000000" w:rsidR="00000000" w:rsidRPr="00000000">
              <w:rPr>
                <w:rFonts w:ascii="Times New Roman" w:cs="Times New Roman" w:eastAsia="Times New Roman" w:hAnsi="Times New Roman"/>
                <w:sz w:val="20"/>
                <w:szCs w:val="20"/>
                <w:rtl w:val="0"/>
              </w:rPr>
              <w:t xml:space="preserve">. Counts are raw source records unless otherwise specified. The undetermined-intent pool is a separate ICD-10 mechanism branch, not an additional exclusion from the raw X60–X84 suicide count. SIM = Sistema de Informações sobre Mortalidade.</w:t>
            </w:r>
          </w:p>
        </w:tc>
      </w:tr>
    </w:tbl>
    <w:p w:rsidR="00000000" w:rsidDel="00000000" w:rsidP="00000000" w:rsidRDefault="00000000" w:rsidRPr="00000000" w14:paraId="00000080">
      <w:pPr>
        <w:widowControl w:val="0"/>
        <w:spacing w:line="276" w:lineRule="auto"/>
        <w:rPr>
          <w:vertAlign w:val="subscript"/>
        </w:rPr>
        <w:sectPr>
          <w:type w:val="nextPage"/>
          <w:pgSz w:h="16838" w:w="11906"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81">
      <w:pPr>
        <w:widowControl w:val="0"/>
        <w:spacing w:line="276" w:lineRule="auto"/>
        <w:rPr>
          <w:vertAlign w:val="subscript"/>
        </w:rPr>
      </w:pPr>
      <w:r w:rsidDel="00000000" w:rsidR="00000000" w:rsidRPr="00000000">
        <w:br w:type="page"/>
      </w:r>
      <w:r w:rsidDel="00000000" w:rsidR="00000000" w:rsidRPr="00000000">
        <w:rPr>
          <w:rtl w:val="0"/>
        </w:rPr>
      </w:r>
    </w:p>
    <w:p w:rsidR="00000000" w:rsidDel="00000000" w:rsidP="00000000" w:rsidRDefault="00000000" w:rsidRPr="00000000" w14:paraId="00000082">
      <w:pPr>
        <w:widowControl w:val="0"/>
        <w:spacing w:line="276" w:lineRule="auto"/>
        <w:rPr>
          <w:vertAlign w:val="subscript"/>
        </w:rPr>
      </w:pPr>
      <w:r w:rsidDel="00000000" w:rsidR="00000000" w:rsidRPr="00000000">
        <w:rPr>
          <w:rtl w:val="0"/>
        </w:rPr>
      </w:r>
    </w:p>
    <w:tbl>
      <w:tblPr>
        <w:tblStyle w:val="Table3"/>
        <w:tblW w:w="10680.0" w:type="dxa"/>
        <w:jc w:val="center"/>
        <w:tblLayout w:type="fixed"/>
        <w:tblLook w:val="0400"/>
      </w:tblPr>
      <w:tblGrid>
        <w:gridCol w:w="2085"/>
        <w:gridCol w:w="3270"/>
        <w:gridCol w:w="2670"/>
        <w:gridCol w:w="2655"/>
        <w:tblGridChange w:id="0">
          <w:tblGrid>
            <w:gridCol w:w="2085"/>
            <w:gridCol w:w="3270"/>
            <w:gridCol w:w="2670"/>
            <w:gridCol w:w="2655"/>
          </w:tblGrid>
        </w:tblGridChange>
      </w:tblGrid>
      <w:tr>
        <w:trPr>
          <w:cantSplit w:val="0"/>
          <w:tblHeader w:val="0"/>
        </w:trPr>
        <w:tc>
          <w:tcPr>
            <w:gridSpan w:val="4"/>
            <w:tcBorders>
              <w:bottom w:color="000000" w:space="0" w:sz="8" w:val="single"/>
            </w:tcBorders>
            <w:vAlign w:val="center"/>
          </w:tcPr>
          <w:p w:rsidR="00000000" w:rsidDel="00000000" w:rsidP="00000000" w:rsidRDefault="00000000" w:rsidRPr="00000000" w14:paraId="00000083">
            <w:pPr>
              <w:pStyle w:val="Heading1"/>
              <w:rPr/>
            </w:pPr>
            <w:bookmarkStart w:colFirst="0" w:colLast="0" w:name="_heading=h.akc181v884nj" w:id="17"/>
            <w:bookmarkEnd w:id="17"/>
            <w:r w:rsidDel="00000000" w:rsidR="00000000" w:rsidRPr="00000000">
              <w:rPr>
                <w:rtl w:val="0"/>
              </w:rPr>
              <w:t xml:space="preserve">Supplementary Table S2. ICD-10 codes and analytic variable dictionary</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8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Domain</w:t>
            </w: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08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Code or operational definition</w:t>
            </w: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08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Role</w:t>
            </w:r>
            <w:r w:rsidDel="00000000" w:rsidR="00000000" w:rsidRPr="00000000">
              <w:rPr>
                <w:rtl w:val="0"/>
              </w:rPr>
            </w:r>
          </w:p>
        </w:tc>
        <w:tc>
          <w:tcPr>
            <w:tcBorders>
              <w:top w:color="000000" w:space="0" w:sz="8" w:val="single"/>
              <w:bottom w:color="000000" w:space="0" w:sz="8" w:val="single"/>
            </w:tcBorders>
            <w:vAlign w:val="center"/>
          </w:tcPr>
          <w:p w:rsidR="00000000" w:rsidDel="00000000" w:rsidP="00000000" w:rsidRDefault="00000000" w:rsidRPr="00000000" w14:paraId="0000008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Implementation</w:t>
            </w:r>
            <w:r w:rsidDel="00000000" w:rsidR="00000000" w:rsidRPr="00000000">
              <w:rPr>
                <w:rtl w:val="0"/>
              </w:rPr>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8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Mortality source</w:t>
            </w:r>
          </w:p>
        </w:tc>
        <w:tc>
          <w:tcPr>
            <w:tcBorders>
              <w:top w:color="000000" w:space="0" w:sz="8" w:val="single"/>
              <w:bottom w:color="000000" w:space="0" w:sz="8" w:val="single"/>
            </w:tcBorders>
            <w:vAlign w:val="center"/>
          </w:tcPr>
          <w:p w:rsidR="00000000" w:rsidDel="00000000" w:rsidP="00000000" w:rsidRDefault="00000000" w:rsidRPr="00000000" w14:paraId="0000008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SIM/DATASUS underlying-cause record</w:t>
            </w:r>
          </w:p>
        </w:tc>
        <w:tc>
          <w:tcPr>
            <w:tcBorders>
              <w:top w:color="000000" w:space="0" w:sz="8" w:val="single"/>
              <w:bottom w:color="000000" w:space="0" w:sz="8" w:val="single"/>
            </w:tcBorders>
            <w:vAlign w:val="center"/>
          </w:tcPr>
          <w:p w:rsidR="00000000" w:rsidDel="00000000" w:rsidP="00000000" w:rsidRDefault="00000000" w:rsidRPr="00000000" w14:paraId="0000008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Month of death, federative unit of residence, sex, age group, ICD-10 mechanism</w:t>
            </w:r>
          </w:p>
        </w:tc>
        <w:tc>
          <w:tcPr>
            <w:tcBorders>
              <w:top w:color="000000" w:space="0" w:sz="8" w:val="single"/>
              <w:bottom w:color="000000" w:space="0" w:sz="8" w:val="single"/>
            </w:tcBorders>
            <w:vAlign w:val="center"/>
          </w:tcPr>
          <w:p w:rsidR="00000000" w:rsidDel="00000000" w:rsidP="00000000" w:rsidRDefault="00000000" w:rsidRPr="00000000" w14:paraId="0000008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Public, de-identified routine mortality data; no person- or institution-level linkage.</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8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Firearm suicide</w:t>
            </w:r>
          </w:p>
        </w:tc>
        <w:tc>
          <w:tcPr>
            <w:tcBorders>
              <w:top w:color="000000" w:space="0" w:sz="8" w:val="single"/>
              <w:bottom w:color="000000" w:space="0" w:sz="8" w:val="single"/>
            </w:tcBorders>
            <w:vAlign w:val="center"/>
          </w:tcPr>
          <w:p w:rsidR="00000000" w:rsidDel="00000000" w:rsidP="00000000" w:rsidRDefault="00000000" w:rsidRPr="00000000" w14:paraId="0000009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ICD-10 X72–X74</w:t>
            </w:r>
          </w:p>
        </w:tc>
        <w:tc>
          <w:tcPr>
            <w:tcBorders>
              <w:top w:color="000000" w:space="0" w:sz="8" w:val="single"/>
              <w:bottom w:color="000000" w:space="0" w:sz="8" w:val="single"/>
            </w:tcBorders>
            <w:vAlign w:val="center"/>
          </w:tcPr>
          <w:p w:rsidR="00000000" w:rsidDel="00000000" w:rsidP="00000000" w:rsidRDefault="00000000" w:rsidRPr="00000000" w14:paraId="0000009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Intervention-sensitive series</w:t>
            </w:r>
          </w:p>
        </w:tc>
        <w:tc>
          <w:tcPr>
            <w:tcBorders>
              <w:top w:color="000000" w:space="0" w:sz="8" w:val="single"/>
              <w:bottom w:color="000000" w:space="0" w:sz="8" w:val="single"/>
            </w:tcBorders>
            <w:vAlign w:val="center"/>
          </w:tcPr>
          <w:p w:rsidR="00000000" w:rsidDel="00000000" w:rsidP="00000000" w:rsidRDefault="00000000" w:rsidRPr="00000000" w14:paraId="0000009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controlled outcome.</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9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Non-firearm suicide</w:t>
            </w:r>
          </w:p>
        </w:tc>
        <w:tc>
          <w:tcPr>
            <w:tcBorders>
              <w:top w:color="000000" w:space="0" w:sz="8" w:val="single"/>
              <w:bottom w:color="000000" w:space="0" w:sz="8" w:val="single"/>
            </w:tcBorders>
            <w:vAlign w:val="center"/>
          </w:tcPr>
          <w:p w:rsidR="00000000" w:rsidDel="00000000" w:rsidP="00000000" w:rsidRDefault="00000000" w:rsidRPr="00000000" w14:paraId="0000009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ICD-10 X60–X84 excluding X72–X74</w:t>
            </w:r>
          </w:p>
        </w:tc>
        <w:tc>
          <w:tcPr>
            <w:tcBorders>
              <w:top w:color="000000" w:space="0" w:sz="8" w:val="single"/>
              <w:bottom w:color="000000" w:space="0" w:sz="8" w:val="single"/>
            </w:tcBorders>
            <w:vAlign w:val="center"/>
          </w:tcPr>
          <w:p w:rsidR="00000000" w:rsidDel="00000000" w:rsidP="00000000" w:rsidRDefault="00000000" w:rsidRPr="00000000" w14:paraId="0000009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Within-population comparator series</w:t>
            </w:r>
          </w:p>
        </w:tc>
        <w:tc>
          <w:tcPr>
            <w:tcBorders>
              <w:top w:color="000000" w:space="0" w:sz="8" w:val="single"/>
              <w:bottom w:color="000000" w:space="0" w:sz="8" w:val="single"/>
            </w:tcBorders>
            <w:vAlign w:val="center"/>
          </w:tcPr>
          <w:p w:rsidR="00000000" w:rsidDel="00000000" w:rsidP="00000000" w:rsidRDefault="00000000" w:rsidRPr="00000000" w14:paraId="0000009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controlled comparator; all remaining suicide mechanisms retained.</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9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 suicide</w:t>
            </w:r>
          </w:p>
        </w:tc>
        <w:tc>
          <w:tcPr>
            <w:tcBorders>
              <w:top w:color="000000" w:space="0" w:sz="8" w:val="single"/>
              <w:bottom w:color="000000" w:space="0" w:sz="8" w:val="single"/>
            </w:tcBorders>
            <w:vAlign w:val="center"/>
          </w:tcPr>
          <w:p w:rsidR="00000000" w:rsidDel="00000000" w:rsidP="00000000" w:rsidRDefault="00000000" w:rsidRPr="00000000" w14:paraId="0000009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ICD-10 X60–X84</w:t>
            </w:r>
          </w:p>
        </w:tc>
        <w:tc>
          <w:tcPr>
            <w:tcBorders>
              <w:top w:color="000000" w:space="0" w:sz="8" w:val="single"/>
              <w:bottom w:color="000000" w:space="0" w:sz="8" w:val="single"/>
            </w:tcBorders>
            <w:vAlign w:val="center"/>
          </w:tcPr>
          <w:p w:rsidR="00000000" w:rsidDel="00000000" w:rsidP="00000000" w:rsidRDefault="00000000" w:rsidRPr="00000000" w14:paraId="0000009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Firearm plus non-firearm suicide</w:t>
            </w:r>
          </w:p>
        </w:tc>
        <w:tc>
          <w:tcPr>
            <w:tcBorders>
              <w:top w:color="000000" w:space="0" w:sz="8" w:val="single"/>
              <w:bottom w:color="000000" w:space="0" w:sz="8" w:val="single"/>
            </w:tcBorders>
            <w:vAlign w:val="center"/>
          </w:tcPr>
          <w:p w:rsidR="00000000" w:rsidDel="00000000" w:rsidP="00000000" w:rsidRDefault="00000000" w:rsidRPr="00000000" w14:paraId="0000009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Secondary single-series outcome.</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9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Eligible undetermined intent</w:t>
            </w:r>
          </w:p>
        </w:tc>
        <w:tc>
          <w:tcPr>
            <w:tcBorders>
              <w:top w:color="000000" w:space="0" w:sz="8" w:val="single"/>
              <w:bottom w:color="000000" w:space="0" w:sz="8" w:val="single"/>
            </w:tcBorders>
            <w:vAlign w:val="center"/>
          </w:tcPr>
          <w:p w:rsidR="00000000" w:rsidDel="00000000" w:rsidP="00000000" w:rsidRDefault="00000000" w:rsidRPr="00000000" w14:paraId="0000009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ICD-10 Y10–Y34; firearm subset Y22–Y24</w:t>
            </w:r>
          </w:p>
        </w:tc>
        <w:tc>
          <w:tcPr>
            <w:tcBorders>
              <w:top w:color="000000" w:space="0" w:sz="8" w:val="single"/>
              <w:bottom w:color="000000" w:space="0" w:sz="8" w:val="single"/>
            </w:tcBorders>
            <w:vAlign w:val="center"/>
          </w:tcPr>
          <w:p w:rsidR="00000000" w:rsidDel="00000000" w:rsidP="00000000" w:rsidRDefault="00000000" w:rsidRPr="00000000" w14:paraId="0000009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S4 redistribution pool</w:t>
            </w:r>
          </w:p>
        </w:tc>
        <w:tc>
          <w:tcPr>
            <w:tcBorders>
              <w:top w:color="000000" w:space="0" w:sz="8" w:val="single"/>
              <w:bottom w:color="000000" w:space="0" w:sz="8" w:val="single"/>
            </w:tcBorders>
            <w:vAlign w:val="center"/>
          </w:tcPr>
          <w:p w:rsidR="00000000" w:rsidDel="00000000" w:rsidP="00000000" w:rsidRDefault="00000000" w:rsidRPr="00000000" w14:paraId="0000009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Y22–Y24 allocations entered firearm suicide; all other allocated Y10–Y34 deaths entered non-firearm suicide. Y87.0, Y87.2, R99, and other R-coded deaths were not redistributed.</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9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Known-intent denominator</w:t>
            </w:r>
          </w:p>
        </w:tc>
        <w:tc>
          <w:tcPr>
            <w:tcBorders>
              <w:top w:color="000000" w:space="0" w:sz="8" w:val="single"/>
              <w:bottom w:color="000000" w:space="0" w:sz="8" w:val="single"/>
            </w:tcBorders>
            <w:vAlign w:val="center"/>
          </w:tcPr>
          <w:p w:rsidR="00000000" w:rsidDel="00000000" w:rsidP="00000000" w:rsidRDefault="00000000" w:rsidRPr="00000000" w14:paraId="000000A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Suicide X60–X84; unintentional injury V01–X59; assault X85–Y09</w:t>
            </w:r>
          </w:p>
        </w:tc>
        <w:tc>
          <w:tcPr>
            <w:tcBorders>
              <w:top w:color="000000" w:space="0" w:sz="8" w:val="single"/>
              <w:bottom w:color="000000" w:space="0" w:sz="8" w:val="single"/>
            </w:tcBorders>
            <w:vAlign w:val="center"/>
          </w:tcPr>
          <w:p w:rsidR="00000000" w:rsidDel="00000000" w:rsidP="00000000" w:rsidRDefault="00000000" w:rsidRPr="00000000" w14:paraId="000000A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Annual stratum-specific suicide proportion among known-intent deaths</w:t>
            </w:r>
          </w:p>
        </w:tc>
        <w:tc>
          <w:tcPr>
            <w:tcBorders>
              <w:top w:color="000000" w:space="0" w:sz="8" w:val="single"/>
              <w:bottom w:color="000000" w:space="0" w:sz="8" w:val="single"/>
            </w:tcBorders>
            <w:vAlign w:val="center"/>
          </w:tcPr>
          <w:p w:rsidR="00000000" w:rsidDel="00000000" w:rsidP="00000000" w:rsidRDefault="00000000" w:rsidRPr="00000000" w14:paraId="000000A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fixed fallback hierarchy required at least 20 known-intent deaths; pooled fallback periods were 2000–2009 and 2010–2023.</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A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Calendar time</w:t>
            </w:r>
          </w:p>
        </w:tc>
        <w:tc>
          <w:tcPr>
            <w:tcBorders>
              <w:top w:color="000000" w:space="0" w:sz="8" w:val="single"/>
              <w:bottom w:color="000000" w:space="0" w:sz="8" w:val="single"/>
            </w:tcBorders>
            <w:vAlign w:val="center"/>
          </w:tcPr>
          <w:p w:rsidR="00000000" w:rsidDel="00000000" w:rsidP="00000000" w:rsidRDefault="00000000" w:rsidRPr="00000000" w14:paraId="000000A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0–287</w:t>
            </w:r>
          </w:p>
        </w:tc>
        <w:tc>
          <w:tcPr>
            <w:tcBorders>
              <w:top w:color="000000" w:space="0" w:sz="8" w:val="single"/>
              <w:bottom w:color="000000" w:space="0" w:sz="8" w:val="single"/>
            </w:tcBorders>
            <w:vAlign w:val="center"/>
          </w:tcPr>
          <w:p w:rsidR="00000000" w:rsidDel="00000000" w:rsidP="00000000" w:rsidRDefault="00000000" w:rsidRPr="00000000" w14:paraId="000000A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Months since January 2000</w:t>
            </w:r>
          </w:p>
        </w:tc>
        <w:tc>
          <w:tcPr>
            <w:tcBorders>
              <w:top w:color="000000" w:space="0" w:sz="8" w:val="single"/>
              <w:bottom w:color="000000" w:space="0" w:sz="8" w:val="single"/>
            </w:tcBorders>
            <w:vAlign w:val="center"/>
          </w:tcPr>
          <w:p w:rsidR="00000000" w:rsidDel="00000000" w:rsidP="00000000" w:rsidRDefault="00000000" w:rsidRPr="00000000" w14:paraId="000000A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Linear trend term; interventions were modelled by step and completed-month ramp terms.</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A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Policy interruptions</w:t>
            </w:r>
          </w:p>
        </w:tc>
        <w:tc>
          <w:tcPr>
            <w:tcBorders>
              <w:top w:color="000000" w:space="0" w:sz="8" w:val="single"/>
              <w:bottom w:color="000000" w:space="0" w:sz="8" w:val="single"/>
            </w:tcBorders>
            <w:vAlign w:val="center"/>
          </w:tcPr>
          <w:p w:rsidR="00000000" w:rsidDel="00000000" w:rsidP="00000000" w:rsidRDefault="00000000" w:rsidRPr="00000000" w14:paraId="000000A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I1: January 2004; I2: July 2019; I3: August 2023</w:t>
            </w:r>
          </w:p>
        </w:tc>
        <w:tc>
          <w:tcPr>
            <w:tcBorders>
              <w:top w:color="000000" w:space="0" w:sz="8" w:val="single"/>
              <w:bottom w:color="000000" w:space="0" w:sz="8" w:val="single"/>
            </w:tcBorders>
            <w:vAlign w:val="center"/>
          </w:tcPr>
          <w:p w:rsidR="00000000" w:rsidDel="00000000" w:rsidP="00000000" w:rsidRDefault="00000000" w:rsidRPr="00000000" w14:paraId="000000A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I1 and I2 primary; I3 exploratory short-follow-up sensitivity</w:t>
            </w:r>
          </w:p>
        </w:tc>
        <w:tc>
          <w:tcPr>
            <w:tcBorders>
              <w:top w:color="000000" w:space="0" w:sz="8" w:val="single"/>
              <w:bottom w:color="000000" w:space="0" w:sz="8" w:val="single"/>
            </w:tcBorders>
            <w:vAlign w:val="center"/>
          </w:tcPr>
          <w:p w:rsidR="00000000" w:rsidDel="00000000" w:rsidP="00000000" w:rsidRDefault="00000000" w:rsidRPr="00000000" w14:paraId="000000A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I1 followed Lei nº 10.826; I2 followed Decretos nº 9.844–9.847; I3 followed Decreto nº 11.615.</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A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Population offset</w:t>
            </w:r>
          </w:p>
        </w:tc>
        <w:tc>
          <w:tcPr>
            <w:tcBorders>
              <w:top w:color="000000" w:space="0" w:sz="8" w:val="single"/>
              <w:bottom w:color="000000" w:space="0" w:sz="8" w:val="single"/>
            </w:tcBorders>
            <w:vAlign w:val="center"/>
          </w:tcPr>
          <w:p w:rsidR="00000000" w:rsidDel="00000000" w:rsidP="00000000" w:rsidRDefault="00000000" w:rsidRPr="00000000" w14:paraId="000000A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Log of monthly mid-month population</w:t>
            </w:r>
          </w:p>
        </w:tc>
        <w:tc>
          <w:tcPr>
            <w:tcBorders>
              <w:top w:color="000000" w:space="0" w:sz="8" w:val="single"/>
              <w:bottom w:color="000000" w:space="0" w:sz="8" w:val="single"/>
            </w:tcBorders>
            <w:vAlign w:val="center"/>
          </w:tcPr>
          <w:p w:rsidR="00000000" w:rsidDel="00000000" w:rsidP="00000000" w:rsidRDefault="00000000" w:rsidRPr="00000000" w14:paraId="000000A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IBGE 2024 projections</w:t>
            </w:r>
          </w:p>
        </w:tc>
        <w:tc>
          <w:tcPr>
            <w:tcBorders>
              <w:top w:color="000000" w:space="0" w:sz="8" w:val="single"/>
              <w:bottom w:color="000000" w:space="0" w:sz="8" w:val="single"/>
            </w:tcBorders>
            <w:vAlign w:val="center"/>
          </w:tcPr>
          <w:p w:rsidR="00000000" w:rsidDel="00000000" w:rsidP="00000000" w:rsidRDefault="00000000" w:rsidRPr="00000000" w14:paraId="000000A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Annual 1-July anchors linearly interpolated to the 15th day of each month.</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A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COVID-19 terms</w:t>
            </w:r>
          </w:p>
        </w:tc>
        <w:tc>
          <w:tcPr>
            <w:tcBorders>
              <w:top w:color="000000" w:space="0" w:sz="8" w:val="single"/>
              <w:bottom w:color="000000" w:space="0" w:sz="8" w:val="single"/>
            </w:tcBorders>
            <w:vAlign w:val="center"/>
          </w:tcPr>
          <w:p w:rsidR="00000000" w:rsidDel="00000000" w:rsidP="00000000" w:rsidRDefault="00000000" w:rsidRPr="00000000" w14:paraId="000000B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Step: March 2020 onward; pulse: March 2020</w:t>
            </w:r>
          </w:p>
        </w:tc>
        <w:tc>
          <w:tcPr>
            <w:tcBorders>
              <w:top w:color="000000" w:space="0" w:sz="8" w:val="single"/>
              <w:bottom w:color="000000" w:space="0" w:sz="8" w:val="single"/>
            </w:tcBorders>
            <w:vAlign w:val="center"/>
          </w:tcPr>
          <w:p w:rsidR="00000000" w:rsidDel="00000000" w:rsidP="00000000" w:rsidRDefault="00000000" w:rsidRPr="00000000" w14:paraId="000000B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Common shocks</w:t>
            </w:r>
          </w:p>
        </w:tc>
        <w:tc>
          <w:tcPr>
            <w:tcBorders>
              <w:top w:color="000000" w:space="0" w:sz="8" w:val="single"/>
              <w:bottom w:color="000000" w:space="0" w:sz="8" w:val="single"/>
            </w:tcBorders>
            <w:vAlign w:val="center"/>
          </w:tcPr>
          <w:p w:rsidR="00000000" w:rsidDel="00000000" w:rsidP="00000000" w:rsidRDefault="00000000" w:rsidRPr="00000000" w14:paraId="000000B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Included in primary and specified sensitivity models.</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B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Seasonality</w:t>
            </w:r>
          </w:p>
        </w:tc>
        <w:tc>
          <w:tcPr>
            <w:tcBorders>
              <w:top w:color="000000" w:space="0" w:sz="8" w:val="single"/>
              <w:bottom w:color="000000" w:space="0" w:sz="8" w:val="single"/>
            </w:tcBorders>
            <w:vAlign w:val="center"/>
          </w:tcPr>
          <w:p w:rsidR="00000000" w:rsidDel="00000000" w:rsidP="00000000" w:rsidRDefault="00000000" w:rsidRPr="00000000" w14:paraId="000000B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Two Fourier harmonic pairs</w:t>
            </w:r>
          </w:p>
        </w:tc>
        <w:tc>
          <w:tcPr>
            <w:tcBorders>
              <w:top w:color="000000" w:space="0" w:sz="8" w:val="single"/>
              <w:bottom w:color="000000" w:space="0" w:sz="8" w:val="single"/>
            </w:tcBorders>
            <w:vAlign w:val="center"/>
          </w:tcPr>
          <w:p w:rsidR="00000000" w:rsidDel="00000000" w:rsidP="00000000" w:rsidRDefault="00000000" w:rsidRPr="00000000" w14:paraId="000000B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Series-specific sin/cos terms</w:t>
            </w:r>
          </w:p>
        </w:tc>
        <w:tc>
          <w:tcPr>
            <w:tcBorders>
              <w:top w:color="000000" w:space="0" w:sz="8" w:val="single"/>
              <w:bottom w:color="000000" w:space="0" w:sz="8" w:val="single"/>
            </w:tcBorders>
            <w:vAlign w:val="center"/>
          </w:tcPr>
          <w:p w:rsidR="00000000" w:rsidDel="00000000" w:rsidP="00000000" w:rsidRDefault="00000000" w:rsidRPr="00000000" w14:paraId="000000B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Month-factor specification used as a sensitivity analysis.</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B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Effect modifiers</w:t>
            </w:r>
          </w:p>
        </w:tc>
        <w:tc>
          <w:tcPr>
            <w:tcBorders>
              <w:top w:color="000000" w:space="0" w:sz="8" w:val="single"/>
              <w:bottom w:color="000000" w:space="0" w:sz="8" w:val="single"/>
            </w:tcBorders>
            <w:vAlign w:val="center"/>
          </w:tcPr>
          <w:p w:rsidR="00000000" w:rsidDel="00000000" w:rsidP="00000000" w:rsidRDefault="00000000" w:rsidRPr="00000000" w14:paraId="000000B8">
            <w:pPr>
              <w:rPr>
                <w:rFonts w:ascii="Times New Roman" w:cs="Times New Roman" w:eastAsia="Times New Roman" w:hAnsi="Times New Roman"/>
                <w:sz w:val="20"/>
                <w:szCs w:val="20"/>
              </w:rPr>
            </w:pPr>
            <w:sdt>
              <w:sdtPr>
                <w:id w:val="-141128075"/>
                <w:tag w:val="goog_rdk_2"/>
              </w:sdtPr>
              <w:sdtContent>
                <w:r w:rsidDel="00000000" w:rsidR="00000000" w:rsidRPr="00000000">
                  <w:rPr>
                    <w:rFonts w:ascii="Gungsuh" w:cs="Gungsuh" w:eastAsia="Gungsuh" w:hAnsi="Gungsuh"/>
                    <w:sz w:val="20"/>
                    <w:szCs w:val="20"/>
                    <w:rtl w:val="0"/>
                  </w:rPr>
                  <w:t xml:space="preserve">Sex: male/female; age: 0–4 through 85–89 and ≥90 years; geography: five macroregions and 27 federative units</w:t>
                </w:r>
              </w:sdtContent>
            </w:sdt>
          </w:p>
        </w:tc>
        <w:tc>
          <w:tcPr>
            <w:tcBorders>
              <w:top w:color="000000" w:space="0" w:sz="8" w:val="single"/>
              <w:bottom w:color="000000" w:space="0" w:sz="8" w:val="single"/>
            </w:tcBorders>
            <w:vAlign w:val="center"/>
          </w:tcPr>
          <w:p w:rsidR="00000000" w:rsidDel="00000000" w:rsidP="00000000" w:rsidRDefault="00000000" w:rsidRPr="00000000" w14:paraId="000000B9">
            <w:pPr>
              <w:rPr>
                <w:rFonts w:ascii="Times New Roman" w:cs="Times New Roman" w:eastAsia="Times New Roman" w:hAnsi="Times New Roman"/>
                <w:sz w:val="20"/>
                <w:szCs w:val="20"/>
              </w:rPr>
            </w:pPr>
            <w:sdt>
              <w:sdtPr>
                <w:id w:val="-791025139"/>
                <w:tag w:val="goog_rdk_3"/>
              </w:sdtPr>
              <w:sdtContent>
                <w:r w:rsidDel="00000000" w:rsidR="00000000" w:rsidRPr="00000000">
                  <w:rPr>
                    <w:rFonts w:ascii="Gungsuh" w:cs="Gungsuh" w:eastAsia="Gungsuh" w:hAnsi="Gungsuh"/>
                    <w:sz w:val="20"/>
                    <w:szCs w:val="20"/>
                    <w:rtl w:val="0"/>
                  </w:rPr>
                  <w:t xml:space="preserve">Exploratory strata; ≥60 years was the only confirmatory subgroup</w:t>
                </w:r>
              </w:sdtContent>
            </w:sdt>
          </w:p>
        </w:tc>
        <w:tc>
          <w:tcPr>
            <w:tcBorders>
              <w:top w:color="000000" w:space="0" w:sz="8" w:val="single"/>
              <w:bottom w:color="000000" w:space="0" w:sz="8" w:val="single"/>
            </w:tcBorders>
            <w:vAlign w:val="center"/>
          </w:tcPr>
          <w:p w:rsidR="00000000" w:rsidDel="00000000" w:rsidP="00000000" w:rsidRDefault="00000000" w:rsidRPr="00000000" w14:paraId="000000B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Unknown sex or age excluded only from its corresponding stratum family.</w:t>
            </w:r>
          </w:p>
        </w:tc>
      </w:tr>
      <w:tr>
        <w:trPr>
          <w:cantSplit w:val="0"/>
          <w:tblHeader w:val="0"/>
        </w:trPr>
        <w:tc>
          <w:tcPr>
            <w:tcBorders>
              <w:top w:color="000000" w:space="0" w:sz="8" w:val="single"/>
              <w:bottom w:color="000000" w:space="0" w:sz="8" w:val="single"/>
            </w:tcBorders>
            <w:vAlign w:val="center"/>
          </w:tcPr>
          <w:p w:rsidR="00000000" w:rsidDel="00000000" w:rsidP="00000000" w:rsidRDefault="00000000" w:rsidRPr="00000000" w14:paraId="000000B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Falsification outcomes</w:t>
            </w:r>
          </w:p>
        </w:tc>
        <w:tc>
          <w:tcPr>
            <w:tcBorders>
              <w:top w:color="000000" w:space="0" w:sz="8" w:val="single"/>
              <w:bottom w:color="000000" w:space="0" w:sz="8" w:val="single"/>
            </w:tcBorders>
            <w:vAlign w:val="center"/>
          </w:tcPr>
          <w:p w:rsidR="00000000" w:rsidDel="00000000" w:rsidP="00000000" w:rsidRDefault="00000000" w:rsidRPr="00000000" w14:paraId="000000B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Firearm assault/homicide: X93–X95; land-transport mortality: V01–V89</w:t>
            </w:r>
          </w:p>
        </w:tc>
        <w:tc>
          <w:tcPr>
            <w:tcBorders>
              <w:top w:color="000000" w:space="0" w:sz="8" w:val="single"/>
              <w:bottom w:color="000000" w:space="0" w:sz="8" w:val="single"/>
            </w:tcBorders>
            <w:vAlign w:val="center"/>
          </w:tcPr>
          <w:p w:rsidR="00000000" w:rsidDel="00000000" w:rsidP="00000000" w:rsidRDefault="00000000" w:rsidRPr="00000000" w14:paraId="000000B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Positive and negative comparator outcomes</w:t>
            </w:r>
          </w:p>
        </w:tc>
        <w:tc>
          <w:tcPr>
            <w:tcBorders>
              <w:top w:color="000000" w:space="0" w:sz="8" w:val="single"/>
              <w:bottom w:color="000000" w:space="0" w:sz="8" w:val="single"/>
            </w:tcBorders>
            <w:vAlign w:val="center"/>
          </w:tcPr>
          <w:p w:rsidR="00000000" w:rsidDel="00000000" w:rsidP="00000000" w:rsidRDefault="00000000" w:rsidRPr="00000000" w14:paraId="000000B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Raw integer counts; S4 redistribution was not applicable.</w:t>
            </w:r>
          </w:p>
        </w:tc>
      </w:tr>
      <w:tr>
        <w:trPr>
          <w:cantSplit w:val="0"/>
          <w:tblHeader w:val="0"/>
        </w:trPr>
        <w:tc>
          <w:tcPr>
            <w:gridSpan w:val="4"/>
            <w:tcBorders>
              <w:top w:color="000000" w:space="0" w:sz="8" w:val="single"/>
            </w:tcBorders>
            <w:vAlign w:val="center"/>
          </w:tcPr>
          <w:p w:rsidR="00000000" w:rsidDel="00000000" w:rsidP="00000000" w:rsidRDefault="00000000" w:rsidRPr="00000000" w14:paraId="000000B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Legend</w:t>
            </w:r>
            <w:r w:rsidDel="00000000" w:rsidR="00000000" w:rsidRPr="00000000">
              <w:rPr>
                <w:rFonts w:ascii="Times New Roman" w:cs="Times New Roman" w:eastAsia="Times New Roman" w:hAnsi="Times New Roman"/>
                <w:sz w:val="20"/>
                <w:szCs w:val="20"/>
                <w:rtl w:val="0"/>
              </w:rPr>
              <w:t xml:space="preserve">. ICD-10 indicates International Statistical Classification of Diseases and Related Health Problems, 10th Revision; IBGE, Brazilian Institute of Geography and Statistics; I1–I3, interruption indicators; S4, prespecified mechanism-specific redistribution algorithm; SIM, Sistema de Informações sobre Mortalidade.</w:t>
            </w:r>
          </w:p>
        </w:tc>
      </w:tr>
    </w:tbl>
    <w:p w:rsidR="00000000" w:rsidDel="00000000" w:rsidP="00000000" w:rsidRDefault="00000000" w:rsidRPr="00000000" w14:paraId="000000C3">
      <w:pPr>
        <w:spacing w:line="276" w:lineRule="auto"/>
        <w:rPr>
          <w:rFonts w:ascii="Times New Roman" w:cs="Times New Roman" w:eastAsia="Times New Roman" w:hAnsi="Times New Roman"/>
          <w:sz w:val="20"/>
          <w:szCs w:val="20"/>
        </w:rPr>
        <w:sectPr>
          <w:type w:val="continuous"/>
          <w:pgSz w:h="16838" w:w="11906"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C4">
      <w:pPr>
        <w:spacing w:line="276" w:lineRule="auto"/>
        <w:rPr>
          <w:rFonts w:ascii="Times New Roman" w:cs="Times New Roman" w:eastAsia="Times New Roman" w:hAnsi="Times New Roman"/>
          <w:sz w:val="20"/>
          <w:szCs w:val="20"/>
        </w:rPr>
      </w:pPr>
      <w:r w:rsidDel="00000000" w:rsidR="00000000" w:rsidRPr="00000000">
        <w:rPr>
          <w:rtl w:val="0"/>
        </w:rPr>
      </w:r>
    </w:p>
    <w:tbl>
      <w:tblPr>
        <w:tblStyle w:val="Table4"/>
        <w:tblW w:w="1044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80"/>
        <w:gridCol w:w="2320"/>
        <w:gridCol w:w="1500"/>
        <w:gridCol w:w="1520"/>
        <w:gridCol w:w="2220"/>
        <w:gridCol w:w="2100"/>
        <w:tblGridChange w:id="0">
          <w:tblGrid>
            <w:gridCol w:w="780"/>
            <w:gridCol w:w="2320"/>
            <w:gridCol w:w="1500"/>
            <w:gridCol w:w="1520"/>
            <w:gridCol w:w="2220"/>
            <w:gridCol w:w="2100"/>
          </w:tblGrid>
        </w:tblGridChange>
      </w:tblGrid>
      <w:tr>
        <w:trPr>
          <w:cantSplit w:val="0"/>
          <w:trHeight w:val="180" w:hRule="atLeast"/>
          <w:tblHeader w:val="0"/>
        </w:trPr>
        <w:tc>
          <w:tcPr>
            <w:gridSpan w:val="6"/>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C5">
            <w:pPr>
              <w:pStyle w:val="Heading1"/>
              <w:rPr/>
            </w:pPr>
            <w:bookmarkStart w:colFirst="0" w:colLast="0" w:name="_heading=h.r67aq5spg8oe" w:id="18"/>
            <w:bookmarkEnd w:id="18"/>
            <w:r w:rsidDel="00000000" w:rsidR="00000000" w:rsidRPr="00000000">
              <w:rPr>
                <w:rtl w:val="0"/>
              </w:rPr>
              <w:t xml:space="preserve">Supplementary Table S3. Use of the S4 probability fallback hierarchy, Brazil, 2000–2023 </w:t>
            </w:r>
          </w:p>
        </w:tc>
      </w:tr>
      <w:tr>
        <w:trPr>
          <w:cantSplit w:val="0"/>
          <w:tblHeader w:val="0"/>
        </w:trPr>
        <w:tc>
          <w:tcPr>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CB">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Tier</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CC">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Selected probability level</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CD">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Allocation cells</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CE">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Y10–Y34 source deaths</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CF">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Expected deaths reallocated to suicide</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0">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Share of expected S4 increment, %</w:t>
            </w:r>
            <w:r w:rsidDel="00000000" w:rsidR="00000000" w:rsidRPr="00000000">
              <w:rPr>
                <w:rtl w:val="0"/>
              </w:rPr>
            </w:r>
          </w:p>
        </w:tc>
      </w:tr>
      <w:tr>
        <w:trPr>
          <w:cantSplit w:val="0"/>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1">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2">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Year × UF × sex × age × mechanism</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3">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95,566</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4">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220,782</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5">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22,234.9</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6">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59.16</w:t>
            </w:r>
          </w:p>
        </w:tc>
      </w:tr>
      <w:tr>
        <w:trPr>
          <w:cantSplit w:val="0"/>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7">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8">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Year × UF × sex × mechanism</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9">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47,258</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A">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55,301</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B">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13,619.4</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C">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36.24</w:t>
            </w:r>
          </w:p>
        </w:tc>
      </w:tr>
      <w:tr>
        <w:trPr>
          <w:cantSplit w:val="0"/>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D">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E">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Year × UF × mechanism</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DF">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3,458</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0">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3,625</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1">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1,115.6</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2">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2.97</w:t>
            </w:r>
          </w:p>
        </w:tc>
      </w:tr>
      <w:tr>
        <w:trPr>
          <w:cantSplit w:val="0"/>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3">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4">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Year × macroregion × sex × mechanism</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5">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908</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6">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931</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7">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302.0</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8">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0.80</w:t>
            </w:r>
          </w:p>
        </w:tc>
      </w:tr>
      <w:tr>
        <w:trPr>
          <w:cantSplit w:val="0"/>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9">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A">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Year × national × sex × age × mechanism</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B">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C">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D">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E">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0.01</w:t>
            </w:r>
          </w:p>
        </w:tc>
      </w:tr>
      <w:tr>
        <w:trPr>
          <w:cantSplit w:val="0"/>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EF">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F0">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Year × national × mechanism</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F1">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595</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F2">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608</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F3">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278.5</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F4">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0.74</w:t>
            </w:r>
          </w:p>
        </w:tc>
      </w:tr>
      <w:tr>
        <w:trPr>
          <w:cantSplit w:val="0"/>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F5">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F6">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Period × national × mechanism</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F7">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F8">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47</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F9">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30.8</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0FA">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0.08</w:t>
            </w:r>
          </w:p>
        </w:tc>
      </w:tr>
      <w:tr>
        <w:trPr>
          <w:cantSplit w:val="0"/>
          <w:trHeight w:val="180" w:hRule="atLeast"/>
          <w:tblHeader w:val="0"/>
        </w:trPr>
        <w:tc>
          <w:tcPr>
            <w:gridSpan w:val="2"/>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FB">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Total</w:t>
            </w: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FD">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147,848</w:t>
            </w: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FE">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281,312</w:t>
            </w: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FF">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37,584.6</w:t>
            </w:r>
            <w:r w:rsidDel="00000000" w:rsidR="00000000" w:rsidRPr="00000000">
              <w:rPr>
                <w:rtl w:val="0"/>
              </w:rPr>
            </w:r>
          </w:p>
        </w:tc>
        <w:tc>
          <w:tcPr>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100">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100.00</w:t>
            </w:r>
            <w:r w:rsidDel="00000000" w:rsidR="00000000" w:rsidRPr="00000000">
              <w:rPr>
                <w:rtl w:val="0"/>
              </w:rPr>
            </w:r>
          </w:p>
        </w:tc>
      </w:tr>
      <w:tr>
        <w:trPr>
          <w:cantSplit w:val="0"/>
          <w:trHeight w:val="180" w:hRule="atLeast"/>
          <w:tblHeader w:val="0"/>
        </w:trPr>
        <w:tc>
          <w:tcPr>
            <w:gridSpan w:val="6"/>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101">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Legend. </w:t>
            </w:r>
            <w:r w:rsidDel="00000000" w:rsidR="00000000" w:rsidRPr="00000000">
              <w:rPr>
                <w:rFonts w:ascii="Times New Roman" w:cs="Times New Roman" w:eastAsia="Times New Roman" w:hAnsi="Times New Roman"/>
                <w:sz w:val="20"/>
                <w:szCs w:val="20"/>
                <w:rtl w:val="0"/>
              </w:rPr>
              <w:t xml:space="preserve">For noninformative mechanisms, the corresponding hierarchy without mechanism was used; those observations are combined with their equivalent tier above. Counts were summed across the 2000–2009 and 2010–2023 fallback periods. Expected reallocations are deterministic plug-in S4 quantities used to audit the hierarchy. They therefore differ from the mean integer increment across the 200 stochastic completed datasets, which was 38,497.5 deaths. </w:t>
            </w:r>
          </w:p>
        </w:tc>
      </w:tr>
    </w:tbl>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shd w:fill="ffffff" w:val="clear"/>
        <w:spacing w:line="278.00000000000006" w:lineRule="auto"/>
        <w:rPr>
          <w:rFonts w:ascii="Times New Roman" w:cs="Times New Roman" w:eastAsia="Times New Roman" w:hAnsi="Times New Roman"/>
          <w:sz w:val="20"/>
          <w:szCs w:val="20"/>
          <w:vertAlign w:val="subscript"/>
        </w:rPr>
      </w:pPr>
      <w:r w:rsidDel="00000000" w:rsidR="00000000" w:rsidRPr="00000000">
        <w:br w:type="page"/>
      </w:r>
      <w:r w:rsidDel="00000000" w:rsidR="00000000" w:rsidRPr="00000000">
        <w:rPr>
          <w:rtl w:val="0"/>
        </w:rPr>
      </w:r>
    </w:p>
    <w:p w:rsidR="00000000" w:rsidDel="00000000" w:rsidP="00000000" w:rsidRDefault="00000000" w:rsidRPr="00000000" w14:paraId="00000109">
      <w:pPr>
        <w:shd w:fill="ffffff" w:val="clear"/>
        <w:spacing w:line="278.00000000000006" w:lineRule="auto"/>
        <w:rPr>
          <w:rFonts w:ascii="Times New Roman" w:cs="Times New Roman" w:eastAsia="Times New Roman" w:hAnsi="Times New Roman"/>
          <w:sz w:val="20"/>
          <w:szCs w:val="20"/>
          <w:vertAlign w:val="subscript"/>
        </w:rPr>
      </w:pPr>
      <w:r w:rsidDel="00000000" w:rsidR="00000000" w:rsidRPr="00000000">
        <w:rPr>
          <w:rtl w:val="0"/>
        </w:rPr>
      </w:r>
    </w:p>
    <w:tbl>
      <w:tblPr>
        <w:tblStyle w:val="Table5"/>
        <w:tblW w:w="1044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40"/>
        <w:gridCol w:w="2160"/>
        <w:gridCol w:w="1920"/>
        <w:gridCol w:w="1920"/>
        <w:gridCol w:w="1900"/>
        <w:tblGridChange w:id="0">
          <w:tblGrid>
            <w:gridCol w:w="2540"/>
            <w:gridCol w:w="2160"/>
            <w:gridCol w:w="1920"/>
            <w:gridCol w:w="1920"/>
            <w:gridCol w:w="1900"/>
          </w:tblGrid>
        </w:tblGridChange>
      </w:tblGrid>
      <w:tr>
        <w:trPr>
          <w:cantSplit w:val="0"/>
          <w:trHeight w:val="180" w:hRule="atLeast"/>
          <w:tblHeader w:val="0"/>
        </w:trPr>
        <w:tc>
          <w:tcPr>
            <w:gridSpan w:val="5"/>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0A">
            <w:pPr>
              <w:pStyle w:val="Heading1"/>
              <w:keepNext w:val="0"/>
              <w:keepLines w:val="0"/>
              <w:shd w:fill="ffffff" w:val="clear"/>
              <w:spacing w:line="278.00000000000006" w:lineRule="auto"/>
              <w:rPr/>
            </w:pPr>
            <w:bookmarkStart w:colFirst="0" w:colLast="0" w:name="_heading=h.iw11vedc5q5a" w:id="19"/>
            <w:bookmarkEnd w:id="19"/>
            <w:r w:rsidDel="00000000" w:rsidR="00000000" w:rsidRPr="00000000">
              <w:rPr>
                <w:rtl w:val="0"/>
              </w:rPr>
              <w:t xml:space="preserve">Supplementary Table S4. Primary national controlled interrupted time-series estimates for firearm suicide relative to non-firearm suicide, Brazil, 2000–2023 </w:t>
            </w:r>
          </w:p>
        </w:tc>
      </w:tr>
      <w:tr>
        <w:trPr>
          <w:cantSplit w:val="0"/>
          <w:tblHeader w:val="0"/>
        </w:trPr>
        <w:tc>
          <w:tcPr>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0F">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Interruption or contrast</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0">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Estimand</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1">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Estimate (95% CI)</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2">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Unadjusted P value</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3">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Holm-adjusted P value</w:t>
            </w:r>
            <w:r w:rsidDel="00000000" w:rsidR="00000000" w:rsidRPr="00000000">
              <w:rPr>
                <w:rtl w:val="0"/>
              </w:rPr>
            </w:r>
          </w:p>
        </w:tc>
      </w:tr>
      <w:tr>
        <w:trPr>
          <w:cantSplit w:val="0"/>
          <w:trHeight w:val="180" w:hRule="atLeast"/>
          <w:tblHeader w:val="0"/>
        </w:trPr>
        <w:tc>
          <w:tcPr>
            <w:vMerge w:val="restart"/>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4">
            <w:pPr>
              <w:shd w:fill="ffffff" w:val="clear"/>
              <w:spacing w:line="278.0000000000000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I1: restrictive shift, January 2004</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5">
            <w:pPr>
              <w:shd w:fill="ffffff" w:val="clear"/>
              <w:spacing w:line="278.0000000000000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Immediate level-change RR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6">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0.893 (0.840–0.951)</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7">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8">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180" w:hRule="atLeast"/>
          <w:tblHeader w:val="0"/>
        </w:trPr>
        <w:tc>
          <w:tcPr>
            <w:vMerge w:val="continue"/>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A">
            <w:pPr>
              <w:shd w:fill="ffffff" w:val="clear"/>
              <w:spacing w:line="278.0000000000000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Monthly slope-change RR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B">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1.0004 (0.9988–1.0020)</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C">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D">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180" w:hRule="atLeast"/>
          <w:tblHeader w:val="0"/>
        </w:trPr>
        <w:tc>
          <w:tcPr>
            <w:vMerge w:val="continue"/>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1F">
            <w:pPr>
              <w:shd w:fill="ffffff" w:val="clear"/>
              <w:spacing w:line="278.0000000000000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36-month cDRR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0">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0.899 (0.834–0.970)</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1">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.003</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2">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.006</w:t>
            </w:r>
          </w:p>
        </w:tc>
      </w:tr>
      <w:tr>
        <w:trPr>
          <w:cantSplit w:val="0"/>
          <w:trHeight w:val="180" w:hRule="atLeast"/>
          <w:tblHeader w:val="0"/>
        </w:trPr>
        <w:tc>
          <w:tcPr>
            <w:vMerge w:val="restart"/>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3">
            <w:pPr>
              <w:shd w:fill="ffffff" w:val="clear"/>
              <w:spacing w:line="278.0000000000000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I2: permissive shift, July 2019</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4">
            <w:pPr>
              <w:shd w:fill="ffffff" w:val="clear"/>
              <w:spacing w:line="278.0000000000000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Immediate level-change RR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5">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0.995 (0.934–1.060)</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6">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7">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180" w:hRule="atLeast"/>
          <w:tblHeader w:val="0"/>
        </w:trPr>
        <w:tc>
          <w:tcPr>
            <w:vMerge w:val="continue"/>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9">
            <w:pPr>
              <w:shd w:fill="ffffff" w:val="clear"/>
              <w:spacing w:line="278.0000000000000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Monthly slope-change RR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A">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1.0033 (1.0020–1.0046)</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B">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C">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180" w:hRule="atLeast"/>
          <w:tblHeader w:val="0"/>
        </w:trPr>
        <w:tc>
          <w:tcPr>
            <w:vMerge w:val="continue"/>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E">
            <w:pPr>
              <w:shd w:fill="ffffff" w:val="clear"/>
              <w:spacing w:line="278.0000000000000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36-month cDRR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2F">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1.054 (0.991–1.122)</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30">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.048</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31">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.048</w:t>
            </w:r>
          </w:p>
        </w:tc>
      </w:tr>
      <w:tr>
        <w:trPr>
          <w:cantSplit w:val="0"/>
          <w:tblHeader w:val="0"/>
        </w:trPr>
        <w:tc>
          <w:tcPr>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132">
            <w:pPr>
              <w:shd w:fill="ffffff" w:val="clear"/>
              <w:spacing w:line="278.0000000000000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I2 versus I1</w:t>
            </w:r>
          </w:p>
        </w:tc>
        <w:tc>
          <w:tcPr>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133">
            <w:pPr>
              <w:shd w:fill="ffffff" w:val="clear"/>
              <w:spacing w:line="278.0000000000000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Ratio of 36-month cDRRs</w:t>
            </w:r>
          </w:p>
        </w:tc>
        <w:tc>
          <w:tcPr>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134">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1.172 (1.071–1.283)</w:t>
            </w:r>
          </w:p>
        </w:tc>
        <w:tc>
          <w:tcPr>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135">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.0006</w:t>
            </w:r>
          </w:p>
        </w:tc>
        <w:tc>
          <w:tcPr>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136">
            <w:pPr>
              <w:shd w:fill="ffffff" w:val="clear"/>
              <w:spacing w:line="278.0000000000000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180" w:hRule="atLeast"/>
          <w:tblHeader w:val="0"/>
        </w:trPr>
        <w:tc>
          <w:tcPr>
            <w:gridSpan w:val="5"/>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137">
            <w:pPr>
              <w:shd w:fill="ffffff" w:val="clear"/>
              <w:spacing w:line="278.0000000000000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Legend</w:t>
            </w:r>
            <w:r w:rsidDel="00000000" w:rsidR="00000000" w:rsidRPr="00000000">
              <w:rPr>
                <w:rFonts w:ascii="Times New Roman" w:cs="Times New Roman" w:eastAsia="Times New Roman" w:hAnsi="Times New Roman"/>
                <w:sz w:val="20"/>
                <w:szCs w:val="20"/>
                <w:rtl w:val="0"/>
              </w:rPr>
              <w:t xml:space="preserve">. Level- and slope-change RRs are exponentiated firearm-by-interruption interaction coefficients from the stacked negative-binomial model and estimate firearm-specific changes relative to non-firearm suicide. The level-change RR represents the immediate differential change at the interruption; the slope-change RR represents the multiplicative differential change per subsequent month. The cDRR compares cumulative model-implied firearm-suicide mortality during the 36 months after each interruption with a counterfactual in which the corresponding firearm-specific level and slope interactions were set to zero. Estimates and two-sided 95% CIs were pooled using Rubin’s rules across 200 completed datasets, with calendar-month score–HAC covariance using Bartlett weights and lag 12. Level and slope estimates were descriptive and were not included in confirmatory gatekeeping. The I2-versus-I1 test was two-sided. The I1 and I2 tests were one-sided in the prespecified directions and Holm-adjusted after the I2-versus-I1 test rejected. cDRR indicates cumulative differential rate ratio; CI, confidence interval; HAC, heteroskedasticity- and autocorrelation-consistent; I1, January 2004 interruption; I2, July 2019 interruption; RR, rate ratio. </w:t>
            </w:r>
          </w:p>
        </w:tc>
      </w:tr>
    </w:tbl>
    <w:p w:rsidR="00000000" w:rsidDel="00000000" w:rsidP="00000000" w:rsidRDefault="00000000" w:rsidRPr="00000000" w14:paraId="0000013C">
      <w:pPr>
        <w:spacing w:after="0" w:before="0" w:line="276" w:lineRule="auto"/>
        <w:rPr>
          <w:rFonts w:ascii="Times New Roman" w:cs="Times New Roman" w:eastAsia="Times New Roman" w:hAnsi="Times New Roman"/>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3D">
      <w:pPr>
        <w:spacing w:after="0" w:before="0" w:line="276" w:lineRule="auto"/>
        <w:rPr>
          <w:rFonts w:ascii="Times New Roman" w:cs="Times New Roman" w:eastAsia="Times New Roman" w:hAnsi="Times New Roman"/>
          <w:sz w:val="20"/>
          <w:szCs w:val="20"/>
        </w:rPr>
      </w:pPr>
      <w:r w:rsidDel="00000000" w:rsidR="00000000" w:rsidRPr="00000000">
        <w:rPr>
          <w:rtl w:val="0"/>
        </w:rPr>
      </w:r>
    </w:p>
    <w:tbl>
      <w:tblPr>
        <w:tblStyle w:val="Table6"/>
        <w:tblW w:w="1032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2730"/>
        <w:gridCol w:w="2715"/>
        <w:gridCol w:w="2805"/>
        <w:tblGridChange w:id="0">
          <w:tblGrid>
            <w:gridCol w:w="2070"/>
            <w:gridCol w:w="2730"/>
            <w:gridCol w:w="2715"/>
            <w:gridCol w:w="2805"/>
          </w:tblGrid>
        </w:tblGridChange>
      </w:tblGrid>
      <w:tr>
        <w:trPr>
          <w:cantSplit w:val="0"/>
          <w:trHeight w:val="162.83153104002207" w:hRule="atLeast"/>
          <w:tblHeader w:val="0"/>
        </w:trPr>
        <w:tc>
          <w:tcPr>
            <w:gridSpan w:val="4"/>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3E">
            <w:pPr>
              <w:pStyle w:val="Heading1"/>
              <w:spacing w:after="0" w:before="0" w:line="276" w:lineRule="auto"/>
              <w:rPr>
                <w:sz w:val="20"/>
                <w:szCs w:val="20"/>
              </w:rPr>
            </w:pPr>
            <w:bookmarkStart w:colFirst="0" w:colLast="0" w:name="_heading=h.2629p215kzc7" w:id="20"/>
            <w:bookmarkEnd w:id="20"/>
            <w:r w:rsidDel="00000000" w:rsidR="00000000" w:rsidRPr="00000000">
              <w:rPr>
                <w:sz w:val="20"/>
                <w:szCs w:val="20"/>
                <w:rtl w:val="0"/>
              </w:rPr>
              <w:t xml:space="preserve">Supplementary Table S</w:t>
            </w:r>
            <w:r w:rsidDel="00000000" w:rsidR="00000000" w:rsidRPr="00000000">
              <w:rPr>
                <w:rtl w:val="0"/>
              </w:rPr>
              <w:t xml:space="preserve">5</w:t>
            </w:r>
            <w:r w:rsidDel="00000000" w:rsidR="00000000" w:rsidRPr="00000000">
              <w:rPr>
                <w:sz w:val="20"/>
                <w:szCs w:val="20"/>
                <w:rtl w:val="0"/>
              </w:rPr>
              <w:t xml:space="preserve">. Secondary single-series 36-month interrupted time-series estimates for suicide outcomes, Brazil, 2000–2023 </w:t>
            </w:r>
          </w:p>
        </w:tc>
      </w:tr>
      <w:tr>
        <w:trPr>
          <w:cantSplit w:val="0"/>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2">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Outcome</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3">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I1 36-month cRR (95% CI)</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4">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I2 36-month cRR (95% CI)</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5">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I2-to-I1 cRR ratio (95% CI)</w:t>
            </w:r>
            <w:r w:rsidDel="00000000" w:rsidR="00000000" w:rsidRPr="00000000">
              <w:rPr>
                <w:rtl w:val="0"/>
              </w:rPr>
            </w:r>
          </w:p>
        </w:tc>
      </w:tr>
      <w:tr>
        <w:trPr>
          <w:cantSplit w:val="0"/>
          <w:trHeight w:val="106.336794974369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6">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Firearm suicide</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7">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0.878 (0.807–0.956)</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8">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1.264 (1.139–1.402)</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9">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1.439 (1.283–1.614)</w:t>
            </w:r>
          </w:p>
        </w:tc>
      </w:tr>
      <w:tr>
        <w:trPr>
          <w:cantSplit w:val="0"/>
          <w:trHeight w:val="106.336794974369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A">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Non-firearm suicide</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B">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0.976 (0.910–1.048)</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C">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1.164 (1.111–1.220)</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D">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1.192 (1.102–1.289)</w:t>
            </w:r>
          </w:p>
        </w:tc>
      </w:tr>
      <w:tr>
        <w:trPr>
          <w:cantSplit w:val="0"/>
          <w:trHeight w:val="106.336794974369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E">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 suicide</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4F">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0.963 (0.900–1.030)</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50">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1.179 (1.120–1.240)</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51">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1.224 (1.135–1.320)</w:t>
            </w:r>
          </w:p>
        </w:tc>
      </w:tr>
      <w:tr>
        <w:trPr>
          <w:cantSplit w:val="0"/>
          <w:trHeight w:val="558.2946834995903" w:hRule="atLeast"/>
          <w:tblHeader w:val="0"/>
        </w:trPr>
        <w:tc>
          <w:tcPr>
            <w:gridSpan w:val="4"/>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152">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Legend.</w:t>
            </w:r>
            <w:r w:rsidDel="00000000" w:rsidR="00000000" w:rsidRPr="00000000">
              <w:rPr>
                <w:rFonts w:ascii="Times New Roman" w:cs="Times New Roman" w:eastAsia="Times New Roman" w:hAnsi="Times New Roman"/>
                <w:sz w:val="20"/>
                <w:szCs w:val="20"/>
                <w:rtl w:val="0"/>
              </w:rPr>
              <w:t xml:space="preserve"> Separate single-series negative-binomial segmented regressions were fitted for firearm, non-firearm, and total suicide. The cRR compares cumulative model-implied mortality during the 36 months after an interruption with a counterfactual in which that interruption’s step and ramp terms were removed. The I2-to-I1 ratio divides the I2 cRR by the I1 cRR. Estimates and two-sided 95% CIs were pooled on the log scale using Rubin’s rules across 200 completed datasets. Models included the registered interruption terms, two Fourier harmonic pairs, COVID-19 step and pulse indicators, a log-population offset, and calendar-month score–HAC covariance with Bartlett weights and lag 12. These were secondary single-series analyses and are not controlled primary effect estimates; no confirmatory claims or multiplicity-adjusted tests were specified. cRR indicates cumulative rate ratio; CI, confidence interval; HAC, heteroskedasticity- and autocorrelation-consistent; I1, restrictive shift modelled from January 2004; I2, permissive shift modelled from July 2019. </w:t>
            </w:r>
          </w:p>
        </w:tc>
      </w:tr>
    </w:tbl>
    <w:p w:rsidR="00000000" w:rsidDel="00000000" w:rsidP="00000000" w:rsidRDefault="00000000" w:rsidRPr="00000000" w14:paraId="00000156">
      <w:pPr>
        <w:spacing w:after="0" w:before="0" w:line="276" w:lineRule="auto"/>
        <w:rPr>
          <w:rFonts w:ascii="Times New Roman" w:cs="Times New Roman" w:eastAsia="Times New Roman" w:hAnsi="Times New Roman"/>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57">
      <w:pPr>
        <w:spacing w:after="0" w:before="0" w:line="276" w:lineRule="auto"/>
        <w:rPr>
          <w:rFonts w:ascii="Times New Roman" w:cs="Times New Roman" w:eastAsia="Times New Roman" w:hAnsi="Times New Roman"/>
          <w:sz w:val="20"/>
          <w:szCs w:val="20"/>
        </w:rPr>
      </w:pPr>
      <w:r w:rsidDel="00000000" w:rsidR="00000000" w:rsidRPr="00000000">
        <w:rPr>
          <w:rtl w:val="0"/>
        </w:rPr>
      </w:r>
    </w:p>
    <w:tbl>
      <w:tblPr>
        <w:tblStyle w:val="Table7"/>
        <w:tblW w:w="977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5"/>
        <w:gridCol w:w="1430"/>
        <w:gridCol w:w="1955"/>
        <w:gridCol w:w="1955"/>
        <w:gridCol w:w="2840"/>
        <w:tblGridChange w:id="0">
          <w:tblGrid>
            <w:gridCol w:w="1595"/>
            <w:gridCol w:w="1430"/>
            <w:gridCol w:w="1955"/>
            <w:gridCol w:w="1955"/>
            <w:gridCol w:w="2840"/>
          </w:tblGrid>
        </w:tblGridChange>
      </w:tblGrid>
      <w:tr>
        <w:trPr>
          <w:cantSplit w:val="0"/>
          <w:trHeight w:val="135" w:hRule="atLeast"/>
          <w:tblHeader w:val="0"/>
        </w:trPr>
        <w:tc>
          <w:tcPr>
            <w:gridSpan w:val="5"/>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58">
            <w:pPr>
              <w:pStyle w:val="Heading1"/>
              <w:spacing w:after="0" w:before="0" w:line="276" w:lineRule="auto"/>
              <w:rPr>
                <w:sz w:val="20"/>
                <w:szCs w:val="20"/>
              </w:rPr>
            </w:pPr>
            <w:bookmarkStart w:colFirst="0" w:colLast="0" w:name="_heading=h.vjpxthhjj2jq" w:id="21"/>
            <w:bookmarkEnd w:id="21"/>
            <w:r w:rsidDel="00000000" w:rsidR="00000000" w:rsidRPr="00000000">
              <w:rPr>
                <w:sz w:val="20"/>
                <w:szCs w:val="20"/>
                <w:rtl w:val="0"/>
              </w:rPr>
              <w:t xml:space="preserve">Supplementary Table S</w:t>
            </w:r>
            <w:r w:rsidDel="00000000" w:rsidR="00000000" w:rsidRPr="00000000">
              <w:rPr>
                <w:rtl w:val="0"/>
              </w:rPr>
              <w:t xml:space="preserve">6</w:t>
            </w:r>
            <w:r w:rsidDel="00000000" w:rsidR="00000000" w:rsidRPr="00000000">
              <w:rPr>
                <w:sz w:val="20"/>
                <w:szCs w:val="20"/>
                <w:rtl w:val="0"/>
              </w:rPr>
              <w:t xml:space="preserve">. Exploratory 36-month controlled interrupted time-series estimates by sex and macroregion, Brazil, 2000–2023 </w:t>
            </w:r>
          </w:p>
        </w:tc>
      </w:tr>
      <w:tr>
        <w:trPr>
          <w:cantSplit w:val="0"/>
          <w:trHeight w:val="13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5D">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Stratification</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5E">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Stratum</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5F">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I1 cDRR (95% CI)</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0">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I2 cDRR (95% CI)</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1">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I2-to-I1 cDRR ratio (95% CI)</w:t>
            </w:r>
            <w:r w:rsidDel="00000000" w:rsidR="00000000" w:rsidRPr="00000000">
              <w:rPr>
                <w:rtl w:val="0"/>
              </w:rPr>
            </w:r>
          </w:p>
        </w:tc>
      </w:tr>
      <w:tr>
        <w:trPr>
          <w:cantSplit w:val="0"/>
          <w:trHeight w:val="13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2">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Sex</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3">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Female</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4">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1.016 (0.835–1.235)</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5">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1.058 (0.908–1.233)</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6">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1.042 (0.834–1.301)</w:t>
            </w:r>
          </w:p>
        </w:tc>
      </w:tr>
      <w:tr>
        <w:trPr>
          <w:cantSplit w:val="0"/>
          <w:trHeight w:val="13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7">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Sex</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8">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Male</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9">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0.878 (0.814–0.947)</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A">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1.059 (0.994–1.128)</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B">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1.206 (1.103–1.319)</w:t>
            </w:r>
          </w:p>
        </w:tc>
      </w:tr>
      <w:tr>
        <w:trPr>
          <w:cantSplit w:val="0"/>
          <w:trHeight w:val="13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C">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Macroregion</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D">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North</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E">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1.020 (0.817–1.275)</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6F">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1.029 (0.868–1.219)</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0">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1.008 (0.775–1.312)</w:t>
            </w:r>
          </w:p>
        </w:tc>
      </w:tr>
      <w:tr>
        <w:trPr>
          <w:cantSplit w:val="0"/>
          <w:trHeight w:val="13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1">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Macroregion</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2">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Northeast</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3">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1.217 (0.977–1.517)</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4">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1.065 (0.946–1.200)</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5">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0.875 (0.688–1.114)</w:t>
            </w:r>
          </w:p>
        </w:tc>
      </w:tr>
      <w:tr>
        <w:trPr>
          <w:cantSplit w:val="0"/>
          <w:trHeight w:val="13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6">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Macroregion</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7">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Southeast</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8">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0.823 (0.745–0.908)</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9">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1.033 (0.956–1.115)</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A">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1.255 (1.115–1.413)</w:t>
            </w:r>
          </w:p>
        </w:tc>
      </w:tr>
      <w:tr>
        <w:trPr>
          <w:cantSplit w:val="0"/>
          <w:trHeight w:val="13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B">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Macroregion</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C">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South</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D">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0.881 (0.754–1.030)</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E">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1.057 (0.949–1.177)</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7F">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1.200 (0.999–1.440)</w:t>
            </w:r>
          </w:p>
        </w:tc>
      </w:tr>
      <w:tr>
        <w:trPr>
          <w:cantSplit w:val="0"/>
          <w:trHeight w:val="13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80">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Macroregion</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81">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Central-West</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82">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0.678 (0.532–0.863)</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83">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1.084 (0.945–1.245)</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84">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1.600 (1.245–2.057)</w:t>
            </w:r>
          </w:p>
        </w:tc>
      </w:tr>
      <w:tr>
        <w:trPr>
          <w:cantSplit w:val="0"/>
          <w:trHeight w:val="404.2015219634434" w:hRule="atLeast"/>
          <w:tblHeader w:val="0"/>
        </w:trPr>
        <w:tc>
          <w:tcPr>
            <w:gridSpan w:val="5"/>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185">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Legend.</w:t>
            </w:r>
            <w:r w:rsidDel="00000000" w:rsidR="00000000" w:rsidRPr="00000000">
              <w:rPr>
                <w:rFonts w:ascii="Times New Roman" w:cs="Times New Roman" w:eastAsia="Times New Roman" w:hAnsi="Times New Roman"/>
                <w:sz w:val="20"/>
                <w:szCs w:val="20"/>
                <w:rtl w:val="0"/>
              </w:rPr>
              <w:t xml:space="preserve"> The cDRR estimates the cumulative change in firearm-suicide mortality relative to non-firearm suicide during the 36 months after each interruption, compared with a counterfactual in which the corresponding firearm-specific level and slope interactions were set to zero. The I2-to-I1 ratio divides the I2 cDRR by the I1 cDRR. Estimates and two-sided 95% CIs were pooled using Rubin’s rules across all 200 completed datasets. Models retained the national controlled interrupted time-series specification, including the registered interruption dates, two Fourier harmonic pairs, COVID-19 step and pulse indicators, a log-population offset, and calendar-month score–HAC covariance with Bartlett weights and lag 12. Macroregions are presented in standard IBGE geographic order. These analyses were exploratory; no P values, multiplicity adjustment, formal interaction tests, or confirmatory claims were specified. cDRR indicates cumulative differential rate ratio; CI, confidence interval; HAC, heteroskedasticity- and autocorrelation-consistent; IBGE, Brazilian Institute of Geography and Statistics; I1, restrictive shift modelled from January 2004; I2, permissive shift modelled from July 2019. </w:t>
            </w:r>
          </w:p>
        </w:tc>
      </w:tr>
    </w:tbl>
    <w:p w:rsidR="00000000" w:rsidDel="00000000" w:rsidP="00000000" w:rsidRDefault="00000000" w:rsidRPr="00000000" w14:paraId="0000018A">
      <w:pPr>
        <w:spacing w:after="0" w:before="0"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B">
      <w:pPr>
        <w:spacing w:after="0" w:before="0" w:line="276" w:lineRule="auto"/>
        <w:rPr>
          <w:rFonts w:ascii="Times New Roman" w:cs="Times New Roman" w:eastAsia="Times New Roman" w:hAnsi="Times New Roman"/>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8C">
      <w:pPr>
        <w:spacing w:after="0" w:before="0" w:line="276" w:lineRule="auto"/>
        <w:rPr>
          <w:rFonts w:ascii="Times New Roman" w:cs="Times New Roman" w:eastAsia="Times New Roman" w:hAnsi="Times New Roman"/>
          <w:sz w:val="20"/>
          <w:szCs w:val="20"/>
        </w:rPr>
      </w:pPr>
      <w:r w:rsidDel="00000000" w:rsidR="00000000" w:rsidRPr="00000000">
        <w:rPr>
          <w:rtl w:val="0"/>
        </w:rPr>
      </w:r>
    </w:p>
    <w:tbl>
      <w:tblPr>
        <w:tblStyle w:val="Table8"/>
        <w:tblW w:w="942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5"/>
        <w:gridCol w:w="1925"/>
        <w:gridCol w:w="5300"/>
        <w:tblGridChange w:id="0">
          <w:tblGrid>
            <w:gridCol w:w="2195"/>
            <w:gridCol w:w="1925"/>
            <w:gridCol w:w="5300"/>
          </w:tblGrid>
        </w:tblGridChange>
      </w:tblGrid>
      <w:tr>
        <w:trPr>
          <w:cantSplit w:val="0"/>
          <w:trHeight w:val="30" w:hRule="atLeast"/>
          <w:tblHeader w:val="0"/>
        </w:trPr>
        <w:tc>
          <w:tcPr>
            <w:gridSpan w:val="3"/>
            <w:tcBorders>
              <w:top w:color="000000" w:space="0" w:sz="0" w:val="nil"/>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8D">
            <w:pPr>
              <w:pStyle w:val="Heading1"/>
              <w:spacing w:after="0" w:before="0" w:line="276" w:lineRule="auto"/>
              <w:rPr>
                <w:sz w:val="20"/>
                <w:szCs w:val="20"/>
              </w:rPr>
            </w:pPr>
            <w:bookmarkStart w:colFirst="0" w:colLast="0" w:name="_heading=h.u1eh3p65yzzx" w:id="22"/>
            <w:bookmarkEnd w:id="22"/>
            <w:r w:rsidDel="00000000" w:rsidR="00000000" w:rsidRPr="00000000">
              <w:rPr>
                <w:sz w:val="20"/>
                <w:szCs w:val="20"/>
                <w:rtl w:val="0"/>
              </w:rPr>
              <w:t xml:space="preserve">Supplementary Table S</w:t>
            </w:r>
            <w:r w:rsidDel="00000000" w:rsidR="00000000" w:rsidRPr="00000000">
              <w:rPr>
                <w:rtl w:val="0"/>
              </w:rPr>
              <w:t xml:space="preserve">7</w:t>
            </w:r>
            <w:r w:rsidDel="00000000" w:rsidR="00000000" w:rsidRPr="00000000">
              <w:rPr>
                <w:sz w:val="20"/>
                <w:szCs w:val="20"/>
                <w:rtl w:val="0"/>
              </w:rPr>
              <w:t xml:space="preserve">. Exploratory controlled interrupted time-series estimates for the August 2023 restrictive reversal, Brazil, August–December 2023 </w:t>
            </w:r>
          </w:p>
        </w:tc>
      </w:tr>
      <w:tr>
        <w:trPr>
          <w:cantSplit w:val="0"/>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0">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Estimand</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1">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Estimate (95% CI)</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2">
            <w:pPr>
              <w:spacing w:after="0" w:before="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Interpretation</w:t>
            </w:r>
            <w:r w:rsidDel="00000000" w:rsidR="00000000" w:rsidRPr="00000000">
              <w:rPr>
                <w:rtl w:val="0"/>
              </w:rPr>
            </w:r>
          </w:p>
        </w:tc>
      </w:tr>
      <w:tr>
        <w:trPr>
          <w:cantSplit w:val="0"/>
          <w:trHeight w:val="116.6057867145901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3">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Five-month cDRR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4">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1.056 (0.991–1.126)</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5">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Cumulative firearm-specific differential rate ratio during August–December 2023</w:t>
            </w:r>
          </w:p>
        </w:tc>
      </w:tr>
      <w:tr>
        <w:trPr>
          <w:cantSplit w:val="0"/>
          <w:trHeight w:val="194.72689179895497"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6">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Immediate level-change RR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7">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1.032 (0.958–1.111)</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8">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Immediate firearm-specific differential change in August 2023</w:t>
            </w:r>
          </w:p>
        </w:tc>
      </w:tr>
      <w:tr>
        <w:trPr>
          <w:cantSplit w:val="0"/>
          <w:trHeight w:val="194.72689179895497"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9">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Monthly slope-change RR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A">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1.0115 (0.9844–1.0393)</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vAlign w:val="center"/>
          </w:tcPr>
          <w:p w:rsidR="00000000" w:rsidDel="00000000" w:rsidP="00000000" w:rsidRDefault="00000000" w:rsidRPr="00000000" w14:paraId="0000019B">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Multiplicative firearm-specific differential change per subsequent month</w:t>
            </w:r>
          </w:p>
        </w:tc>
      </w:tr>
      <w:tr>
        <w:trPr>
          <w:cantSplit w:val="0"/>
          <w:trHeight w:val="800" w:hRule="atLeast"/>
          <w:tblHeader w:val="0"/>
        </w:trPr>
        <w:tc>
          <w:tcPr>
            <w:gridSpan w:val="3"/>
            <w:tcBorders>
              <w:top w:color="000000" w:space="0" w:sz="8" w:val="single"/>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19C">
            <w:pPr>
              <w:spacing w:after="0" w:before="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Legend.</w:t>
            </w:r>
            <w:r w:rsidDel="00000000" w:rsidR="00000000" w:rsidRPr="00000000">
              <w:rPr>
                <w:rFonts w:ascii="Times New Roman" w:cs="Times New Roman" w:eastAsia="Times New Roman" w:hAnsi="Times New Roman"/>
                <w:sz w:val="20"/>
                <w:szCs w:val="20"/>
                <w:rtl w:val="0"/>
              </w:rPr>
              <w:t xml:space="preserve"> The national controlled model was augmented with level and slope terms beginning in August 2023, following Decreto nº 11.615 of 21 July 2023. The five-month cDRR compares model-implied firearm-suicide mortality during August–December 2023 with a counterfactual in which only the firearm-specific August 2023 level and slope interactions were set to zero. Level- and slope-change RRs are exponentiated firearm-by-interruption interaction coefficients and therefore represent changes relative to non-firearm suicide. Estimates and two-sided 95% CIs were pooled using Rubin’s rules across 200 completed datasets, using calendar-month score–HAC covariance with Bartlett weights and lag 12 and 10,000 coefficient draws per imputation. Because only five postinterruption months were available, this was an exploratory short-follow-up sensitivity analysis; no P values, multiplicity adjustment, confirmatory decision, or entry into the gatekeeping sequence was specified. cDRR indicates cumulative differential rate ratio; CI, confidence interval; HAC, heteroskedasticity- and autocorrelation-consistent; RR, rate ratio. </w:t>
            </w:r>
          </w:p>
        </w:tc>
      </w:tr>
    </w:tbl>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type w:val="nextPage"/>
      <w:pgSz w:h="16838" w:w="11906"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76" w:lineRule="auto"/>
    </w:pPr>
    <w:rPr>
      <w:rFonts w:ascii="Times New Roman" w:cs="Times New Roman" w:eastAsia="Times New Roman" w:hAnsi="Times New Roman"/>
      <w:b w:val="1"/>
      <w:bCs w:val="1"/>
      <w:sz w:val="20"/>
      <w:szCs w:val="20"/>
    </w:rPr>
  </w:style>
  <w:style w:type="paragraph" w:styleId="Heading2">
    <w:name w:val="heading 2"/>
    <w:basedOn w:val="Normal"/>
    <w:next w:val="Normal"/>
    <w:pPr>
      <w:keepNext w:val="1"/>
      <w:keepLines w:val="1"/>
      <w:spacing w:line="276" w:lineRule="auto"/>
    </w:pPr>
    <w:rPr>
      <w:rFonts w:ascii="Times New Roman" w:cs="Times New Roman" w:eastAsia="Times New Roman" w:hAnsi="Times New Roman"/>
      <w:b w:val="1"/>
      <w:bCs w:val="1"/>
      <w:i w:val="1"/>
      <w:iCs w:val="1"/>
      <w:sz w:val="20"/>
      <w:szCs w:val="20"/>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jc w:val="center"/>
    </w:pPr>
    <w:rPr>
      <w:rFonts w:ascii="Times New Roman" w:cs="Times New Roman" w:eastAsia="Times New Roman" w:hAnsi="Times New Roman"/>
      <w:b w:val="1"/>
      <w:bCs w:val="1"/>
      <w:sz w:val="20"/>
      <w:szCs w:val="20"/>
      <w:highlight w:val="white"/>
    </w:rPr>
  </w:style>
  <w:style w:type="paragraph" w:styleId="Title">
    <w:name w:val="Title"/>
    <w:basedOn w:val="Normal"/>
    <w:next w:val="Normal"/>
    <w:pPr>
      <w:keepNext w:val="1"/>
      <w:keepLines w:val="1"/>
      <w:spacing w:line="249.60000000000002" w:lineRule="auto"/>
    </w:pPr>
    <w:rPr>
      <w:rFonts w:ascii="Times New Roman" w:cs="Times New Roman" w:eastAsia="Times New Roman" w:hAnsi="Times New Roman"/>
      <w:b w:val="1"/>
      <w:bCs w:val="1"/>
      <w:sz w:val="24"/>
      <w:szCs w:val="24"/>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d3cH/KSLSzF3fmqHOmUUajjV6w==">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