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line="240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Supplementary Table S3. Missingness profile and variable handling</w:t>
      </w:r>
    </w:p>
    <w:p>
      <w:pPr>
        <w:spacing w:after="80" w:line="240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18"/>
          <w:szCs w:val="18"/>
        </w:rPr>
        <w:t xml:space="preserve">A. Missingness of final model variables in the analysis cohorts</w:t>
      </w:r>
    </w:p>
    <w:tbl>
      <w:tblPr>
        <w:tblW w:type="dxa" w:w="10368"/>
        <w:tblBorders>
          <w:top w:val="single" w:color="000000" w:sz="14"/>
          <w:left w:val="none" w:color="auto" w:sz="0"/>
          <w:bottom w:val="single" w:color="000000" w:sz="14"/>
          <w:right w:val="none" w:color="auto" w:sz="0"/>
          <w:insideH w:val="none" w:color="auto" w:sz="0"/>
          <w:insideV w:val="none" w:color="auto" w:sz="0"/>
        </w:tblBorders>
      </w:tblPr>
      <w:tblGrid>
        <w:gridCol w:w="1500"/>
        <w:gridCol w:w="1400"/>
        <w:gridCol w:w="1900"/>
        <w:gridCol w:w="1500"/>
        <w:gridCol w:w="1568"/>
        <w:gridCol w:w="2500"/>
      </w:tblGrid>
      <w:tr>
        <w:trPr>
          <w:tblHeader/>
        </w:trPr>
        <w:tc>
          <w:tcPr>
            <w:tcW w:type="dxa" w:w="1500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Variable</w:t>
            </w:r>
          </w:p>
        </w:tc>
        <w:tc>
          <w:tcPr>
            <w:tcW w:type="dxa" w:w="1400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Analysis variable</w:t>
            </w:r>
          </w:p>
        </w:tc>
        <w:tc>
          <w:tcPr>
            <w:tcW w:type="dxa" w:w="1900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MIMIC final cohort missing (pre-imputation), n (%)</w:t>
            </w:r>
          </w:p>
        </w:tc>
        <w:tc>
          <w:tcPr>
            <w:tcW w:type="dxa" w:w="1500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Linyi raw cohort missing, n (%)</w:t>
            </w:r>
          </w:p>
        </w:tc>
        <w:tc>
          <w:tcPr>
            <w:tcW w:type="dxa" w:w="1568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Linyi after cleaning missing, n (%)</w:t>
            </w:r>
          </w:p>
        </w:tc>
        <w:tc>
          <w:tcPr>
            <w:tcW w:type="dxa" w:w="2500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Handling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Sex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gender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0/809 (0.0)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for modeling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Age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admission_age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0/809 (0.0)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for modeling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Prior heart failure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heartfailure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0/809 (0.0)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for modeling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Coronary artery disease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cad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0/809 (0.0)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for modeling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Diabetes mellitus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diabetes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0/809 (0.0)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for modeling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COPD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COPD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0/809 (0.0)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for modeling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SOFA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sofa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0/809 (0.0)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23/235 (9.8)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for modeling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Lactate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lactate_value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203/809 (25.1)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8/235 (3.4)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for modeling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ln(NT-proBNP)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log_ntprobnp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0/809 (0.0)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2/235 (0.9)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Log-transformed and retained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Troponin T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tnt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194/809 (24.0)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for modeling</w:t>
            </w:r>
          </w:p>
        </w:tc>
      </w:tr>
      <w:tr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LVSD outcome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lvsd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0/809 (0.0)</w:t>
            </w:r>
          </w:p>
        </w:tc>
        <w:tc>
          <w:tcPr>
            <w:tcW w:type="dxa" w:w="1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NA</w:t>
            </w:r>
          </w:p>
        </w:tc>
        <w:tc>
          <w:tcPr>
            <w:tcW w:type="dxa" w:w="15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0/235 (0.0)</w:t>
            </w:r>
          </w:p>
        </w:tc>
        <w:tc>
          <w:tcPr>
            <w:tcW w:type="dxa" w:w="25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Outcome definition</w:t>
            </w:r>
          </w:p>
        </w:tc>
      </w:tr>
    </w:tbl>
    <w:p>
      <w:pPr>
        <w:spacing w:after="80" w:before="280" w:line="240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18"/>
          <w:szCs w:val="18"/>
        </w:rPr>
        <w:t>B. Variable-level missingness at the Figure 1 missing-data screening stage</w:t>
      </w:r>
    </w:p>
    <w:tbl>
      <w:tblPr>
        <w:tblW w:type="dxa" w:w="10368"/>
        <w:tblBorders>
          <w:top w:val="single" w:color="000000" w:sz="14"/>
          <w:left w:val="none" w:color="auto" w:sz="0"/>
          <w:bottom w:val="single" w:color="000000" w:sz="14"/>
          <w:right w:val="none" w:color="auto" w:sz="0"/>
          <w:insideH w:val="none" w:color="auto" w:sz="0"/>
          <w:insideV w:val="none" w:color="auto" w:sz="0"/>
        </w:tblBorders>
      </w:tblPr>
      <w:tblGrid>
        <w:gridCol w:w="1900"/>
        <w:gridCol w:w="1400"/>
        <w:gridCol w:w="1900"/>
        <w:gridCol w:w="5168"/>
      </w:tblGrid>
      <w:tr>
        <w:trPr>
          <w:tblHeader/>
        </w:trPr>
        <w:tc>
          <w:tcPr>
            <w:tcW w:type="dxa" w:w="1900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Extracted variable</w:t>
            </w:r>
          </w:p>
        </w:tc>
        <w:tc>
          <w:tcPr>
            <w:tcW w:type="dxa" w:w="1400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Source column</w:t>
            </w:r>
          </w:p>
        </w:tc>
        <w:tc>
          <w:tcPr>
            <w:tcW w:type="dxa" w:w="1900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MIMIC phenotype-eligible cohort missing, n (%)</w:t>
            </w:r>
          </w:p>
        </w:tc>
        <w:tc>
          <w:tcPr>
            <w:tcW w:type="dxa" w:w="5168"/>
            <w:tcBorders>
              <w:left w:val="none" w:color="auto" w:sz="0"/>
              <w:bottom w:val="single" w:color="000000" w:sz="6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bottom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16"/>
                <w:szCs w:val="16"/>
              </w:rPr>
              <w:t xml:space="preserve">Handling decision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C-reactive protein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crp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3347/3669 (91.2)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Excluded from candidate modeling because missingness exceeded the prespecified 30% threshold at the Figure 1 missing-data screening stage.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NT-proBNP source field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ntprobnp_value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3265/3669 (89.0)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Raw source field; not used directly in modeling. NT-proBNP was a prespecified cardiac biomarker included among required predictors and was not imputed for cohort inclusion.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Lymphocyte count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lym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2773/3669 (75.6)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Excluded from candidate modeling because missingness exceeded the prespecified 30% threshold at the Figure 1 missing-data screening stage.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Temperature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temperature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2759/3669 (75.2)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Excluded from candidate modeling because missingness exceeded the prespecified 30% threshold at the Figure 1 missing-data screening stage.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NT-proBNP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ntprobnp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2641/3669 (72.0)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Prespecified cardiac biomarker included among required predictors for the final analytic cohort; log-transformed as ln(NT-proBNP) in the final model and not imputed for cohort inclusion.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CK-MB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ck_mb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2519/3669 (68.7)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Excluded from candidate modeling because missingness exceeded the prespecified 30% threshold at the Figure 1 missing-data screening stage.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Troponin T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tnt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1814/3669 (49.4)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Retained after final cohort preprocessing because missingness was below the 30% threshold in the final analytic dataset; reported because screening-stage missingness was high before construction of the final analytic cohort.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Mean blood pressure source field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BpM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1441/3669 (39.3)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Alternative source field; the final model used the cleaned MAP variable.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PEEP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peep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1166/3669 (31.8)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Excluded from candidate modeling because missingness exceeded the prespecified 30% threshold at the Figure 1 missing-data screening stage.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PaO2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PaO2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1011/3669 (27.6)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Not retained in the final model after preprocessing and feature screening; screening-stage missingness was below the 30% threshold.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pH source field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ph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1006/3669 (27.4)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Alternative source field; the final model used minimum pH after preprocessing.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Height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height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939/3669 (25.6)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Not retained in the final model after preprocessing and feature screening; screening-stage missingness was below the 30% threshold.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FiO2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FiO2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901/3669 (24.6)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Not retained in the final model after preprocessing and feature screening; screening-stage missingness was below the 30% threshold.</w:t>
            </w:r>
          </w:p>
        </w:tc>
      </w:tr>
      <w:tr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Lactate</w:t>
            </w:r>
          </w:p>
        </w:tc>
        <w:tc>
          <w:tcPr>
            <w:tcW w:type="dxa" w:w="14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lactate_value</w:t>
            </w:r>
          </w:p>
        </w:tc>
        <w:tc>
          <w:tcPr>
            <w:tcW w:type="dxa" w:w="1900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>725/3669 (19.8)</w:t>
            </w:r>
          </w:p>
        </w:tc>
        <w:tc>
          <w:tcPr>
            <w:tcW w:type="dxa" w:w="5168"/>
            <w:tcBorders>
              <w:left w:val="none" w:color="auto" w:sz="0"/>
              <w:right w:val="none" w:color="auto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Retained in the final model; missingness was below the prespecified 30% threshold in the final analytic dataset.</w:t>
            </w:r>
          </w:p>
        </w:tc>
      </w:tr>
    </w:tbl>
    <w:p>
      <w:pPr>
        <w:spacing w:before="160" w:line="240"/>
        <w:jc w:val="both"/>
      </w:pPr>
      <w:r>
        <w:rPr>
          <w:rFonts w:ascii="Times New Roman" w:hAnsi="Times New Roman" w:eastAsia="Times New Roman"/>
        </w:rPr>
        <w:t>Note. The prespecified exclusion threshold for retained analytic variables was 30% missingness. Panel B uses the Figure 1 denominator of patients with interpretable LVEF available (n = 3669). At the Figure 1 cohort-construction stage, 2860 patients were excluded because one or more required predictors were unavailable, including the prespecified non-imputed NT-proBNP requirement; this yielded the final MIMIC-IV analytic cohort (n = 809). The external validation cohort included 235 patients. Panel A reports pre-imputation missingness in the final analytic cohorts; missing values in retained variables (below the 30% threshold) were subsequently imputed using the mice package (Supplementary Figure S5). Binary comorbidities were recoded using diagnosis records, with absence of a qualifying code treated as absence of the condition rather than missingness. NT-proBNP was a prespecified cardiac biomarker included among required predictors; it was log-transformed as ln(NT-proBNP) in the final model and was not imputed for cohort inclusion. LVSD, left ventricular systolic dysfunction.</w:t>
      </w:r>
    </w:p>
    <w:sectPr>
      <w:pgSz w:w="12240" w:h="15840" w:orient="portrait"/>
      <w:pgMar w:top="1080" w:right="936" w:bottom="1080" w:left="936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16"/>
        <w:szCs w:val="1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2026-05-30T08:58:21.312Z</dcterms:created>
  <dcterms:modified xsi:type="dcterms:W3CDTF">2026-05-30T08:58:21.313Z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