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E0EFD">
      <w:pPr>
        <w:spacing w:after="20"/>
        <w:jc w:val="center"/>
      </w:pPr>
      <w:bookmarkStart w:id="0" w:name="_GoBack"/>
      <w:bookmarkEnd w:id="0"/>
      <w:r>
        <w:rPr>
          <w:rFonts w:ascii="Arial" w:hAnsi="Arial"/>
          <w:b/>
          <w:sz w:val="28"/>
        </w:rPr>
        <w:t>Supplementary Material 3</w:t>
      </w:r>
    </w:p>
    <w:p w14:paraId="25ED4409">
      <w:pPr>
        <w:spacing w:after="100"/>
        <w:jc w:val="center"/>
      </w:pPr>
      <w:r>
        <w:rPr>
          <w:rFonts w:ascii="Arial" w:hAnsi="Arial"/>
          <w:b w:val="0"/>
          <w:i/>
          <w:sz w:val="18"/>
        </w:rPr>
        <w:t>Complete dual-reference analysis with Bonferroni-adjusted p values for all 24 department-by-question-type cells</w:t>
      </w:r>
    </w:p>
    <w:p w14:paraId="188AB24E">
      <w:pPr>
        <w:spacing w:after="80"/>
      </w:pPr>
      <w:r>
        <w:rPr>
          <w:rFonts w:ascii="Arial" w:hAnsi="Arial"/>
          <w:b/>
          <w:sz w:val="16"/>
        </w:rPr>
        <w:t xml:space="preserve">Supplementary Table S1. </w:t>
      </w:r>
      <w:r>
        <w:rPr>
          <w:rFonts w:ascii="Arial" w:hAnsi="Arial"/>
          <w:b w:val="0"/>
          <w:sz w:val="16"/>
        </w:rPr>
        <w:t>For each of the six departments and four question types, the peer reference was the leave-one-department-out mean for the same question type. The AI benchmark was the exact pooled DeepSeek-V4-Pro accuracy: 66/70 A1 items, 75/80 A2 items, 89/101 A3/A4 items, and 27/49 case-analysis items. P values are two-sided one-sample t-tests against the AI benchmark, with Bonferroni adjustment across 24 cells.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1454"/>
        <w:gridCol w:w="1454"/>
        <w:gridCol w:w="1454"/>
        <w:gridCol w:w="1454"/>
        <w:gridCol w:w="1454"/>
        <w:gridCol w:w="1454"/>
        <w:gridCol w:w="1454"/>
        <w:gridCol w:w="1454"/>
        <w:gridCol w:w="1454"/>
      </w:tblGrid>
      <w:tr w14:paraId="2856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56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CF21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Department</w:t>
            </w:r>
          </w:p>
        </w:tc>
        <w:tc>
          <w:tcPr>
            <w:tcW w:w="2131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E70A4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Question type</w:t>
            </w:r>
          </w:p>
        </w:tc>
        <w:tc>
          <w:tcPr>
            <w:tcW w:w="461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72E31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n</w:t>
            </w:r>
          </w:p>
        </w:tc>
        <w:tc>
          <w:tcPr>
            <w:tcW w:w="792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2A928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Mean, %</w:t>
            </w:r>
          </w:p>
        </w:tc>
        <w:tc>
          <w:tcPr>
            <w:tcW w:w="893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9B1C6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Delta peer, pp</w:t>
            </w:r>
          </w:p>
        </w:tc>
        <w:tc>
          <w:tcPr>
            <w:tcW w:w="806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92C6A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Delta AI, pp</w:t>
            </w:r>
          </w:p>
        </w:tc>
        <w:tc>
          <w:tcPr>
            <w:tcW w:w="965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75B7B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t (df)</w:t>
            </w:r>
          </w:p>
        </w:tc>
        <w:tc>
          <w:tcPr>
            <w:tcW w:w="950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6FE6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Raw p</w:t>
            </w:r>
          </w:p>
        </w:tc>
        <w:tc>
          <w:tcPr>
            <w:tcW w:w="1080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F3F3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Bonferroni p</w:t>
            </w:r>
          </w:p>
        </w:tc>
        <w:tc>
          <w:tcPr>
            <w:tcW w:w="1915" w:type="dxa"/>
            <w:shd w:val="clear" w:color="auto" w:fill="1F4E7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7514A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Candidate status; Bonferroni met</w:t>
            </w:r>
          </w:p>
        </w:tc>
      </w:tr>
      <w:tr w14:paraId="416A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D60B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Surgery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DA45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A1 (Basic knowledge)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83A1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98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30E7A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77.1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CB7E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-6.9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F42CC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-17.2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9634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-13.28 (97)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F895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42A0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B0FB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Critical; Yes</w:t>
            </w:r>
          </w:p>
        </w:tc>
      </w:tr>
      <w:tr w14:paraId="239E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6C93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Surgery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76DC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A2 (Case-based)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DD52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98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AA04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84.6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4545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-3.5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723A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-9.1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E6B1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-10.14 (97)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6716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BBE2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E7AE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High; Yes</w:t>
            </w:r>
          </w:p>
        </w:tc>
      </w:tr>
      <w:tr w14:paraId="5134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9437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Surgery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64D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A3/A4 (Case series)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54DCC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98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0D74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84.8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20FD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-3.0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5698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-3.3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11ED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-3.94 (97)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124B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0.0002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7F90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0.004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CCE2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Moderate; Yes</w:t>
            </w:r>
          </w:p>
        </w:tc>
      </w:tr>
      <w:tr w14:paraId="223C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70D8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Surgery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3DDA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Case analysis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2965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98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2C8C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51.2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2E1A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-8.6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F3F01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-3.9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9456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-1.72 (97)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8557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0.0893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2EA5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B8C3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Moderate; No</w:t>
            </w:r>
          </w:p>
        </w:tc>
      </w:tr>
      <w:tr w14:paraId="58DC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EC95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Anesthesiology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84AA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A1 (Basic knowledge)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10B7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31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27FB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78.7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3991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-4.1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D928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-15.6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6AEB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-6.69 (30)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69EE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48D4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073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Critical; Yes</w:t>
            </w:r>
          </w:p>
        </w:tc>
      </w:tr>
      <w:tr w14:paraId="4A80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419F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Anesthesiology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A50B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A2 (Case-based)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6474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31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EC57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87.2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D2DB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-0.1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63C3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-6.5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1D35A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-4.38 (30)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CF56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0.0001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D76F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0.003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FFC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High; Yes</w:t>
            </w:r>
          </w:p>
        </w:tc>
      </w:tr>
      <w:tr w14:paraId="52AF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668A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Anesthesiology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49CF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A3/A4 (Case series)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DB95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31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80A5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84.6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8E5E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-2.7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545F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-3.5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1507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-2.13 (30)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112F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0.0417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7D81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8E43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Moderate; No</w:t>
            </w:r>
          </w:p>
        </w:tc>
      </w:tr>
      <w:tr w14:paraId="7C86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E4D0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Anesthesiology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10A9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Case analysis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C710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31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E18C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48.0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B47D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-10.6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ACDC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-7.1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4DEDF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-2.40 (30)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05A8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0.0229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72C4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0.549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C3DB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High; No</w:t>
            </w:r>
          </w:p>
        </w:tc>
      </w:tr>
      <w:tr w14:paraId="7CA6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FBBF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Other Clinical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1178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A1 (Basic knowledge)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EC9F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78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49FD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81.8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F4B0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-0.7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A870F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-12.4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A6BFF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-9.28 (77)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A13D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F43AF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D25A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Critical; Yes</w:t>
            </w:r>
          </w:p>
        </w:tc>
      </w:tr>
      <w:tr w14:paraId="22437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E144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Other Clinical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C789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A2 (Case-based)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5C27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78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C5FF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88.0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5CD9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+0.8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FDB3F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-5.8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4CEE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-5.77 (77)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DD31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78AE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6A6F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3DB47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86DB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Other Clinical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3574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A3/A4 (Case series)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9816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78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1C46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88.4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5AF9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+1.6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E484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+0.3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BA06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0.36 (77)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2475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0.7182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3589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9955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02CDA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D892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Other Clinical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F131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Case analysis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9CC3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78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3CBB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62.7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4C1B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+6.1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E724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+7.6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5A5D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3.05 (77)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E220A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0.0031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DC7B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0.075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1BAD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48DA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C886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Orthopedics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BAAB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A1 (Basic knowledge)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AC3A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29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D5E7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82.1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7AA6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-0.3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734D1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-12.2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63F7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-6.11 (28)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E842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91191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27F4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Critical; Yes</w:t>
            </w:r>
          </w:p>
        </w:tc>
      </w:tr>
      <w:tr w14:paraId="6D862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85A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Orthopedics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C565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A2 (Case-based)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1550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29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64BC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88.4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41DB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+1.2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0C6F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-5.3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5397C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-2.96 (28)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8440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0.0062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EA37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0.149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67CE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1D27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A8BE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Orthopedics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8299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A3/A4 (Case series)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BD58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29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1D53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87.7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11C0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+0.6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EBB7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-0.4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721B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-0.25 (28)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CF4D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0.8063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FF47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7040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4ED04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AD4C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Orthopedics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9EB7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Case analysis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CDEA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29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B36B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62.7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AAB1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+5.2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EC26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+7.6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DE48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1.44 (28)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A67D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0.1606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4E9C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432D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33F1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25D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 Care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088A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A1 (Basic knowledge)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F5F9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20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0992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85.5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E9A3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+3.3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1F8B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-8.8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2F4E1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-4.91 (19)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B517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0136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0.002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2F16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13988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6ABB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 Care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BBDE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A2 (Case-based)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9883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20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A612A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83.4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2E83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-4.1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05FF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-10.3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1285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-4.84 (19)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8DE9F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0.0001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B109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0.003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3611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Critical; Yes</w:t>
            </w:r>
          </w:p>
        </w:tc>
      </w:tr>
      <w:tr w14:paraId="76754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AD17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 Care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A586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A3/A4 (Case series)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9F8B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20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950A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86.4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D5CB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-0.8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EEFC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-1.8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F24A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-1.00 (19)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62BE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0.3322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63E4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971D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Moderate; No</w:t>
            </w:r>
          </w:p>
        </w:tc>
      </w:tr>
      <w:tr w14:paraId="14052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DE0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Critical Care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DD62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Case analysis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F6D8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20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4104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51.7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DCC7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-6.4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3713C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-3.4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3D8F3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-0.74 (19)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1E6F2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0.4705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EBA6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FE00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Moderate; No</w:t>
            </w:r>
          </w:p>
        </w:tc>
      </w:tr>
      <w:tr w14:paraId="0EB4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8717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Internal Medicine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E42B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A1 (Basic knowledge)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EC50B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156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2D8E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86.4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CB7F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+6.4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C28E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-7.9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5FBC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-8.90 (155)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D5DB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95B2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5EBA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21B3C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A681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Internal Medicine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3087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A2 (Case-based)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DA5D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156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D288C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89.0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694D4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+2.7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D251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-4.8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2DAA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-7.01 (155)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06010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&lt;0.0001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D0ED5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&lt;0.001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7C3C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3AD90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930E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Internal Medicine</w:t>
            </w:r>
          </w:p>
        </w:tc>
        <w:tc>
          <w:tcPr>
            <w:tcW w:w="21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7721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A3/A4 (Case series)</w:t>
            </w:r>
          </w:p>
        </w:tc>
        <w:tc>
          <w:tcPr>
            <w:tcW w:w="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9331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156</w:t>
            </w:r>
          </w:p>
        </w:tc>
        <w:tc>
          <w:tcPr>
            <w:tcW w:w="7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361E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88.5</w:t>
            </w:r>
          </w:p>
        </w:tc>
        <w:tc>
          <w:tcPr>
            <w:tcW w:w="8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D7A96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+2.1</w:t>
            </w:r>
          </w:p>
        </w:tc>
        <w:tc>
          <w:tcPr>
            <w:tcW w:w="8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95339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+0.3</w:t>
            </w:r>
          </w:p>
        </w:tc>
        <w:tc>
          <w:tcPr>
            <w:tcW w:w="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0F35C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0.56 (155)</w:t>
            </w:r>
          </w:p>
        </w:tc>
        <w:tc>
          <w:tcPr>
            <w:tcW w:w="95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ED1A8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0.5761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4068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1.000</w:t>
            </w:r>
          </w:p>
        </w:tc>
        <w:tc>
          <w:tcPr>
            <w:tcW w:w="191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67C1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  <w:tr w14:paraId="18755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811C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Internal Medicine</w:t>
            </w:r>
          </w:p>
        </w:tc>
        <w:tc>
          <w:tcPr>
            <w:tcW w:w="213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3EC0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Case analysis</w:t>
            </w:r>
          </w:p>
        </w:tc>
        <w:tc>
          <w:tcPr>
            <w:tcW w:w="461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947E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156</w:t>
            </w:r>
          </w:p>
        </w:tc>
        <w:tc>
          <w:tcPr>
            <w:tcW w:w="792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ADE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61.3</w:t>
            </w:r>
          </w:p>
        </w:tc>
        <w:tc>
          <w:tcPr>
            <w:tcW w:w="893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DA0D7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+5.6</w:t>
            </w:r>
          </w:p>
        </w:tc>
        <w:tc>
          <w:tcPr>
            <w:tcW w:w="806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C45E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+6.2</w:t>
            </w:r>
          </w:p>
        </w:tc>
        <w:tc>
          <w:tcPr>
            <w:tcW w:w="96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E23B1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3.75 (155)</w:t>
            </w:r>
          </w:p>
        </w:tc>
        <w:tc>
          <w:tcPr>
            <w:tcW w:w="95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E490D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0.0003</w:t>
            </w:r>
          </w:p>
        </w:tc>
        <w:tc>
          <w:tcPr>
            <w:tcW w:w="1080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523AE"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sz w:val="13"/>
              </w:rPr>
              <w:t>0.006</w:t>
            </w:r>
          </w:p>
        </w:tc>
        <w:tc>
          <w:tcPr>
            <w:tcW w:w="1915" w:type="dxa"/>
            <w:shd w:val="clear" w:color="auto" w:fill="EAF2F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8EA2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3"/>
              </w:rPr>
              <w:t>Not candidate</w:t>
            </w:r>
          </w:p>
        </w:tc>
      </w:tr>
    </w:tbl>
    <w:p w14:paraId="2482DAAF">
      <w:pPr>
        <w:spacing w:before="60" w:after="20"/>
      </w:pPr>
      <w:r>
        <w:rPr>
          <w:rFonts w:ascii="Arial" w:hAnsi="Arial"/>
          <w:b/>
          <w:i/>
          <w:sz w:val="14"/>
        </w:rPr>
        <w:t xml:space="preserve">Note. </w:t>
      </w:r>
      <w:r>
        <w:rPr>
          <w:rFonts w:ascii="Arial" w:hAnsi="Arial"/>
          <w:b w:val="0"/>
          <w:i/>
          <w:sz w:val="14"/>
        </w:rPr>
        <w:t>Delta peer = department mean minus leave-one-department-out peer mean; Delta AI = department mean minus exact pooled AI benchmark. A dual-reference candidate cell was below both references. Severity was classified from Delta AI: Critical &lt;= -10 percentage points, High &gt; -10 to &lt;= -5, and Moderate &gt; -5 to &lt; 0. “Yes” indicates Bonferroni-adjusted p &lt; 0.05 (equivalent to raw p &lt; 0.05/24 = 0.0021).</w:t>
      </w:r>
    </w:p>
    <w:sectPr>
      <w:pgSz w:w="15840" w:h="12240" w:orient="landscape"/>
      <w:pgMar w:top="648" w:right="648" w:bottom="648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2F5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502</Words>
  <Characters>2695</Characters>
  <Lines>0</Lines>
  <Paragraphs>0</Paragraphs>
  <TotalTime>1</TotalTime>
  <ScaleCrop>false</ScaleCrop>
  <LinksUpToDate>false</LinksUpToDate>
  <CharactersWithSpaces>2943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一加一</cp:lastModifiedBy>
  <dcterms:modified xsi:type="dcterms:W3CDTF">2026-07-21T14:43:10Z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EEDEA57549894C2F95D98D5870ECDD10_13</vt:lpwstr>
  </property>
</Properties>
</file>