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9C0F3">
      <w:pPr>
        <w:jc w:val="center"/>
      </w:pPr>
      <w:bookmarkStart w:id="0" w:name="_GoBack"/>
      <w:bookmarkEnd w:id="0"/>
      <w:r>
        <w:rPr>
          <w:rFonts w:ascii="Times New Roman" w:hAnsi="Times New Roman" w:eastAsia="Times New Roman"/>
          <w:b/>
          <w:color w:val="1F4E79"/>
          <w:sz w:val="32"/>
        </w:rPr>
        <w:t>STROBE Checklist for Cross-sectional Studies</w:t>
      </w:r>
    </w:p>
    <w:p w14:paraId="43000030">
      <w:pPr>
        <w:jc w:val="center"/>
      </w:pPr>
      <w:r>
        <w:rPr>
          <w:rFonts w:ascii="Times New Roman" w:hAnsi="Times New Roman" w:eastAsia="Times New Roman"/>
          <w:b/>
          <w:sz w:val="22"/>
        </w:rPr>
        <w:t>AI-Benchmarked Analysis of Department-Specific ICU Exit Exam Performance: A Cross-Sectional Study</w:t>
      </w:r>
    </w:p>
    <w:p w14:paraId="4EA3B555">
      <w:pPr>
        <w:jc w:val="center"/>
      </w:pPr>
      <w:r>
        <w:rPr>
          <w:rFonts w:ascii="Times New Roman" w:hAnsi="Times New Roman"/>
          <w:sz w:val="24"/>
        </w:rPr>
        <w:t>Target journal: BMC Medical Education | Article type: Research Article | Study design: Cross-sectional comparative study</w:t>
      </w:r>
    </w:p>
    <w:p w14:paraId="17759EED">
      <w:pPr>
        <w:spacing w:before="80" w:after="160"/>
      </w:pPr>
      <w:r>
        <w:rPr>
          <w:rFonts w:ascii="Times New Roman" w:hAnsi="Times New Roman" w:eastAsia="Times New Roman"/>
          <w:b/>
          <w:sz w:val="18"/>
        </w:rPr>
        <w:t xml:space="preserve">Completion note. </w:t>
      </w:r>
      <w:r>
        <w:rPr>
          <w:rFonts w:ascii="Times New Roman" w:hAnsi="Times New Roman" w:eastAsia="Times New Roman"/>
          <w:sz w:val="18"/>
        </w:rPr>
        <w:t>This completed checklist follows the STROBE cross-sectional-study checklist. Locations identify manuscript sections rather than page numbers because the manuscript is submitted in editable format.</w:t>
      </w: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8"/>
        <w:gridCol w:w="3408"/>
        <w:gridCol w:w="3408"/>
      </w:tblGrid>
      <w:tr w14:paraId="168EF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65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1F4E79"/>
          </w:tcPr>
          <w:p w14:paraId="32139BD8"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Item</w:t>
            </w:r>
          </w:p>
        </w:tc>
        <w:tc>
          <w:tcPr>
            <w:tcW w:w="355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1F4E79"/>
          </w:tcPr>
          <w:p w14:paraId="0B4C250D"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STROBE recommendation</w:t>
            </w:r>
          </w:p>
        </w:tc>
        <w:tc>
          <w:tcPr>
            <w:tcW w:w="516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1F4E79"/>
          </w:tcPr>
          <w:p w14:paraId="5199DF94"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Location in manuscript / completion statement</w:t>
            </w:r>
          </w:p>
        </w:tc>
      </w:tr>
      <w:tr w14:paraId="14660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E2F3"/>
          </w:tcPr>
          <w:p w14:paraId="03A5BD86">
            <w:r>
              <w:rPr>
                <w:rFonts w:ascii="Times New Roman" w:hAnsi="Times New Roman" w:eastAsia="Times New Roman"/>
                <w:b/>
                <w:color w:val="1F4E79"/>
                <w:sz w:val="18"/>
              </w:rPr>
              <w:t>Title and abstract</w:t>
            </w:r>
          </w:p>
        </w:tc>
      </w:tr>
      <w:tr w14:paraId="0AF08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7D661152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1a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5F758CCC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Indicate the study design with a commonly used term in the title or abstract.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067BF7D4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Title: "A Cross-Sectional Study"; structured abstract, Methods.</w:t>
            </w:r>
          </w:p>
        </w:tc>
      </w:tr>
      <w:tr w14:paraId="44D3F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64F23EDE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1b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03676FB6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Provide an informative and balanced summary of what was done and what was found.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0001264C">
            <w:r>
              <w:rPr>
                <w:rFonts w:ascii="Times New Roman" w:hAnsi="Times New Roman"/>
                <w:sz w:val="18"/>
              </w:rPr>
              <w:t>Structured abstract (Background, Methods, Results, Conclusions) reports the design, sample, exploratory pooled AI comparison, adjusted department estimates, and cautious interpretation.</w:t>
            </w:r>
          </w:p>
        </w:tc>
      </w:tr>
      <w:tr w14:paraId="20D42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E2F3"/>
          </w:tcPr>
          <w:p w14:paraId="1BC06871">
            <w:r>
              <w:rPr>
                <w:rFonts w:ascii="Times New Roman" w:hAnsi="Times New Roman" w:eastAsia="Times New Roman"/>
                <w:b/>
                <w:color w:val="1F4E79"/>
                <w:sz w:val="18"/>
              </w:rPr>
              <w:t>Introduction</w:t>
            </w:r>
          </w:p>
        </w:tc>
      </w:tr>
      <w:tr w14:paraId="2CA2D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1C9D46FC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2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7D68657E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Explain the scientific background and rationale for the investigation.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40C0415A">
            <w:r>
              <w:rPr>
                <w:rFonts w:ascii="Times New Roman" w:hAnsi="Times New Roman"/>
                <w:sz w:val="18"/>
              </w:rPr>
              <w:t>Background, paragraphs 1–3: rationale for institution-specific ICU exit assessment, department-associated performance differences, and exploratory AI benchmarking.</w:t>
            </w:r>
          </w:p>
        </w:tc>
      </w:tr>
      <w:tr w14:paraId="16416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5925857F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3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08BAD0CE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State specific objectives, including any prespecified hypotheses.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6D9C9D72">
            <w:r>
              <w:rPr>
                <w:rFonts w:ascii="Times New Roman" w:hAnsi="Times New Roman"/>
                <w:sz w:val="18"/>
              </w:rPr>
              <w:t>Background: RQ1–RQ3 state the AI comparison, adjusted department comparison, and dual-reference objective.</w:t>
            </w:r>
          </w:p>
        </w:tc>
      </w:tr>
      <w:tr w14:paraId="2CD25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E2F3"/>
          </w:tcPr>
          <w:p w14:paraId="32A594FF">
            <w:r>
              <w:rPr>
                <w:rFonts w:ascii="Times New Roman" w:hAnsi="Times New Roman" w:eastAsia="Times New Roman"/>
                <w:b/>
                <w:color w:val="1F4E79"/>
                <w:sz w:val="18"/>
              </w:rPr>
              <w:t>Methods</w:t>
            </w:r>
          </w:p>
        </w:tc>
      </w:tr>
      <w:tr w14:paraId="631E0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3DE4057C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4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74FE85EC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Present key elements of study design early in the paper.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709B2559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Methods—Study Design and Setting: cross-sectional comparative study with AI evaluation and resident-performance analysis.</w:t>
            </w:r>
          </w:p>
        </w:tc>
      </w:tr>
      <w:tr w14:paraId="677CF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6AAEC877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5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6981A460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Describe the setting, locations, and relevant dates, including periods of recruitment, exposure, follow-up, and data collection.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47AB8CA5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Methods—Study Design and Setting; Resident Participants: single tertiary academic medical centre; ICU rotations from November 2025 to April 2026; model testing June 20–21, 2026.</w:t>
            </w:r>
          </w:p>
        </w:tc>
      </w:tr>
      <w:tr w14:paraId="39CE2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041BD5D5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6a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3C5ABA5B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Give eligibility criteria and the sources and methods of selection of participants.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72379A04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Methods—Resident Participants: 437 records assessed; first/lowest-PGY record retained for each resident, yielding 412 independent resident-level records.</w:t>
            </w:r>
          </w:p>
        </w:tc>
      </w:tr>
      <w:tr w14:paraId="4F104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3C1D47AE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6b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752A2B26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For matched studies, give matching criteria and number of exposed and unexposed participants.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27CE2B69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Not applicable: no matched design was used.</w:t>
            </w:r>
          </w:p>
        </w:tc>
      </w:tr>
      <w:tr w14:paraId="1F93C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61CA2D0F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7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657219B0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Clearly define all outcomes, exposures, predictors, potential confounders, and effect modifiers.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7299D489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Methods—Examination Materials; Statistical Analysis: accuracy outcomes, department, exam version, question type, AI benchmark, and dual-gap thresholds are defined.</w:t>
            </w:r>
          </w:p>
        </w:tc>
      </w:tr>
      <w:tr w14:paraId="3B68C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432CF32B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8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3FAD03C0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For each variable of interest, give sources of data and details of methods of assessment; describe comparability of assessment methods if more than one group.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7ACF6600">
            <w:r>
              <w:rPr>
                <w:rFonts w:ascii="Times New Roman" w:hAnsi="Times New Roman"/>
                <w:sz w:val="18"/>
              </w:rPr>
              <w:t>Methods—Examination Materials and DeepSeek Testing Protocol: three examination forms, exact pooled item counts, item domains, psychometric properties, standardized prompt, direct answer-key comparison, and researcher cross-check.</w:t>
            </w:r>
          </w:p>
        </w:tc>
      </w:tr>
      <w:tr w14:paraId="4EA5A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02A40739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9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179BD669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Describe any efforts to address potential sources of bias.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4731BB9B">
            <w:r>
              <w:rPr>
                <w:rFonts w:ascii="Times New Roman" w:hAnsi="Times New Roman"/>
                <w:sz w:val="18"/>
              </w:rPr>
              <w:t>Methods—Potential Sources of Bias and Statistical Analysis: standardized testing, additive examination-version adjustment, within-version sensitivity analysis, and explicit residual confounding and form-matching limitations.</w:t>
            </w:r>
          </w:p>
        </w:tc>
      </w:tr>
      <w:tr w14:paraId="1C2D6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7348962C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10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01B46387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Explain how the study size was arrived at.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31F5DFC5">
            <w:r>
              <w:rPr>
                <w:rFonts w:ascii="Times New Roman" w:hAnsi="Times New Roman"/>
                <w:sz w:val="18"/>
              </w:rPr>
              <w:t>Methods—Resident Participants: all 437 available records in the defined period were reviewed; deduplication yielded an analytic census of 412 residents.</w:t>
            </w:r>
          </w:p>
        </w:tc>
      </w:tr>
      <w:tr w14:paraId="42C03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257E5887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11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4549D593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Explain how quantitative variables were handled in the analyses; describe groupings where applicable.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3405EAFF">
            <w:r>
              <w:rPr>
                <w:rFonts w:ascii="Times New Roman" w:hAnsi="Times New Roman"/>
                <w:sz w:val="18"/>
              </w:rPr>
              <w:t>Methods—Statistical Analysis: accuracy is expressed as a percentage; departments are grouped into six prespecified categories; the leave-one-department-out peer reference and signed AI-deficit severity thresholds are defined.</w:t>
            </w:r>
          </w:p>
        </w:tc>
      </w:tr>
      <w:tr w14:paraId="54277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50D08BB8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12a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2334DE37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Describe all statistical methods, including those used to control for confounding.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0BC62B5E">
            <w:r>
              <w:rPr>
                <w:rFonts w:ascii="Times New Roman" w:hAnsi="Times New Roman"/>
                <w:sz w:val="18"/>
              </w:rPr>
              <w:t>Methods—Statistical Analysis: exploratory one-sample t-tests with Holm adjustment, additive ordinary least-squares model, standardized marginal means with 95% confidence intervals, within-version z-score sensitivity analysis, Tukey procedure, and Bonferroni correction.</w:t>
            </w:r>
          </w:p>
        </w:tc>
      </w:tr>
      <w:tr w14:paraId="6CF14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0E96677C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12b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23E248A2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Describe any methods used to examine subgroups and interactions.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1A02ABBC">
            <w:r>
              <w:rPr>
                <w:rFonts w:ascii="Times New Roman" w:hAnsi="Times New Roman"/>
                <w:sz w:val="18"/>
              </w:rPr>
              <w:t>Methods and Results—Department-Based Performance Differences: department-by-version interaction tested; department-by-question-type cells evaluated; within-version z-score sensitivity analysis reported.</w:t>
            </w:r>
          </w:p>
        </w:tc>
      </w:tr>
      <w:tr w14:paraId="7FDD5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66F0A589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12c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77E3A910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Explain how missing data were addressed.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3AF35831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Methods—Statistical Analysis: no missing data were present.</w:t>
            </w:r>
          </w:p>
        </w:tc>
      </w:tr>
      <w:tr w14:paraId="7F1D7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1420953F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12d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48FB89E7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If applicable, explain how loss to follow-up was addressed.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1C56B838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Not applicable: cross-sectional analysis without follow-up.</w:t>
            </w:r>
          </w:p>
        </w:tc>
      </w:tr>
      <w:tr w14:paraId="1E383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7FB162BD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12e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1730F3DA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Describe any sensitivity analyses.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72DEEF0F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Methods—Resident Participants and Statistical Analysis: analysis using all 437 records and within-exam z-score standardisation; results reported in Supplementary Material 2.</w:t>
            </w:r>
          </w:p>
        </w:tc>
      </w:tr>
      <w:tr w14:paraId="16223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E2F3"/>
          </w:tcPr>
          <w:p w14:paraId="26E896EC">
            <w:r>
              <w:rPr>
                <w:rFonts w:ascii="Times New Roman" w:hAnsi="Times New Roman" w:eastAsia="Times New Roman"/>
                <w:b/>
                <w:color w:val="1F4E79"/>
                <w:sz w:val="18"/>
              </w:rPr>
              <w:t>Results</w:t>
            </w:r>
          </w:p>
        </w:tc>
      </w:tr>
      <w:tr w14:paraId="6B868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570AC5E4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13a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6E8B448C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Report numbers of individuals at each stage of study; give numbers potentially eligible, examined for eligibility, confirmed eligible, included, and analysed.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3538AF91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Results—Participant Characteristics and Methods—Resident Participants: 437 records screened; 25 repeat records excluded; 412 unique residents analysed.</w:t>
            </w:r>
          </w:p>
        </w:tc>
      </w:tr>
      <w:tr w14:paraId="3CF51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0F3CBAEA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13b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0FBA2494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Give reasons for non-participation at each stage.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440E4C13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Methods—Resident Participants: excluded records represented sequential ICU rotations for the same residents; first/lowest-PGY record retained to preserve independent observations.</w:t>
            </w:r>
          </w:p>
        </w:tc>
      </w:tr>
      <w:tr w14:paraId="532E8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434A5782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13c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6AAAFA8F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Consider use of a flow diagram.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2A070AC1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Not applicable to this record-based cross-sectional census; the complete inclusion/exclusion accounting is reported in text.</w:t>
            </w:r>
          </w:p>
        </w:tc>
      </w:tr>
      <w:tr w14:paraId="1FBC1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5FEFC130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14a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6083B3D3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Give characteristics of study participants and information on exposures and potential confounders.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0276FE5C">
            <w:r>
              <w:rPr>
                <w:rFonts w:ascii="Times New Roman" w:hAnsi="Times New Roman"/>
                <w:sz w:val="18"/>
              </w:rPr>
              <w:t>Methods—Resident Participants; Results—Participant Characteristics; Table 1: department group, PGY/examination-version distribution, and unadjusted performance. Figure 2 reports adjusted marginal means.</w:t>
            </w:r>
          </w:p>
        </w:tc>
      </w:tr>
      <w:tr w14:paraId="32023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257D623A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14b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3D416CA8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Indicate number of participants with missing data for each variable of interest.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6133ACB5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Methods—Statistical Analysis: no missing data were present.</w:t>
            </w:r>
          </w:p>
        </w:tc>
      </w:tr>
      <w:tr w14:paraId="1392C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0FB73E37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15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1FE96268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Report numbers of outcome events or summary measures over time.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5F17D216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Results—DeepSeek-V4-Pro Versus Resident Performance; Table 2: resident mean 80.8% (95% CI 80.0–81.6%) and AI accuracy 85.7%; department-level measures in Table 1.</w:t>
            </w:r>
          </w:p>
        </w:tc>
      </w:tr>
      <w:tr w14:paraId="1CE86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4BE05AC6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16a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090A4A2E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Give unadjusted estimates and, if applicable, confounder-adjusted estimates and their precision.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00BB3799">
            <w:r>
              <w:rPr>
                <w:rFonts w:ascii="Times New Roman" w:hAnsi="Times New Roman"/>
                <w:sz w:val="18"/>
              </w:rPr>
              <w:t>Results—Department-Based Performance Differences: Table 1 provides unadjusted department means; Figure 2 and text provide examination-version-standardized marginal means with 95% confidence intervals. Effect sizes and p values are reported.</w:t>
            </w:r>
          </w:p>
        </w:tc>
      </w:tr>
      <w:tr w14:paraId="292D5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64B15F14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16b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44E3DE66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Report category boundaries when continuous variables were categorised.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5CC20448">
            <w:r>
              <w:rPr>
                <w:rFonts w:ascii="Times New Roman" w:hAnsi="Times New Roman"/>
                <w:sz w:val="18"/>
              </w:rPr>
              <w:t>Methods—Statistical Analysis: signed department-minus-AI deficit boundaries are Critical ≤ −10 percentage points, High &gt; −10 to ≤ −5, and Moderate &gt; −5 to &lt; 0.</w:t>
            </w:r>
          </w:p>
        </w:tc>
      </w:tr>
      <w:tr w14:paraId="2D2D5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2D7F4AA8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16c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5E903C51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If relevant, consider translating estimates of relative risk into absolute risk.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69DBE0D5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Not applicable: the study reports continuous accuracy differences and standardised mean effects, not relative risks.</w:t>
            </w:r>
          </w:p>
        </w:tc>
      </w:tr>
      <w:tr w14:paraId="1A139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4D40B09A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17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4235CE0D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Report other analyses done, for example analyses of subgroups, interactions, and sensitivity analyses.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75EFE23B">
            <w:r>
              <w:rPr>
                <w:rFonts w:ascii="Times New Roman" w:hAnsi="Times New Roman"/>
                <w:sz w:val="18"/>
              </w:rPr>
              <w:t>Results—Department-Based Performance Differences and AI-Benchmarked Learning-Needs Analysis; Supplementary Material 2 and Supplementary Table S1.</w:t>
            </w:r>
          </w:p>
        </w:tc>
      </w:tr>
      <w:tr w14:paraId="37FFA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E2F3"/>
          </w:tcPr>
          <w:p w14:paraId="52AC6C68">
            <w:r>
              <w:rPr>
                <w:rFonts w:ascii="Times New Roman" w:hAnsi="Times New Roman" w:eastAsia="Times New Roman"/>
                <w:b/>
                <w:color w:val="1F4E79"/>
                <w:sz w:val="18"/>
              </w:rPr>
              <w:t>Discussion</w:t>
            </w:r>
          </w:p>
        </w:tc>
      </w:tr>
      <w:tr w14:paraId="44BBF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3F86DFCB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18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5B8CA879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Summarise key results with reference to study objectives.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4C8C7557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Discussion—Principal Findings: results are interpreted in sequence for RQ1–RQ3.</w:t>
            </w:r>
          </w:p>
        </w:tc>
      </w:tr>
      <w:tr w14:paraId="1EB1C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25927528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19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4AA6B5C2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Discuss limitations of the study, taking into account sources of potential bias or imprecision.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7EA55626">
            <w:r>
              <w:rPr>
                <w:rFonts w:ascii="Times New Roman" w:hAnsi="Times New Roman"/>
                <w:sz w:val="18"/>
              </w:rPr>
              <w:t>Discussion—Limitations: single center, cross-sectional post-only design, perfect PGY/examination-version alignment, sparse cells, unmatched pooled AI benchmark, single-pass model testing, institutional psychometrics, cognitive scope, unresolved administrative label, and unvalidated dual-reference framework.</w:t>
            </w:r>
          </w:p>
        </w:tc>
      </w:tr>
      <w:tr w14:paraId="68B2B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1D2E03A3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20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3DFF0013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Give a cautious overall interpretation of results considering objectives, limitations, multiplicity of analyses, results from similar studies, and other relevant evidence.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3F45F32B">
            <w:r>
              <w:rPr>
                <w:rFonts w:ascii="Times New Roman" w:hAnsi="Times New Roman"/>
                <w:sz w:val="18"/>
              </w:rPr>
              <w:t>Discussion and Conclusions distinguish descriptive pooled benchmarking, adjusted association, candidate learning-needs signals, and confirmatory requirements; Holm and Bonferroni adjustments are reported.</w:t>
            </w:r>
          </w:p>
        </w:tc>
      </w:tr>
      <w:tr w14:paraId="0D295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0AB140E0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21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0004381C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Discuss the generalisability (external validity) of the study results.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75C98AC6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Discussion—Limitations and Conclusion: single-centre setting limits generalisability; multicentre pre-post studies are recommended.</w:t>
            </w:r>
          </w:p>
        </w:tc>
      </w:tr>
      <w:tr w14:paraId="3F0C0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E2F3"/>
          </w:tcPr>
          <w:p w14:paraId="23B4D806">
            <w:r>
              <w:rPr>
                <w:rFonts w:ascii="Times New Roman" w:hAnsi="Times New Roman" w:eastAsia="Times New Roman"/>
                <w:b/>
                <w:color w:val="1F4E79"/>
                <w:sz w:val="18"/>
              </w:rPr>
              <w:t>Other information</w:t>
            </w:r>
          </w:p>
        </w:tc>
      </w:tr>
      <w:tr w14:paraId="06017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69BD5E1C">
            <w:pPr>
              <w:spacing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22</w:t>
            </w:r>
          </w:p>
        </w:tc>
        <w:tc>
          <w:tcPr>
            <w:tcW w:w="3550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4261D398">
            <w:pPr>
              <w:spacing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Give the source of funding and the role of funders for the present study.</w:t>
            </w:r>
          </w:p>
        </w:tc>
        <w:tc>
          <w:tcPr>
            <w:tcW w:w="5160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6472524C">
            <w:r>
              <w:rPr>
                <w:rFonts w:ascii="Times New Roman" w:hAnsi="Times New Roman"/>
                <w:sz w:val="18"/>
              </w:rPr>
              <w:t>Declarations—Funding: no funding was received and no funder had a role in study design, analysis, interpretation, or writing.</w:t>
            </w:r>
          </w:p>
        </w:tc>
      </w:tr>
    </w:tbl>
    <w:p w14:paraId="53CD70CD"/>
    <w:sectPr>
      <w:footerReference r:id="rId5" w:type="default"/>
      <w:pgSz w:w="12240" w:h="15840"/>
      <w:pgMar w:top="1008" w:right="1008" w:bottom="1008" w:left="100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92F1A">
    <w:pPr>
      <w:pStyle w:val="24"/>
      <w:jc w:val="center"/>
    </w:pPr>
    <w:r>
      <w:rPr>
        <w:rFonts w:ascii="Times New Roman" w:hAnsi="Times New Roman"/>
        <w:sz w:val="16"/>
      </w:rPr>
      <w:t>STROBE Checklist | BMC Medical Education submission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C65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1057</Words>
  <Characters>7571</Characters>
  <Lines>0</Lines>
  <Paragraphs>0</Paragraphs>
  <TotalTime>13</TotalTime>
  <ScaleCrop>false</ScaleCrop>
  <LinksUpToDate>false</LinksUpToDate>
  <CharactersWithSpaces>8516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一加一</cp:lastModifiedBy>
  <dcterms:modified xsi:type="dcterms:W3CDTF">2026-07-21T12:35:32Z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A9361D50F76C40D4959DC27D9D7274FB_13</vt:lpwstr>
  </property>
</Properties>
</file>