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05725" w14:textId="123C1CE4" w:rsidR="00575104" w:rsidRDefault="005C78CE" w:rsidP="002D0963">
      <w:pPr>
        <w:spacing w:after="24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Additional file</w:t>
      </w:r>
      <w:r w:rsidR="0043538C" w:rsidRPr="0091238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2</w:t>
      </w:r>
      <w:r w:rsidR="002D0963">
        <w:rPr>
          <w:rFonts w:ascii="Arial" w:hAnsi="Arial" w:cs="Arial"/>
          <w:b/>
          <w:bCs/>
        </w:rPr>
        <w:t xml:space="preserve">. </w:t>
      </w:r>
      <w:r w:rsidR="00575104" w:rsidRPr="00010704">
        <w:rPr>
          <w:rFonts w:ascii="Arial" w:hAnsi="Arial" w:cs="Arial"/>
          <w:b/>
          <w:bCs/>
        </w:rPr>
        <w:t>Thermogenic stimulation</w:t>
      </w:r>
      <w:r w:rsidR="00575104" w:rsidRPr="00B1207F">
        <w:rPr>
          <w:rFonts w:ascii="Arial" w:hAnsi="Arial" w:cs="Arial"/>
          <w:b/>
          <w:bCs/>
        </w:rPr>
        <w:t xml:space="preserve"> with a </w:t>
      </w:r>
      <w:r w:rsidR="00575104" w:rsidRPr="00B1207F">
        <w:rPr>
          <w:rFonts w:ascii="Arial" w:hAnsi="Arial" w:cs="Arial"/>
          <w:b/>
          <w:bCs/>
        </w:rPr>
        <w:sym w:font="Symbol" w:char="F062"/>
      </w:r>
      <w:r w:rsidR="00575104" w:rsidRPr="00B1207F">
        <w:rPr>
          <w:rFonts w:ascii="Arial" w:hAnsi="Arial" w:cs="Arial"/>
          <w:b/>
          <w:bCs/>
          <w:vertAlign w:val="subscript"/>
        </w:rPr>
        <w:t>3</w:t>
      </w:r>
      <w:r w:rsidR="00575104" w:rsidRPr="00B1207F">
        <w:rPr>
          <w:rFonts w:ascii="Arial" w:hAnsi="Arial" w:cs="Arial"/>
          <w:b/>
          <w:bCs/>
        </w:rPr>
        <w:t xml:space="preserve">-adrenergic receptor agonist </w:t>
      </w:r>
      <w:r w:rsidR="00575104">
        <w:rPr>
          <w:rFonts w:ascii="Arial" w:hAnsi="Arial" w:cs="Arial"/>
          <w:b/>
          <w:bCs/>
        </w:rPr>
        <w:t>prevents</w:t>
      </w:r>
      <w:r w:rsidR="00575104" w:rsidRPr="00B1207F">
        <w:rPr>
          <w:rFonts w:ascii="Arial" w:hAnsi="Arial" w:cs="Arial"/>
          <w:b/>
          <w:bCs/>
        </w:rPr>
        <w:t xml:space="preserve"> the cold-induced rise of phosphorylated tau in </w:t>
      </w:r>
      <w:r w:rsidR="00575104">
        <w:rPr>
          <w:rFonts w:ascii="Arial" w:hAnsi="Arial" w:cs="Arial"/>
          <w:b/>
          <w:bCs/>
        </w:rPr>
        <w:t>a mouse model of Alzheimer’s disease</w:t>
      </w:r>
      <w:r w:rsidR="00575104" w:rsidRPr="00B1207F">
        <w:rPr>
          <w:rFonts w:ascii="Arial" w:hAnsi="Arial" w:cs="Arial"/>
          <w:b/>
          <w:bCs/>
        </w:rPr>
        <w:t>.</w:t>
      </w:r>
      <w:r w:rsidR="00575104">
        <w:rPr>
          <w:rFonts w:ascii="Arial" w:hAnsi="Arial" w:cs="Arial"/>
          <w:b/>
          <w:bCs/>
        </w:rPr>
        <w:t xml:space="preserve"> </w:t>
      </w:r>
    </w:p>
    <w:p w14:paraId="44C7AC14" w14:textId="77777777" w:rsidR="00575104" w:rsidRPr="003A5426" w:rsidRDefault="00575104" w:rsidP="00575104">
      <w:r w:rsidRPr="003A5426">
        <w:rPr>
          <w:rFonts w:ascii="Arial" w:hAnsi="Arial" w:cs="Arial"/>
        </w:rPr>
        <w:t>Table 1. Spearman’s correlations between circulating FGF21 and soluble pTau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2546"/>
        <w:gridCol w:w="1504"/>
        <w:gridCol w:w="1870"/>
        <w:gridCol w:w="1870"/>
      </w:tblGrid>
      <w:tr w:rsidR="00575104" w:rsidRPr="0043538C" w14:paraId="23745E92" w14:textId="77777777" w:rsidTr="007B3F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B21570E" w14:textId="77777777" w:rsidR="00575104" w:rsidRPr="0043538C" w:rsidRDefault="00575104" w:rsidP="007B3F1C">
            <w:pPr>
              <w:jc w:val="center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Variable</w:t>
            </w:r>
          </w:p>
        </w:tc>
        <w:tc>
          <w:tcPr>
            <w:tcW w:w="2546" w:type="dxa"/>
          </w:tcPr>
          <w:p w14:paraId="09157B1F" w14:textId="5D2A2457" w:rsidR="00575104" w:rsidRPr="0043538C" w:rsidRDefault="00575104" w:rsidP="007B3F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 xml:space="preserve">pTau </w:t>
            </w:r>
            <w:r w:rsidR="0050125F" w:rsidRPr="0043538C">
              <w:rPr>
                <w:rFonts w:ascii="Arial" w:hAnsi="Arial" w:cs="Arial"/>
              </w:rPr>
              <w:t>(OD</w:t>
            </w:r>
            <w:r w:rsidRPr="0043538C">
              <w:rPr>
                <w:rFonts w:ascii="Arial" w:hAnsi="Arial" w:cs="Arial"/>
              </w:rPr>
              <w:t xml:space="preserve"> Relative)</w:t>
            </w:r>
          </w:p>
        </w:tc>
        <w:tc>
          <w:tcPr>
            <w:tcW w:w="1504" w:type="dxa"/>
          </w:tcPr>
          <w:p w14:paraId="18210F3C" w14:textId="77777777" w:rsidR="00575104" w:rsidRPr="0043538C" w:rsidRDefault="00575104" w:rsidP="007B3F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r</w:t>
            </w:r>
          </w:p>
        </w:tc>
        <w:tc>
          <w:tcPr>
            <w:tcW w:w="1870" w:type="dxa"/>
          </w:tcPr>
          <w:p w14:paraId="47522266" w14:textId="77777777" w:rsidR="00575104" w:rsidRPr="0043538C" w:rsidRDefault="00575104" w:rsidP="007B3F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r</w:t>
            </w:r>
            <w:r w:rsidRPr="0043538C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870" w:type="dxa"/>
          </w:tcPr>
          <w:p w14:paraId="34FE8656" w14:textId="77777777" w:rsidR="00575104" w:rsidRPr="0043538C" w:rsidRDefault="00575104" w:rsidP="007B3F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p-value</w:t>
            </w:r>
          </w:p>
        </w:tc>
      </w:tr>
      <w:tr w:rsidR="00575104" w14:paraId="231AF32D" w14:textId="77777777" w:rsidTr="007B3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25CCBE6" w14:textId="77777777" w:rsidR="00575104" w:rsidRDefault="00575104" w:rsidP="007B3F1C">
            <w:pPr>
              <w:jc w:val="center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  <w:b w:val="0"/>
                <w:bCs w:val="0"/>
              </w:rPr>
              <w:t>FGF21</w:t>
            </w:r>
          </w:p>
          <w:p w14:paraId="7D070D9E" w14:textId="77777777" w:rsidR="00575104" w:rsidRPr="0043538C" w:rsidRDefault="00575104" w:rsidP="007B3F1C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43538C">
              <w:rPr>
                <w:rFonts w:ascii="Arial" w:hAnsi="Arial" w:cs="Arial"/>
                <w:b w:val="0"/>
                <w:bCs w:val="0"/>
              </w:rPr>
              <w:t>(pg/ mL)</w:t>
            </w:r>
          </w:p>
        </w:tc>
        <w:tc>
          <w:tcPr>
            <w:tcW w:w="2546" w:type="dxa"/>
          </w:tcPr>
          <w:p w14:paraId="12A26927" w14:textId="77777777" w:rsidR="00575104" w:rsidRPr="0043538C" w:rsidRDefault="00575104" w:rsidP="007B3F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CP13 (pSer 202)</w:t>
            </w:r>
          </w:p>
        </w:tc>
        <w:tc>
          <w:tcPr>
            <w:tcW w:w="1504" w:type="dxa"/>
          </w:tcPr>
          <w:p w14:paraId="7BA8AF4B" w14:textId="77777777" w:rsidR="00575104" w:rsidRPr="0043538C" w:rsidRDefault="00575104" w:rsidP="007B3F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0.20</w:t>
            </w:r>
          </w:p>
        </w:tc>
        <w:tc>
          <w:tcPr>
            <w:tcW w:w="1870" w:type="dxa"/>
          </w:tcPr>
          <w:p w14:paraId="1159BDF2" w14:textId="77777777" w:rsidR="00575104" w:rsidRPr="0043538C" w:rsidRDefault="00575104" w:rsidP="007B3F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0.04</w:t>
            </w:r>
          </w:p>
        </w:tc>
        <w:tc>
          <w:tcPr>
            <w:tcW w:w="1870" w:type="dxa"/>
          </w:tcPr>
          <w:p w14:paraId="3AD89D65" w14:textId="77777777" w:rsidR="00575104" w:rsidRPr="0043538C" w:rsidRDefault="00575104" w:rsidP="007B3F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0.11</w:t>
            </w:r>
          </w:p>
        </w:tc>
      </w:tr>
      <w:tr w:rsidR="00575104" w14:paraId="47DC1B67" w14:textId="77777777" w:rsidTr="007B3F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BEFC3C3" w14:textId="77777777" w:rsidR="00575104" w:rsidRDefault="00575104" w:rsidP="007B3F1C">
            <w:pPr>
              <w:jc w:val="center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  <w:b w:val="0"/>
                <w:bCs w:val="0"/>
              </w:rPr>
              <w:t>FGF21</w:t>
            </w:r>
          </w:p>
          <w:p w14:paraId="1835F572" w14:textId="77777777" w:rsidR="00575104" w:rsidRPr="0043538C" w:rsidRDefault="00575104" w:rsidP="007B3F1C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43538C">
              <w:rPr>
                <w:rFonts w:ascii="Arial" w:hAnsi="Arial" w:cs="Arial"/>
                <w:b w:val="0"/>
                <w:bCs w:val="0"/>
              </w:rPr>
              <w:t>(pg/ mL)</w:t>
            </w:r>
          </w:p>
        </w:tc>
        <w:tc>
          <w:tcPr>
            <w:tcW w:w="2546" w:type="dxa"/>
          </w:tcPr>
          <w:p w14:paraId="6915D594" w14:textId="77777777" w:rsidR="00575104" w:rsidRPr="0043538C" w:rsidRDefault="00575104" w:rsidP="007B3F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P217 (pThr-217)</w:t>
            </w:r>
          </w:p>
        </w:tc>
        <w:tc>
          <w:tcPr>
            <w:tcW w:w="1504" w:type="dxa"/>
          </w:tcPr>
          <w:p w14:paraId="05AF6D54" w14:textId="77777777" w:rsidR="00575104" w:rsidRPr="0043538C" w:rsidRDefault="00575104" w:rsidP="007B3F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0.23</w:t>
            </w:r>
          </w:p>
        </w:tc>
        <w:tc>
          <w:tcPr>
            <w:tcW w:w="1870" w:type="dxa"/>
          </w:tcPr>
          <w:p w14:paraId="3601EBD5" w14:textId="77777777" w:rsidR="00575104" w:rsidRPr="0043538C" w:rsidRDefault="00575104" w:rsidP="007B3F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0.05</w:t>
            </w:r>
          </w:p>
        </w:tc>
        <w:tc>
          <w:tcPr>
            <w:tcW w:w="1870" w:type="dxa"/>
          </w:tcPr>
          <w:p w14:paraId="02C12CB0" w14:textId="77777777" w:rsidR="00575104" w:rsidRPr="0043538C" w:rsidRDefault="00575104" w:rsidP="007B3F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0.06</w:t>
            </w:r>
          </w:p>
        </w:tc>
      </w:tr>
      <w:tr w:rsidR="00575104" w14:paraId="132D7714" w14:textId="77777777" w:rsidTr="007B3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214127D" w14:textId="77777777" w:rsidR="00575104" w:rsidRDefault="00575104" w:rsidP="007B3F1C">
            <w:pPr>
              <w:jc w:val="center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  <w:b w:val="0"/>
                <w:bCs w:val="0"/>
              </w:rPr>
              <w:t>FGF21</w:t>
            </w:r>
          </w:p>
          <w:p w14:paraId="37162E9C" w14:textId="77777777" w:rsidR="00575104" w:rsidRPr="0043538C" w:rsidRDefault="00575104" w:rsidP="007B3F1C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43538C">
              <w:rPr>
                <w:rFonts w:ascii="Arial" w:hAnsi="Arial" w:cs="Arial"/>
                <w:b w:val="0"/>
                <w:bCs w:val="0"/>
              </w:rPr>
              <w:t>(pg/ mL)</w:t>
            </w:r>
          </w:p>
        </w:tc>
        <w:tc>
          <w:tcPr>
            <w:tcW w:w="2546" w:type="dxa"/>
          </w:tcPr>
          <w:p w14:paraId="6906F168" w14:textId="77777777" w:rsidR="00575104" w:rsidRPr="0043538C" w:rsidRDefault="00575104" w:rsidP="007B3F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PHF-1 (pSer396/ 404)</w:t>
            </w:r>
          </w:p>
        </w:tc>
        <w:tc>
          <w:tcPr>
            <w:tcW w:w="1504" w:type="dxa"/>
          </w:tcPr>
          <w:p w14:paraId="4A6821B6" w14:textId="77777777" w:rsidR="00575104" w:rsidRPr="0043538C" w:rsidRDefault="00575104" w:rsidP="007B3F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0.1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870" w:type="dxa"/>
          </w:tcPr>
          <w:p w14:paraId="17E2116C" w14:textId="77777777" w:rsidR="00575104" w:rsidRPr="0043538C" w:rsidRDefault="00575104" w:rsidP="007B3F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0.03</w:t>
            </w:r>
          </w:p>
        </w:tc>
        <w:tc>
          <w:tcPr>
            <w:tcW w:w="1870" w:type="dxa"/>
          </w:tcPr>
          <w:p w14:paraId="56C30897" w14:textId="77777777" w:rsidR="00575104" w:rsidRPr="0043538C" w:rsidRDefault="00575104" w:rsidP="007B3F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0.1</w:t>
            </w:r>
            <w:r>
              <w:rPr>
                <w:rFonts w:ascii="Arial" w:hAnsi="Arial" w:cs="Arial"/>
              </w:rPr>
              <w:t>1</w:t>
            </w:r>
          </w:p>
        </w:tc>
      </w:tr>
      <w:tr w:rsidR="00575104" w14:paraId="09CBAED6" w14:textId="77777777" w:rsidTr="007B3F1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23DF529" w14:textId="77777777" w:rsidR="00575104" w:rsidRDefault="00575104" w:rsidP="007B3F1C">
            <w:pPr>
              <w:jc w:val="center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  <w:b w:val="0"/>
                <w:bCs w:val="0"/>
              </w:rPr>
              <w:t>FGF21</w:t>
            </w:r>
          </w:p>
          <w:p w14:paraId="2DF2F6E5" w14:textId="77777777" w:rsidR="00575104" w:rsidRPr="0043538C" w:rsidRDefault="00575104" w:rsidP="007B3F1C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43538C">
              <w:rPr>
                <w:rFonts w:ascii="Arial" w:hAnsi="Arial" w:cs="Arial"/>
                <w:b w:val="0"/>
                <w:bCs w:val="0"/>
              </w:rPr>
              <w:t>(pg/ mL)</w:t>
            </w:r>
          </w:p>
        </w:tc>
        <w:tc>
          <w:tcPr>
            <w:tcW w:w="2546" w:type="dxa"/>
          </w:tcPr>
          <w:p w14:paraId="5CF6703A" w14:textId="77777777" w:rsidR="00575104" w:rsidRPr="0043538C" w:rsidRDefault="00575104" w:rsidP="007B3F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AT270 (pThr181)</w:t>
            </w:r>
          </w:p>
        </w:tc>
        <w:tc>
          <w:tcPr>
            <w:tcW w:w="1504" w:type="dxa"/>
          </w:tcPr>
          <w:p w14:paraId="753C5462" w14:textId="77777777" w:rsidR="00575104" w:rsidRPr="0043538C" w:rsidRDefault="00575104" w:rsidP="007B3F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-0.002</w:t>
            </w:r>
          </w:p>
        </w:tc>
        <w:tc>
          <w:tcPr>
            <w:tcW w:w="1870" w:type="dxa"/>
          </w:tcPr>
          <w:p w14:paraId="267E2259" w14:textId="77777777" w:rsidR="00575104" w:rsidRPr="0043538C" w:rsidRDefault="00575104" w:rsidP="007B3F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0.00004</w:t>
            </w:r>
          </w:p>
        </w:tc>
        <w:tc>
          <w:tcPr>
            <w:tcW w:w="1870" w:type="dxa"/>
          </w:tcPr>
          <w:p w14:paraId="4FF875CA" w14:textId="77777777" w:rsidR="00575104" w:rsidRPr="0043538C" w:rsidRDefault="00575104" w:rsidP="007B3F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0.99</w:t>
            </w:r>
          </w:p>
        </w:tc>
      </w:tr>
      <w:tr w:rsidR="00575104" w14:paraId="26F79D99" w14:textId="77777777" w:rsidTr="007B3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5FF0329" w14:textId="77777777" w:rsidR="00575104" w:rsidRDefault="00575104" w:rsidP="007B3F1C">
            <w:pPr>
              <w:jc w:val="center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  <w:b w:val="0"/>
                <w:bCs w:val="0"/>
              </w:rPr>
              <w:t>FGF21</w:t>
            </w:r>
          </w:p>
          <w:p w14:paraId="03291750" w14:textId="77777777" w:rsidR="00575104" w:rsidRPr="0043538C" w:rsidRDefault="00575104" w:rsidP="007B3F1C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43538C">
              <w:rPr>
                <w:rFonts w:ascii="Arial" w:hAnsi="Arial" w:cs="Arial"/>
                <w:b w:val="0"/>
                <w:bCs w:val="0"/>
              </w:rPr>
              <w:t>(pg/ mL)</w:t>
            </w:r>
          </w:p>
        </w:tc>
        <w:tc>
          <w:tcPr>
            <w:tcW w:w="2546" w:type="dxa"/>
          </w:tcPr>
          <w:p w14:paraId="5A6FFC40" w14:textId="77777777" w:rsidR="00575104" w:rsidRPr="0043538C" w:rsidRDefault="00575104" w:rsidP="007B3F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AT8 (pSer202/ Thr205)</w:t>
            </w:r>
          </w:p>
        </w:tc>
        <w:tc>
          <w:tcPr>
            <w:tcW w:w="1504" w:type="dxa"/>
          </w:tcPr>
          <w:p w14:paraId="152D1931" w14:textId="77777777" w:rsidR="00575104" w:rsidRPr="0043538C" w:rsidRDefault="00575104" w:rsidP="007B3F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0.13</w:t>
            </w:r>
          </w:p>
        </w:tc>
        <w:tc>
          <w:tcPr>
            <w:tcW w:w="1870" w:type="dxa"/>
          </w:tcPr>
          <w:p w14:paraId="7E2C3388" w14:textId="77777777" w:rsidR="00575104" w:rsidRPr="0043538C" w:rsidRDefault="00575104" w:rsidP="007B3F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0.02</w:t>
            </w:r>
          </w:p>
        </w:tc>
        <w:tc>
          <w:tcPr>
            <w:tcW w:w="1870" w:type="dxa"/>
          </w:tcPr>
          <w:p w14:paraId="00C1D43B" w14:textId="77777777" w:rsidR="00575104" w:rsidRPr="0043538C" w:rsidRDefault="00575104" w:rsidP="007B3F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3538C">
              <w:rPr>
                <w:rFonts w:ascii="Arial" w:hAnsi="Arial" w:cs="Arial"/>
              </w:rPr>
              <w:t>0.29</w:t>
            </w:r>
          </w:p>
        </w:tc>
      </w:tr>
    </w:tbl>
    <w:p w14:paraId="0465B8F9" w14:textId="1B5EFB1D" w:rsidR="00575104" w:rsidRPr="003A5426" w:rsidRDefault="003A5426" w:rsidP="003A5426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Table showing Spearman’s correlations between plasmatic FGF21 and soluble pTau levels in hippocampal homogenates from NonTg and 3xTg-AD mice treated with either saline or β3-AR agonist and exposed to acute cold or maintained at room temperature. </w:t>
      </w:r>
    </w:p>
    <w:p w14:paraId="4D75E4E3" w14:textId="77777777" w:rsidR="00575104" w:rsidRDefault="00575104" w:rsidP="00575104"/>
    <w:p w14:paraId="082C40C4" w14:textId="77777777" w:rsidR="0043627B" w:rsidRDefault="0043627B" w:rsidP="00993D72">
      <w:pPr>
        <w:rPr>
          <w:rFonts w:ascii="Arial" w:hAnsi="Arial" w:cs="Arial"/>
        </w:rPr>
      </w:pPr>
    </w:p>
    <w:p w14:paraId="0CFD1BB1" w14:textId="77777777" w:rsidR="0043627B" w:rsidRDefault="0043627B" w:rsidP="00993D72">
      <w:pPr>
        <w:rPr>
          <w:rFonts w:ascii="Arial" w:hAnsi="Arial" w:cs="Arial"/>
        </w:rPr>
      </w:pPr>
    </w:p>
    <w:p w14:paraId="7D5EC4EC" w14:textId="77777777" w:rsidR="0043627B" w:rsidRDefault="0043627B" w:rsidP="00993D72">
      <w:pPr>
        <w:rPr>
          <w:rFonts w:ascii="Arial" w:hAnsi="Arial" w:cs="Arial"/>
        </w:rPr>
      </w:pPr>
    </w:p>
    <w:p w14:paraId="4A11685A" w14:textId="77777777" w:rsidR="0043627B" w:rsidRDefault="0043627B" w:rsidP="00993D72">
      <w:pPr>
        <w:rPr>
          <w:rFonts w:ascii="Arial" w:hAnsi="Arial" w:cs="Arial"/>
        </w:rPr>
      </w:pPr>
    </w:p>
    <w:p w14:paraId="77EBC84A" w14:textId="77777777" w:rsidR="0043627B" w:rsidRDefault="0043627B" w:rsidP="00993D72">
      <w:pPr>
        <w:rPr>
          <w:rFonts w:ascii="Arial" w:hAnsi="Arial" w:cs="Arial"/>
        </w:rPr>
      </w:pPr>
    </w:p>
    <w:p w14:paraId="77A0F091" w14:textId="77777777" w:rsidR="0043627B" w:rsidRDefault="0043627B" w:rsidP="00993D72">
      <w:pPr>
        <w:rPr>
          <w:rFonts w:ascii="Arial" w:hAnsi="Arial" w:cs="Arial"/>
        </w:rPr>
      </w:pPr>
    </w:p>
    <w:p w14:paraId="6E1C9E3D" w14:textId="77777777" w:rsidR="0043627B" w:rsidRDefault="0043627B" w:rsidP="00993D72">
      <w:pPr>
        <w:rPr>
          <w:rFonts w:ascii="Arial" w:hAnsi="Arial" w:cs="Arial"/>
        </w:rPr>
      </w:pPr>
    </w:p>
    <w:p w14:paraId="2E85929C" w14:textId="77777777" w:rsidR="0043627B" w:rsidRDefault="0043627B" w:rsidP="00993D72">
      <w:pPr>
        <w:rPr>
          <w:rFonts w:ascii="Arial" w:hAnsi="Arial" w:cs="Arial"/>
        </w:rPr>
      </w:pPr>
    </w:p>
    <w:p w14:paraId="655EF780" w14:textId="77777777" w:rsidR="0043627B" w:rsidRDefault="0043627B" w:rsidP="00993D72">
      <w:pPr>
        <w:rPr>
          <w:rFonts w:ascii="Arial" w:hAnsi="Arial" w:cs="Arial"/>
        </w:rPr>
      </w:pPr>
    </w:p>
    <w:p w14:paraId="342B0E87" w14:textId="77777777" w:rsidR="0043627B" w:rsidRDefault="0043627B" w:rsidP="00993D72">
      <w:pPr>
        <w:rPr>
          <w:rFonts w:ascii="Arial" w:hAnsi="Arial" w:cs="Arial"/>
        </w:rPr>
      </w:pPr>
    </w:p>
    <w:p w14:paraId="1F2D6031" w14:textId="77777777" w:rsidR="0043627B" w:rsidRDefault="0043627B" w:rsidP="00993D72">
      <w:pPr>
        <w:rPr>
          <w:rFonts w:ascii="Arial" w:hAnsi="Arial" w:cs="Arial"/>
        </w:rPr>
      </w:pPr>
    </w:p>
    <w:p w14:paraId="62A821B4" w14:textId="77777777" w:rsidR="001355B8" w:rsidRDefault="001355B8" w:rsidP="00993D72">
      <w:pPr>
        <w:rPr>
          <w:rFonts w:ascii="Arial" w:hAnsi="Arial" w:cs="Arial"/>
        </w:rPr>
      </w:pPr>
    </w:p>
    <w:p w14:paraId="4493C849" w14:textId="77777777" w:rsidR="00575104" w:rsidRDefault="00575104" w:rsidP="00993D72">
      <w:pPr>
        <w:rPr>
          <w:rFonts w:ascii="Arial" w:hAnsi="Arial" w:cs="Arial"/>
          <w:b/>
          <w:bCs/>
        </w:rPr>
      </w:pPr>
    </w:p>
    <w:p w14:paraId="6F78910E" w14:textId="4BEFAB84" w:rsidR="002061ED" w:rsidRPr="002061ED" w:rsidRDefault="002061ED" w:rsidP="00993D72">
      <w:pPr>
        <w:rPr>
          <w:rFonts w:ascii="Arial" w:hAnsi="Arial" w:cs="Arial"/>
          <w:b/>
          <w:bCs/>
        </w:rPr>
      </w:pPr>
      <w:r w:rsidRPr="002061ED">
        <w:rPr>
          <w:rFonts w:ascii="Arial" w:hAnsi="Arial" w:cs="Arial"/>
          <w:b/>
          <w:bCs/>
        </w:rPr>
        <w:lastRenderedPageBreak/>
        <w:t>Insoluble pTau and total tau</w:t>
      </w:r>
    </w:p>
    <w:p w14:paraId="7226C990" w14:textId="1FC98630" w:rsidR="00D022BF" w:rsidRDefault="00D66EDB" w:rsidP="00993D72">
      <w:pPr>
        <w:rPr>
          <w:rFonts w:ascii="Arial" w:hAnsi="Arial" w:cs="Arial"/>
        </w:rPr>
      </w:pPr>
      <w:r w:rsidRPr="00D66EDB">
        <w:rPr>
          <w:rFonts w:ascii="Arial" w:hAnsi="Arial" w:cs="Arial"/>
          <w:noProof/>
        </w:rPr>
        <w:drawing>
          <wp:inline distT="0" distB="0" distL="0" distR="0" wp14:anchorId="112DAECA" wp14:editId="361608D6">
            <wp:extent cx="5943600" cy="4166235"/>
            <wp:effectExtent l="0" t="0" r="0" b="0"/>
            <wp:docPr id="1572828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281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11E00" w14:textId="52DE4231" w:rsidR="00D022BF" w:rsidRPr="00BE1E29" w:rsidRDefault="00D022BF" w:rsidP="00D022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lang w:val="en-US"/>
        </w:rPr>
      </w:pPr>
      <w:r w:rsidRPr="00BE1E29">
        <w:rPr>
          <w:rFonts w:ascii="Arial" w:hAnsi="Arial" w:cs="Arial"/>
          <w:b/>
          <w:bCs/>
          <w:kern w:val="0"/>
        </w:rPr>
        <w:t>Figure</w:t>
      </w:r>
      <w:r w:rsidR="00D66EDB">
        <w:rPr>
          <w:rFonts w:ascii="Arial" w:hAnsi="Arial" w:cs="Arial"/>
          <w:b/>
          <w:bCs/>
          <w:kern w:val="0"/>
        </w:rPr>
        <w:t xml:space="preserve"> </w:t>
      </w:r>
      <w:r w:rsidR="00575104">
        <w:rPr>
          <w:rFonts w:ascii="Arial" w:hAnsi="Arial" w:cs="Arial"/>
          <w:b/>
          <w:bCs/>
          <w:kern w:val="0"/>
        </w:rPr>
        <w:t>1</w:t>
      </w:r>
      <w:r>
        <w:rPr>
          <w:rFonts w:ascii="Arial" w:hAnsi="Arial" w:cs="Arial"/>
          <w:b/>
          <w:bCs/>
          <w:kern w:val="0"/>
        </w:rPr>
        <w:t>.</w:t>
      </w:r>
      <w:r w:rsidR="008E3D46">
        <w:rPr>
          <w:rFonts w:ascii="Arial" w:hAnsi="Arial" w:cs="Arial"/>
          <w:b/>
          <w:bCs/>
          <w:kern w:val="0"/>
        </w:rPr>
        <w:t xml:space="preserve"> </w:t>
      </w:r>
      <w:r w:rsidRPr="00BE1E29">
        <w:rPr>
          <w:rFonts w:ascii="Arial" w:hAnsi="Arial" w:cs="Arial"/>
          <w:b/>
          <w:bCs/>
          <w:kern w:val="0"/>
        </w:rPr>
        <w:sym w:font="Symbol" w:char="F062"/>
      </w:r>
      <w:r w:rsidRPr="00BE1E29">
        <w:rPr>
          <w:rFonts w:ascii="Arial" w:hAnsi="Arial" w:cs="Arial"/>
          <w:b/>
          <w:bCs/>
          <w:kern w:val="0"/>
        </w:rPr>
        <w:t>3</w:t>
      </w:r>
      <w:r>
        <w:rPr>
          <w:rFonts w:ascii="Arial" w:hAnsi="Arial" w:cs="Arial"/>
          <w:b/>
          <w:bCs/>
          <w:kern w:val="0"/>
        </w:rPr>
        <w:t>-</w:t>
      </w:r>
      <w:r w:rsidRPr="00BE1E29">
        <w:rPr>
          <w:rFonts w:ascii="Arial" w:hAnsi="Arial" w:cs="Arial"/>
          <w:b/>
          <w:bCs/>
          <w:kern w:val="0"/>
        </w:rPr>
        <w:t xml:space="preserve">AR stimulation </w:t>
      </w:r>
      <w:r w:rsidR="00EA72AD">
        <w:rPr>
          <w:rFonts w:ascii="Arial" w:hAnsi="Arial" w:cs="Arial"/>
          <w:b/>
          <w:bCs/>
          <w:kern w:val="0"/>
        </w:rPr>
        <w:t>has a limited effect in old 3xTg-AD mice</w:t>
      </w:r>
      <w:r w:rsidRPr="00BE1E29">
        <w:rPr>
          <w:rFonts w:ascii="Arial" w:hAnsi="Arial" w:cs="Arial"/>
          <w:b/>
          <w:bCs/>
          <w:kern w:val="0"/>
        </w:rPr>
        <w:t>.</w:t>
      </w:r>
      <w:r w:rsidRPr="00BE1E29">
        <w:rPr>
          <w:rFonts w:ascii="Arial" w:hAnsi="Arial" w:cs="Arial"/>
          <w:kern w:val="0"/>
        </w:rPr>
        <w:t xml:space="preserve"> </w:t>
      </w:r>
      <w:r w:rsidR="00EA72AD">
        <w:rPr>
          <w:rFonts w:ascii="Arial" w:hAnsi="Arial" w:cs="Arial"/>
          <w:kern w:val="0"/>
        </w:rPr>
        <w:t xml:space="preserve">Relative levels of pTau </w:t>
      </w:r>
      <w:r w:rsidR="00EA72AD" w:rsidRPr="00EA72AD">
        <w:rPr>
          <w:rFonts w:ascii="Arial" w:hAnsi="Arial" w:cs="Arial"/>
          <w:b/>
          <w:bCs/>
          <w:kern w:val="0"/>
        </w:rPr>
        <w:t>A,</w:t>
      </w:r>
      <w:r w:rsidR="00CB7160">
        <w:rPr>
          <w:rFonts w:ascii="Arial" w:hAnsi="Arial" w:cs="Arial"/>
          <w:b/>
          <w:bCs/>
          <w:kern w:val="0"/>
        </w:rPr>
        <w:t xml:space="preserve"> </w:t>
      </w:r>
      <w:r w:rsidR="00EA72AD" w:rsidRPr="00EA72AD">
        <w:rPr>
          <w:rFonts w:ascii="Arial" w:hAnsi="Arial" w:cs="Arial"/>
          <w:b/>
          <w:bCs/>
          <w:kern w:val="0"/>
        </w:rPr>
        <w:t>B)</w:t>
      </w:r>
      <w:r w:rsidR="00EA72AD">
        <w:rPr>
          <w:rFonts w:ascii="Arial" w:hAnsi="Arial" w:cs="Arial"/>
          <w:kern w:val="0"/>
        </w:rPr>
        <w:t xml:space="preserve">, total tau </w:t>
      </w:r>
      <w:r w:rsidR="00EA72AD" w:rsidRPr="00EA72AD">
        <w:rPr>
          <w:rFonts w:ascii="Arial" w:hAnsi="Arial" w:cs="Arial"/>
          <w:b/>
          <w:bCs/>
          <w:kern w:val="0"/>
        </w:rPr>
        <w:t>C)</w:t>
      </w:r>
      <w:r w:rsidR="00EA72AD">
        <w:rPr>
          <w:rFonts w:ascii="Arial" w:hAnsi="Arial" w:cs="Arial"/>
          <w:kern w:val="0"/>
        </w:rPr>
        <w:t xml:space="preserve">, and human tau </w:t>
      </w:r>
      <w:r w:rsidR="00EA72AD" w:rsidRPr="00EA72AD">
        <w:rPr>
          <w:rFonts w:ascii="Arial" w:hAnsi="Arial" w:cs="Arial"/>
          <w:b/>
          <w:bCs/>
          <w:kern w:val="0"/>
        </w:rPr>
        <w:t>D)</w:t>
      </w:r>
      <w:r w:rsidR="00EA72AD">
        <w:rPr>
          <w:rFonts w:ascii="Arial" w:hAnsi="Arial" w:cs="Arial"/>
          <w:kern w:val="0"/>
        </w:rPr>
        <w:t xml:space="preserve"> in </w:t>
      </w:r>
      <w:r w:rsidRPr="00BE1E29">
        <w:rPr>
          <w:rFonts w:ascii="Arial" w:hAnsi="Arial" w:cs="Arial"/>
          <w:kern w:val="0"/>
        </w:rPr>
        <w:t xml:space="preserve">detergent-insoluble fractions of </w:t>
      </w:r>
      <w:r w:rsidR="008E3D46">
        <w:rPr>
          <w:rFonts w:ascii="Arial" w:hAnsi="Arial" w:cs="Arial"/>
          <w:kern w:val="0"/>
        </w:rPr>
        <w:t>cortex</w:t>
      </w:r>
      <w:r w:rsidRPr="00BE1E29">
        <w:rPr>
          <w:rFonts w:ascii="Arial" w:hAnsi="Arial" w:cs="Arial"/>
          <w:kern w:val="0"/>
        </w:rPr>
        <w:t xml:space="preserve"> homogenates of non-transgenic and 3xTg-AD mice. </w:t>
      </w:r>
      <w:r w:rsidR="00EA72AD">
        <w:rPr>
          <w:rFonts w:ascii="Arial" w:hAnsi="Arial" w:cs="Arial"/>
          <w:b/>
          <w:bCs/>
          <w:kern w:val="0"/>
        </w:rPr>
        <w:t>E</w:t>
      </w:r>
      <w:r w:rsidRPr="00BE1E29">
        <w:rPr>
          <w:rFonts w:ascii="Arial" w:hAnsi="Arial" w:cs="Arial"/>
          <w:kern w:val="0"/>
        </w:rPr>
        <w:t xml:space="preserve">) Examples of Western blots. </w:t>
      </w:r>
      <w:r w:rsidR="00405192" w:rsidRPr="00405192">
        <w:rPr>
          <w:rFonts w:ascii="Arial" w:hAnsi="Arial" w:cs="Arial"/>
          <w:kern w:val="0"/>
        </w:rPr>
        <w:t xml:space="preserve">Equal amounts of protein from each homogenate were loaded and run on the same gel in </w:t>
      </w:r>
      <w:r w:rsidR="00CB7160">
        <w:rPr>
          <w:rFonts w:ascii="Arial" w:hAnsi="Arial" w:cs="Arial"/>
          <w:kern w:val="0"/>
        </w:rPr>
        <w:t xml:space="preserve">a </w:t>
      </w:r>
      <w:r w:rsidR="00405192" w:rsidRPr="00405192">
        <w:rPr>
          <w:rFonts w:ascii="Arial" w:hAnsi="Arial" w:cs="Arial"/>
          <w:kern w:val="0"/>
        </w:rPr>
        <w:t>random</w:t>
      </w:r>
      <w:r w:rsidR="00CB7160">
        <w:rPr>
          <w:rFonts w:ascii="Arial" w:hAnsi="Arial" w:cs="Arial"/>
          <w:kern w:val="0"/>
        </w:rPr>
        <w:t>ized</w:t>
      </w:r>
      <w:r w:rsidR="00405192" w:rsidRPr="00405192">
        <w:rPr>
          <w:rFonts w:ascii="Arial" w:hAnsi="Arial" w:cs="Arial"/>
          <w:kern w:val="0"/>
        </w:rPr>
        <w:t xml:space="preserve"> order. When bands were rearranged to match the histogram order, this is indicated by a dividing line</w:t>
      </w:r>
      <w:r w:rsidRPr="00BE1E29">
        <w:rPr>
          <w:rFonts w:ascii="Arial" w:hAnsi="Arial" w:cs="Arial"/>
          <w:kern w:val="0"/>
        </w:rPr>
        <w:t xml:space="preserve">. Data are represented as mean </w:t>
      </w:r>
      <w:r w:rsidRPr="00BE1E29">
        <w:rPr>
          <w:rFonts w:ascii="Arial" w:hAnsi="Arial" w:cs="Arial"/>
          <w:kern w:val="0"/>
          <w:lang w:val="en-US"/>
        </w:rPr>
        <w:t>as ± SEM (n/ group indicated in each column)</w:t>
      </w:r>
      <w:r w:rsidR="008E3D46">
        <w:rPr>
          <w:rFonts w:ascii="Arial" w:hAnsi="Arial" w:cs="Arial"/>
          <w:kern w:val="0"/>
          <w:lang w:val="en-US"/>
        </w:rPr>
        <w:t>.</w:t>
      </w:r>
      <w:r w:rsidRPr="00BE1E29">
        <w:rPr>
          <w:rFonts w:ascii="Arial" w:hAnsi="Arial" w:cs="Arial"/>
          <w:kern w:val="0"/>
          <w:lang w:val="en-US"/>
        </w:rPr>
        <w:t xml:space="preserve"> </w:t>
      </w:r>
      <w:r w:rsidRPr="005C4A0E">
        <w:rPr>
          <w:rFonts w:ascii="Arial" w:hAnsi="Arial" w:cs="Arial"/>
          <w:i/>
          <w:iCs/>
          <w:kern w:val="0"/>
          <w:lang w:val="en-US"/>
        </w:rPr>
        <w:t>Statistics</w:t>
      </w:r>
      <w:r w:rsidRPr="00BE1E29">
        <w:rPr>
          <w:rFonts w:ascii="Arial" w:hAnsi="Arial" w:cs="Arial"/>
          <w:kern w:val="0"/>
          <w:lang w:val="en-US"/>
        </w:rPr>
        <w:t>:</w:t>
      </w:r>
      <w:r>
        <w:rPr>
          <w:rFonts w:ascii="Arial" w:hAnsi="Arial" w:cs="Arial"/>
          <w:b/>
          <w:bCs/>
          <w:kern w:val="0"/>
          <w:lang w:val="en-US"/>
        </w:rPr>
        <w:t xml:space="preserve"> </w:t>
      </w:r>
      <w:r w:rsidR="00EA72AD" w:rsidRPr="005C4A0E">
        <w:rPr>
          <w:rFonts w:ascii="Arial" w:hAnsi="Arial" w:cs="Arial"/>
          <w:b/>
          <w:bCs/>
          <w:kern w:val="0"/>
          <w:lang w:val="en-US"/>
        </w:rPr>
        <w:t>A</w:t>
      </w:r>
      <w:r w:rsidR="005C4A0E" w:rsidRPr="005C4A0E">
        <w:rPr>
          <w:rFonts w:ascii="Arial" w:hAnsi="Arial" w:cs="Arial"/>
          <w:b/>
          <w:bCs/>
          <w:kern w:val="0"/>
          <w:lang w:val="en-US"/>
        </w:rPr>
        <w:t>-D</w:t>
      </w:r>
      <w:r w:rsidR="00EA72AD" w:rsidRPr="005C4A0E">
        <w:rPr>
          <w:rFonts w:ascii="Arial" w:hAnsi="Arial" w:cs="Arial"/>
          <w:b/>
          <w:bCs/>
          <w:kern w:val="0"/>
          <w:lang w:val="en-US"/>
        </w:rPr>
        <w:t>)</w:t>
      </w:r>
      <w:r w:rsidR="00EA72AD">
        <w:rPr>
          <w:rFonts w:ascii="Arial" w:hAnsi="Arial" w:cs="Arial"/>
          <w:kern w:val="0"/>
          <w:lang w:val="en-US"/>
        </w:rPr>
        <w:t xml:space="preserve"> </w:t>
      </w:r>
      <w:r w:rsidR="005C4A0E">
        <w:rPr>
          <w:rFonts w:ascii="Arial" w:hAnsi="Arial" w:cs="Arial"/>
          <w:kern w:val="0"/>
          <w:lang w:val="en-US"/>
        </w:rPr>
        <w:t>Kruskal-Wallis, followed by Wilcoxon’s post hoc (</w:t>
      </w:r>
      <w:r w:rsidR="005C4A0E" w:rsidRPr="00FC186C">
        <w:rPr>
          <w:rFonts w:ascii="Arial" w:hAnsi="Arial" w:cs="Arial"/>
          <w:kern w:val="0"/>
          <w:vertAlign w:val="superscript"/>
          <w:lang w:val="en-US"/>
        </w:rPr>
        <w:t>$</w:t>
      </w:r>
      <w:r w:rsidR="005C4A0E">
        <w:rPr>
          <w:rFonts w:ascii="Arial" w:hAnsi="Arial" w:cs="Arial"/>
          <w:kern w:val="0"/>
          <w:lang w:val="en-US"/>
        </w:rPr>
        <w:t xml:space="preserve">p&lt; 0.05, </w:t>
      </w:r>
      <w:r w:rsidR="005C4A0E" w:rsidRPr="00FC186C">
        <w:rPr>
          <w:rFonts w:ascii="Arial" w:hAnsi="Arial" w:cs="Arial"/>
          <w:kern w:val="0"/>
          <w:vertAlign w:val="superscript"/>
          <w:lang w:val="en-US"/>
        </w:rPr>
        <w:t>$$</w:t>
      </w:r>
      <w:r w:rsidR="005C4A0E">
        <w:rPr>
          <w:rFonts w:ascii="Arial" w:hAnsi="Arial" w:cs="Arial"/>
          <w:kern w:val="0"/>
          <w:lang w:val="en-US"/>
        </w:rPr>
        <w:t>p&lt; 0.01).</w:t>
      </w:r>
      <w:r w:rsidR="00EA72AD" w:rsidRPr="00186692">
        <w:rPr>
          <w:rFonts w:ascii="Arial" w:hAnsi="Arial" w:cs="Arial"/>
          <w:i/>
          <w:iCs/>
          <w:kern w:val="0"/>
          <w:lang w:val="en-US"/>
        </w:rPr>
        <w:t xml:space="preserve"> </w:t>
      </w:r>
      <w:r w:rsidRPr="00BE1E29">
        <w:rPr>
          <w:rFonts w:ascii="Arial" w:hAnsi="Arial" w:cs="Arial"/>
          <w:kern w:val="0"/>
          <w:lang w:val="en-US"/>
        </w:rPr>
        <w:t xml:space="preserve">Abbreviations: 3xTg-AD: Triple transgenic mice; Ago, CL: </w:t>
      </w:r>
      <w:r w:rsidRPr="00BE1E29">
        <w:rPr>
          <w:rFonts w:ascii="Arial" w:hAnsi="Arial" w:cs="Arial"/>
          <w:kern w:val="0"/>
          <w:lang w:val="en-US"/>
        </w:rPr>
        <w:sym w:font="Symbol" w:char="F062"/>
      </w:r>
      <w:r w:rsidRPr="00BE1E29">
        <w:rPr>
          <w:rFonts w:ascii="Arial" w:hAnsi="Arial" w:cs="Arial"/>
          <w:kern w:val="0"/>
          <w:lang w:val="en-US"/>
        </w:rPr>
        <w:t>3AR agonist CL-316,243; NonTg: Non- transgenic; S: Saline-injected mice.</w:t>
      </w:r>
    </w:p>
    <w:p w14:paraId="0D47944E" w14:textId="77777777" w:rsidR="00D022BF" w:rsidRPr="00D022BF" w:rsidRDefault="00D022BF" w:rsidP="00993D72">
      <w:pPr>
        <w:rPr>
          <w:rFonts w:ascii="Arial" w:hAnsi="Arial" w:cs="Arial"/>
          <w:lang w:val="en-US"/>
        </w:rPr>
      </w:pPr>
    </w:p>
    <w:p w14:paraId="4AE04B2E" w14:textId="77777777" w:rsidR="00D022BF" w:rsidRDefault="00D022BF" w:rsidP="00993D72">
      <w:pPr>
        <w:rPr>
          <w:rFonts w:ascii="Arial" w:hAnsi="Arial" w:cs="Arial"/>
          <w:b/>
          <w:bCs/>
        </w:rPr>
      </w:pPr>
    </w:p>
    <w:p w14:paraId="35C81E39" w14:textId="77777777" w:rsidR="00D022BF" w:rsidRDefault="00D022BF" w:rsidP="00993D72">
      <w:pPr>
        <w:rPr>
          <w:rFonts w:ascii="Arial" w:hAnsi="Arial" w:cs="Arial"/>
          <w:b/>
          <w:bCs/>
        </w:rPr>
      </w:pPr>
    </w:p>
    <w:p w14:paraId="7891B3B3" w14:textId="77777777" w:rsidR="00D022BF" w:rsidRDefault="00D022BF" w:rsidP="00993D72">
      <w:pPr>
        <w:rPr>
          <w:rFonts w:ascii="Arial" w:hAnsi="Arial" w:cs="Arial"/>
          <w:b/>
          <w:bCs/>
        </w:rPr>
      </w:pPr>
    </w:p>
    <w:p w14:paraId="39E4B81E" w14:textId="77777777" w:rsidR="00D022BF" w:rsidRDefault="00D022BF" w:rsidP="00993D72">
      <w:pPr>
        <w:rPr>
          <w:rFonts w:ascii="Arial" w:hAnsi="Arial" w:cs="Arial"/>
          <w:b/>
          <w:bCs/>
        </w:rPr>
      </w:pPr>
    </w:p>
    <w:p w14:paraId="12114D8B" w14:textId="77777777" w:rsidR="005C4A0E" w:rsidRDefault="005C4A0E" w:rsidP="00993D72">
      <w:pPr>
        <w:rPr>
          <w:rFonts w:ascii="Arial" w:hAnsi="Arial" w:cs="Arial"/>
          <w:b/>
          <w:bCs/>
        </w:rPr>
      </w:pPr>
    </w:p>
    <w:p w14:paraId="57A7EFD6" w14:textId="77777777" w:rsidR="005C4A0E" w:rsidRDefault="005C4A0E" w:rsidP="00993D72">
      <w:pPr>
        <w:rPr>
          <w:rFonts w:ascii="Arial" w:hAnsi="Arial" w:cs="Arial"/>
          <w:b/>
          <w:bCs/>
        </w:rPr>
      </w:pPr>
    </w:p>
    <w:p w14:paraId="0A899A88" w14:textId="3CD87908" w:rsidR="0043627B" w:rsidRPr="00912388" w:rsidRDefault="0043627B" w:rsidP="00993D72">
      <w:pPr>
        <w:rPr>
          <w:rFonts w:ascii="Arial" w:hAnsi="Arial" w:cs="Arial"/>
          <w:b/>
          <w:bCs/>
        </w:rPr>
      </w:pPr>
      <w:r w:rsidRPr="00912388">
        <w:rPr>
          <w:rFonts w:ascii="Arial" w:hAnsi="Arial" w:cs="Arial"/>
          <w:b/>
          <w:bCs/>
        </w:rPr>
        <w:lastRenderedPageBreak/>
        <w:t>Enzymes involved in tau phosphorylation</w:t>
      </w:r>
    </w:p>
    <w:p w14:paraId="6D8D9B1F" w14:textId="0DFD9737" w:rsidR="0043627B" w:rsidRDefault="002061ED" w:rsidP="00993D72">
      <w:r w:rsidRPr="002061ED">
        <w:rPr>
          <w:noProof/>
        </w:rPr>
        <w:drawing>
          <wp:inline distT="0" distB="0" distL="0" distR="0" wp14:anchorId="549EE482" wp14:editId="23D1E212">
            <wp:extent cx="5943600" cy="4321810"/>
            <wp:effectExtent l="0" t="0" r="0" b="0"/>
            <wp:docPr id="357433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330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724C8" w14:textId="17AD3E8C" w:rsidR="0043627B" w:rsidRPr="002061ED" w:rsidRDefault="00D66EDB" w:rsidP="00436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b/>
          <w:bCs/>
          <w:kern w:val="0"/>
        </w:rPr>
        <w:t xml:space="preserve">Figure </w:t>
      </w:r>
      <w:r w:rsidR="00575104">
        <w:rPr>
          <w:rFonts w:ascii="Arial" w:hAnsi="Arial" w:cs="Arial"/>
          <w:b/>
          <w:bCs/>
          <w:kern w:val="0"/>
        </w:rPr>
        <w:t>2</w:t>
      </w:r>
      <w:r>
        <w:rPr>
          <w:rFonts w:ascii="Arial" w:hAnsi="Arial" w:cs="Arial"/>
          <w:b/>
          <w:bCs/>
          <w:kern w:val="0"/>
        </w:rPr>
        <w:t xml:space="preserve">. </w:t>
      </w:r>
      <w:r w:rsidR="0043627B" w:rsidRPr="002061ED">
        <w:rPr>
          <w:rFonts w:ascii="Arial" w:hAnsi="Arial" w:cs="Arial"/>
          <w:b/>
          <w:bCs/>
          <w:kern w:val="0"/>
        </w:rPr>
        <w:t xml:space="preserve">Chronic β3AR treatment does not modify </w:t>
      </w:r>
      <w:r w:rsidR="006827F2" w:rsidRPr="002061ED">
        <w:rPr>
          <w:rFonts w:ascii="Arial" w:hAnsi="Arial" w:cs="Arial"/>
          <w:b/>
          <w:bCs/>
          <w:kern w:val="0"/>
        </w:rPr>
        <w:t>enzymes involved in tau phosphorylation.</w:t>
      </w:r>
      <w:r w:rsidR="0043627B" w:rsidRPr="002061ED">
        <w:rPr>
          <w:rFonts w:ascii="Arial" w:hAnsi="Arial" w:cs="Arial"/>
          <w:kern w:val="0"/>
        </w:rPr>
        <w:t xml:space="preserve"> </w:t>
      </w:r>
      <w:r w:rsidR="0043627B" w:rsidRPr="002061ED">
        <w:rPr>
          <w:rFonts w:ascii="Arial" w:hAnsi="Arial" w:cs="Arial"/>
          <w:b/>
          <w:bCs/>
          <w:kern w:val="0"/>
        </w:rPr>
        <w:t>A-</w:t>
      </w:r>
      <w:r w:rsidR="006827F2" w:rsidRPr="002061ED">
        <w:rPr>
          <w:rFonts w:ascii="Arial" w:hAnsi="Arial" w:cs="Arial"/>
          <w:b/>
          <w:bCs/>
          <w:kern w:val="0"/>
        </w:rPr>
        <w:t>D</w:t>
      </w:r>
      <w:r w:rsidR="0043627B" w:rsidRPr="002061ED">
        <w:rPr>
          <w:rFonts w:ascii="Arial" w:hAnsi="Arial" w:cs="Arial"/>
          <w:kern w:val="0"/>
        </w:rPr>
        <w:t>) Relative levels of pGSK3</w:t>
      </w:r>
      <w:r w:rsidR="0043627B" w:rsidRPr="002061ED">
        <w:rPr>
          <w:rFonts w:ascii="Arial" w:hAnsi="Arial" w:cs="Arial"/>
          <w:kern w:val="0"/>
        </w:rPr>
        <w:sym w:font="Symbol" w:char="F062"/>
      </w:r>
      <w:r w:rsidR="0043627B" w:rsidRPr="002061ED">
        <w:rPr>
          <w:rFonts w:ascii="Arial" w:hAnsi="Arial" w:cs="Arial"/>
          <w:kern w:val="0"/>
        </w:rPr>
        <w:t xml:space="preserve"> (Y216)/ GSK3</w:t>
      </w:r>
      <w:r w:rsidR="0043627B" w:rsidRPr="002061ED">
        <w:rPr>
          <w:rFonts w:ascii="Arial" w:hAnsi="Arial" w:cs="Arial"/>
          <w:kern w:val="0"/>
        </w:rPr>
        <w:sym w:font="Symbol" w:char="F062"/>
      </w:r>
      <w:r w:rsidR="0043627B" w:rsidRPr="002061ED">
        <w:rPr>
          <w:rFonts w:ascii="Arial" w:hAnsi="Arial" w:cs="Arial"/>
          <w:kern w:val="0"/>
        </w:rPr>
        <w:t>, pGSK3</w:t>
      </w:r>
      <w:r w:rsidR="0043627B" w:rsidRPr="002061ED">
        <w:rPr>
          <w:rFonts w:ascii="Arial" w:hAnsi="Arial" w:cs="Arial"/>
          <w:kern w:val="0"/>
        </w:rPr>
        <w:sym w:font="Symbol" w:char="F062"/>
      </w:r>
      <w:r w:rsidR="0043627B" w:rsidRPr="002061ED">
        <w:rPr>
          <w:rFonts w:ascii="Arial" w:hAnsi="Arial" w:cs="Arial"/>
          <w:kern w:val="0"/>
        </w:rPr>
        <w:t xml:space="preserve"> (Ser9)/ GSK3</w:t>
      </w:r>
      <w:r w:rsidR="0043627B" w:rsidRPr="002061ED">
        <w:rPr>
          <w:rFonts w:ascii="Arial" w:hAnsi="Arial" w:cs="Arial"/>
          <w:kern w:val="0"/>
        </w:rPr>
        <w:sym w:font="Symbol" w:char="F062"/>
      </w:r>
      <w:r w:rsidR="0043627B" w:rsidRPr="002061ED">
        <w:rPr>
          <w:rFonts w:ascii="Arial" w:hAnsi="Arial" w:cs="Arial"/>
          <w:kern w:val="0"/>
        </w:rPr>
        <w:t>, methyl-PP2AC,</w:t>
      </w:r>
      <w:r w:rsidR="006827F2" w:rsidRPr="002061ED">
        <w:rPr>
          <w:rFonts w:ascii="Arial" w:hAnsi="Arial" w:cs="Arial"/>
          <w:kern w:val="0"/>
        </w:rPr>
        <w:t xml:space="preserve"> and</w:t>
      </w:r>
      <w:r w:rsidR="0043627B" w:rsidRPr="002061ED">
        <w:rPr>
          <w:rFonts w:ascii="Arial" w:hAnsi="Arial" w:cs="Arial"/>
          <w:kern w:val="0"/>
        </w:rPr>
        <w:t xml:space="preserve"> PP2AC, in detergent-soluble hippocampal homogenates of NonTg and 3xTg-AD mice. </w:t>
      </w:r>
      <w:r w:rsidR="006827F2" w:rsidRPr="002061ED">
        <w:rPr>
          <w:rFonts w:ascii="Arial" w:hAnsi="Arial" w:cs="Arial"/>
          <w:b/>
          <w:bCs/>
          <w:kern w:val="0"/>
        </w:rPr>
        <w:t>E</w:t>
      </w:r>
      <w:r w:rsidR="0043627B" w:rsidRPr="002061ED">
        <w:rPr>
          <w:rFonts w:ascii="Arial" w:hAnsi="Arial" w:cs="Arial"/>
          <w:kern w:val="0"/>
        </w:rPr>
        <w:t xml:space="preserve">) </w:t>
      </w:r>
      <w:r w:rsidR="00CB7160" w:rsidRPr="00BE1E29">
        <w:rPr>
          <w:rFonts w:ascii="Arial" w:hAnsi="Arial" w:cs="Arial"/>
          <w:kern w:val="0"/>
        </w:rPr>
        <w:t xml:space="preserve">Examples of Western blots. </w:t>
      </w:r>
      <w:r w:rsidR="00CB7160" w:rsidRPr="00405192">
        <w:rPr>
          <w:rFonts w:ascii="Arial" w:hAnsi="Arial" w:cs="Arial"/>
          <w:kern w:val="0"/>
        </w:rPr>
        <w:t xml:space="preserve">Equal amounts of protein from each homogenate were loaded and run on the same gel in </w:t>
      </w:r>
      <w:r w:rsidR="00CB7160">
        <w:rPr>
          <w:rFonts w:ascii="Arial" w:hAnsi="Arial" w:cs="Arial"/>
          <w:kern w:val="0"/>
        </w:rPr>
        <w:t xml:space="preserve">a </w:t>
      </w:r>
      <w:r w:rsidR="00CB7160" w:rsidRPr="00405192">
        <w:rPr>
          <w:rFonts w:ascii="Arial" w:hAnsi="Arial" w:cs="Arial"/>
          <w:kern w:val="0"/>
        </w:rPr>
        <w:t>random</w:t>
      </w:r>
      <w:r w:rsidR="00CB7160">
        <w:rPr>
          <w:rFonts w:ascii="Arial" w:hAnsi="Arial" w:cs="Arial"/>
          <w:kern w:val="0"/>
        </w:rPr>
        <w:t>ized</w:t>
      </w:r>
      <w:r w:rsidR="00CB7160" w:rsidRPr="00405192">
        <w:rPr>
          <w:rFonts w:ascii="Arial" w:hAnsi="Arial" w:cs="Arial"/>
          <w:kern w:val="0"/>
        </w:rPr>
        <w:t xml:space="preserve"> order. When bands were rearranged to match the histogram order, this is indicated by a dividing line</w:t>
      </w:r>
      <w:r w:rsidR="00CB7160" w:rsidRPr="00BE1E29">
        <w:rPr>
          <w:rFonts w:ascii="Arial" w:hAnsi="Arial" w:cs="Arial"/>
          <w:kern w:val="0"/>
        </w:rPr>
        <w:t xml:space="preserve">. Data are represented as mean </w:t>
      </w:r>
      <w:r w:rsidR="00CB7160" w:rsidRPr="00BE1E29">
        <w:rPr>
          <w:rFonts w:ascii="Arial" w:hAnsi="Arial" w:cs="Arial"/>
          <w:kern w:val="0"/>
          <w:lang w:val="en-US"/>
        </w:rPr>
        <w:t>as ± SEM (n/ group indicated in each column)</w:t>
      </w:r>
      <w:r w:rsidR="00CB7160">
        <w:rPr>
          <w:rFonts w:ascii="Arial" w:hAnsi="Arial" w:cs="Arial"/>
          <w:kern w:val="0"/>
          <w:lang w:val="en-US"/>
        </w:rPr>
        <w:t xml:space="preserve">. </w:t>
      </w:r>
      <w:r w:rsidR="0043627B" w:rsidRPr="00CB7160">
        <w:rPr>
          <w:rFonts w:ascii="Arial" w:hAnsi="Arial" w:cs="Arial"/>
          <w:i/>
          <w:iCs/>
          <w:kern w:val="0"/>
          <w:lang w:val="en-US"/>
        </w:rPr>
        <w:t>Statistics</w:t>
      </w:r>
      <w:r w:rsidR="0043627B" w:rsidRPr="002061ED">
        <w:rPr>
          <w:rFonts w:ascii="Arial" w:hAnsi="Arial" w:cs="Arial"/>
          <w:kern w:val="0"/>
          <w:lang w:val="en-US"/>
        </w:rPr>
        <w:t xml:space="preserve">: </w:t>
      </w:r>
      <w:r w:rsidR="0043627B" w:rsidRPr="002061ED">
        <w:rPr>
          <w:rFonts w:ascii="Arial" w:hAnsi="Arial" w:cs="Arial"/>
          <w:b/>
          <w:bCs/>
          <w:kern w:val="0"/>
          <w:lang w:val="en-US"/>
        </w:rPr>
        <w:t>A-</w:t>
      </w:r>
      <w:r w:rsidR="006827F2" w:rsidRPr="002061ED">
        <w:rPr>
          <w:rFonts w:ascii="Arial" w:hAnsi="Arial" w:cs="Arial"/>
          <w:b/>
          <w:bCs/>
          <w:kern w:val="0"/>
          <w:lang w:val="en-US"/>
        </w:rPr>
        <w:t>D</w:t>
      </w:r>
      <w:r w:rsidR="0043627B" w:rsidRPr="002061ED">
        <w:rPr>
          <w:rFonts w:ascii="Arial" w:hAnsi="Arial" w:cs="Arial"/>
          <w:kern w:val="0"/>
          <w:lang w:val="en-US"/>
        </w:rPr>
        <w:t xml:space="preserve">): </w:t>
      </w:r>
      <w:r w:rsidR="002061ED" w:rsidRPr="002061ED">
        <w:rPr>
          <w:rFonts w:ascii="Arial" w:hAnsi="Arial" w:cs="Arial"/>
          <w:kern w:val="0"/>
          <w:lang w:val="en-US"/>
        </w:rPr>
        <w:t>Standard least square model with genotype and condition (saline 22°C, saline 4°C, and agonist 4°C) as fixed effects, including their interaction.</w:t>
      </w:r>
      <w:r w:rsidR="005C4A0E">
        <w:rPr>
          <w:rFonts w:ascii="Arial" w:hAnsi="Arial" w:cs="Arial"/>
          <w:kern w:val="0"/>
          <w:lang w:val="en-US"/>
        </w:rPr>
        <w:t xml:space="preserve"> </w:t>
      </w:r>
      <w:r w:rsidR="005C4A0E" w:rsidRPr="005C4A0E">
        <w:rPr>
          <w:rFonts w:ascii="Arial" w:hAnsi="Arial" w:cs="Arial"/>
          <w:b/>
          <w:bCs/>
          <w:kern w:val="0"/>
          <w:lang w:val="en-US"/>
        </w:rPr>
        <w:t>A-D)</w:t>
      </w:r>
      <w:r w:rsidR="005C4A0E">
        <w:rPr>
          <w:rFonts w:ascii="Arial" w:hAnsi="Arial" w:cs="Arial"/>
          <w:kern w:val="0"/>
          <w:lang w:val="en-US"/>
        </w:rPr>
        <w:t xml:space="preserve"> Kruskal-Wallis, ns. </w:t>
      </w:r>
      <w:r w:rsidR="0043627B" w:rsidRPr="002061ED">
        <w:rPr>
          <w:rFonts w:ascii="Arial" w:hAnsi="Arial" w:cs="Arial"/>
          <w:kern w:val="0"/>
          <w:lang w:val="en-US"/>
        </w:rPr>
        <w:t xml:space="preserve">Abbreviations: 3xTg-AD: Triple transgenic mice; Ago, CL: </w:t>
      </w:r>
      <w:r w:rsidR="0043627B" w:rsidRPr="002061ED">
        <w:rPr>
          <w:rFonts w:ascii="Arial" w:hAnsi="Arial" w:cs="Arial"/>
          <w:kern w:val="0"/>
          <w:lang w:val="en-US"/>
        </w:rPr>
        <w:sym w:font="Symbol" w:char="F062"/>
      </w:r>
      <w:r w:rsidR="0043627B" w:rsidRPr="002061ED">
        <w:rPr>
          <w:rFonts w:ascii="Arial" w:hAnsi="Arial" w:cs="Arial"/>
          <w:kern w:val="0"/>
          <w:lang w:val="en-US"/>
        </w:rPr>
        <w:t xml:space="preserve">3AR agonist CL-316,243; BACE-1: </w:t>
      </w:r>
      <w:r w:rsidR="0043627B" w:rsidRPr="002061ED">
        <w:rPr>
          <w:rFonts w:ascii="Arial" w:hAnsi="Arial" w:cs="Arial"/>
          <w:kern w:val="0"/>
          <w:lang w:val="en-US"/>
        </w:rPr>
        <w:sym w:font="Symbol" w:char="F062"/>
      </w:r>
      <w:r w:rsidR="0043627B" w:rsidRPr="002061ED">
        <w:rPr>
          <w:rFonts w:ascii="Arial" w:hAnsi="Arial" w:cs="Arial"/>
          <w:kern w:val="0"/>
          <w:lang w:val="en-US"/>
        </w:rPr>
        <w:t>- secretase-1; IDE: Insulin degrading enzyme; NonTg: Non- transgenic; S: Saline-injected mice.</w:t>
      </w:r>
    </w:p>
    <w:p w14:paraId="4104999B" w14:textId="77777777" w:rsidR="00102C5D" w:rsidRDefault="00102C5D" w:rsidP="00993D72"/>
    <w:sectPr w:rsidR="00102C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1B"/>
    <w:rsid w:val="00000911"/>
    <w:rsid w:val="000063F4"/>
    <w:rsid w:val="000079F4"/>
    <w:rsid w:val="000139BE"/>
    <w:rsid w:val="00016715"/>
    <w:rsid w:val="000216B5"/>
    <w:rsid w:val="00024ADE"/>
    <w:rsid w:val="00027E6B"/>
    <w:rsid w:val="00031038"/>
    <w:rsid w:val="0003288E"/>
    <w:rsid w:val="0003345B"/>
    <w:rsid w:val="00042366"/>
    <w:rsid w:val="000510A2"/>
    <w:rsid w:val="00085112"/>
    <w:rsid w:val="000952E8"/>
    <w:rsid w:val="000975DE"/>
    <w:rsid w:val="000A42EA"/>
    <w:rsid w:val="000B1493"/>
    <w:rsid w:val="000B5E8F"/>
    <w:rsid w:val="000B7AF8"/>
    <w:rsid w:val="000C003A"/>
    <w:rsid w:val="000C11E7"/>
    <w:rsid w:val="000C1E34"/>
    <w:rsid w:val="000C2B66"/>
    <w:rsid w:val="000D661D"/>
    <w:rsid w:val="000D7117"/>
    <w:rsid w:val="000E196C"/>
    <w:rsid w:val="000E4A6D"/>
    <w:rsid w:val="000F350A"/>
    <w:rsid w:val="000F4F9E"/>
    <w:rsid w:val="00102C5D"/>
    <w:rsid w:val="001170F3"/>
    <w:rsid w:val="0012227E"/>
    <w:rsid w:val="00123C23"/>
    <w:rsid w:val="00127CA1"/>
    <w:rsid w:val="001341DA"/>
    <w:rsid w:val="001355B8"/>
    <w:rsid w:val="0014377F"/>
    <w:rsid w:val="00144DA3"/>
    <w:rsid w:val="00160D53"/>
    <w:rsid w:val="00163D69"/>
    <w:rsid w:val="00173FDA"/>
    <w:rsid w:val="001817A6"/>
    <w:rsid w:val="001A3AFB"/>
    <w:rsid w:val="001B120C"/>
    <w:rsid w:val="001B2AFD"/>
    <w:rsid w:val="001B5184"/>
    <w:rsid w:val="001B7FC6"/>
    <w:rsid w:val="001C0D37"/>
    <w:rsid w:val="001D31D9"/>
    <w:rsid w:val="001D644E"/>
    <w:rsid w:val="001D7BB3"/>
    <w:rsid w:val="001E33E6"/>
    <w:rsid w:val="001F6FE6"/>
    <w:rsid w:val="002012DD"/>
    <w:rsid w:val="0020509B"/>
    <w:rsid w:val="002061ED"/>
    <w:rsid w:val="00212800"/>
    <w:rsid w:val="00213E2C"/>
    <w:rsid w:val="00220A6C"/>
    <w:rsid w:val="00224AC5"/>
    <w:rsid w:val="0023252C"/>
    <w:rsid w:val="00245982"/>
    <w:rsid w:val="00264A04"/>
    <w:rsid w:val="00281741"/>
    <w:rsid w:val="0028482C"/>
    <w:rsid w:val="002A04BD"/>
    <w:rsid w:val="002A2880"/>
    <w:rsid w:val="002A2EF4"/>
    <w:rsid w:val="002B0458"/>
    <w:rsid w:val="002C69E6"/>
    <w:rsid w:val="002D0963"/>
    <w:rsid w:val="002E564F"/>
    <w:rsid w:val="002E6CDC"/>
    <w:rsid w:val="00300EEE"/>
    <w:rsid w:val="003113F6"/>
    <w:rsid w:val="00311457"/>
    <w:rsid w:val="00321222"/>
    <w:rsid w:val="00324B63"/>
    <w:rsid w:val="00333283"/>
    <w:rsid w:val="00333525"/>
    <w:rsid w:val="003351E9"/>
    <w:rsid w:val="00337B16"/>
    <w:rsid w:val="0035771F"/>
    <w:rsid w:val="00357F97"/>
    <w:rsid w:val="00360672"/>
    <w:rsid w:val="00366F21"/>
    <w:rsid w:val="00373BF9"/>
    <w:rsid w:val="00383492"/>
    <w:rsid w:val="0038561B"/>
    <w:rsid w:val="003969B9"/>
    <w:rsid w:val="003A5426"/>
    <w:rsid w:val="003A730D"/>
    <w:rsid w:val="003C6CC1"/>
    <w:rsid w:val="0040165E"/>
    <w:rsid w:val="00405192"/>
    <w:rsid w:val="00407F84"/>
    <w:rsid w:val="00414732"/>
    <w:rsid w:val="00420A6D"/>
    <w:rsid w:val="004348D3"/>
    <w:rsid w:val="0043538C"/>
    <w:rsid w:val="0043627B"/>
    <w:rsid w:val="00437B52"/>
    <w:rsid w:val="00440C10"/>
    <w:rsid w:val="00447C56"/>
    <w:rsid w:val="004546B3"/>
    <w:rsid w:val="0045711B"/>
    <w:rsid w:val="00461FA4"/>
    <w:rsid w:val="004739DB"/>
    <w:rsid w:val="0049710A"/>
    <w:rsid w:val="004A6F13"/>
    <w:rsid w:val="004B108E"/>
    <w:rsid w:val="004B443F"/>
    <w:rsid w:val="004B4E31"/>
    <w:rsid w:val="004B5A5C"/>
    <w:rsid w:val="004D236E"/>
    <w:rsid w:val="004D29AC"/>
    <w:rsid w:val="004D592B"/>
    <w:rsid w:val="004E2F2D"/>
    <w:rsid w:val="0050125F"/>
    <w:rsid w:val="0051043A"/>
    <w:rsid w:val="00514AF2"/>
    <w:rsid w:val="00515C34"/>
    <w:rsid w:val="00525E1B"/>
    <w:rsid w:val="00526708"/>
    <w:rsid w:val="00526D28"/>
    <w:rsid w:val="00533852"/>
    <w:rsid w:val="00535F71"/>
    <w:rsid w:val="0053626A"/>
    <w:rsid w:val="00541A97"/>
    <w:rsid w:val="0054238E"/>
    <w:rsid w:val="00544D1F"/>
    <w:rsid w:val="00547BA4"/>
    <w:rsid w:val="005528AB"/>
    <w:rsid w:val="00555473"/>
    <w:rsid w:val="00561CFF"/>
    <w:rsid w:val="00567D7E"/>
    <w:rsid w:val="00573F15"/>
    <w:rsid w:val="00575104"/>
    <w:rsid w:val="005810F8"/>
    <w:rsid w:val="005831A9"/>
    <w:rsid w:val="0059691C"/>
    <w:rsid w:val="005975B6"/>
    <w:rsid w:val="00597A49"/>
    <w:rsid w:val="005A02FB"/>
    <w:rsid w:val="005A6C95"/>
    <w:rsid w:val="005B194C"/>
    <w:rsid w:val="005B573D"/>
    <w:rsid w:val="005C4A0E"/>
    <w:rsid w:val="005C78CE"/>
    <w:rsid w:val="005E3E80"/>
    <w:rsid w:val="005F313B"/>
    <w:rsid w:val="005F4BBE"/>
    <w:rsid w:val="00610387"/>
    <w:rsid w:val="00624359"/>
    <w:rsid w:val="00624B18"/>
    <w:rsid w:val="00626880"/>
    <w:rsid w:val="00635A61"/>
    <w:rsid w:val="0063731E"/>
    <w:rsid w:val="00641BAB"/>
    <w:rsid w:val="0064310D"/>
    <w:rsid w:val="006523B3"/>
    <w:rsid w:val="006536E7"/>
    <w:rsid w:val="00660DD4"/>
    <w:rsid w:val="00667125"/>
    <w:rsid w:val="0067501E"/>
    <w:rsid w:val="006827F2"/>
    <w:rsid w:val="00683789"/>
    <w:rsid w:val="006856A7"/>
    <w:rsid w:val="00685762"/>
    <w:rsid w:val="00685E32"/>
    <w:rsid w:val="0069395E"/>
    <w:rsid w:val="006A6B84"/>
    <w:rsid w:val="006B25D7"/>
    <w:rsid w:val="006C0ECC"/>
    <w:rsid w:val="006C111E"/>
    <w:rsid w:val="006C4E64"/>
    <w:rsid w:val="006C5B3B"/>
    <w:rsid w:val="006C7970"/>
    <w:rsid w:val="006D60AF"/>
    <w:rsid w:val="006D6E5D"/>
    <w:rsid w:val="006E1B32"/>
    <w:rsid w:val="006E2611"/>
    <w:rsid w:val="006F4418"/>
    <w:rsid w:val="0070328A"/>
    <w:rsid w:val="00704625"/>
    <w:rsid w:val="0070465F"/>
    <w:rsid w:val="00705797"/>
    <w:rsid w:val="00705AD8"/>
    <w:rsid w:val="00713305"/>
    <w:rsid w:val="0071400E"/>
    <w:rsid w:val="00721E16"/>
    <w:rsid w:val="007274B8"/>
    <w:rsid w:val="0074476E"/>
    <w:rsid w:val="00763981"/>
    <w:rsid w:val="00766E65"/>
    <w:rsid w:val="007868B8"/>
    <w:rsid w:val="007906E8"/>
    <w:rsid w:val="00790FFC"/>
    <w:rsid w:val="0079603B"/>
    <w:rsid w:val="007A38F6"/>
    <w:rsid w:val="007A46A9"/>
    <w:rsid w:val="007A5641"/>
    <w:rsid w:val="007A7ED6"/>
    <w:rsid w:val="007B483E"/>
    <w:rsid w:val="007B6844"/>
    <w:rsid w:val="007D6420"/>
    <w:rsid w:val="007E20CB"/>
    <w:rsid w:val="00802673"/>
    <w:rsid w:val="00810B21"/>
    <w:rsid w:val="0081167B"/>
    <w:rsid w:val="00815C34"/>
    <w:rsid w:val="0081793E"/>
    <w:rsid w:val="00817CA2"/>
    <w:rsid w:val="00824937"/>
    <w:rsid w:val="00824972"/>
    <w:rsid w:val="00825243"/>
    <w:rsid w:val="008428FD"/>
    <w:rsid w:val="0084550C"/>
    <w:rsid w:val="008525D4"/>
    <w:rsid w:val="00853C54"/>
    <w:rsid w:val="00862985"/>
    <w:rsid w:val="00863234"/>
    <w:rsid w:val="00863CB4"/>
    <w:rsid w:val="008641AB"/>
    <w:rsid w:val="0086644A"/>
    <w:rsid w:val="00870781"/>
    <w:rsid w:val="008719DD"/>
    <w:rsid w:val="008923C0"/>
    <w:rsid w:val="008A6CCE"/>
    <w:rsid w:val="008B3E8F"/>
    <w:rsid w:val="008B42B0"/>
    <w:rsid w:val="008C1277"/>
    <w:rsid w:val="008E11BC"/>
    <w:rsid w:val="008E3D46"/>
    <w:rsid w:val="008F3489"/>
    <w:rsid w:val="00902FF2"/>
    <w:rsid w:val="00905CF2"/>
    <w:rsid w:val="00912388"/>
    <w:rsid w:val="0091707C"/>
    <w:rsid w:val="009207FD"/>
    <w:rsid w:val="00923F0B"/>
    <w:rsid w:val="00931EEE"/>
    <w:rsid w:val="00933ACB"/>
    <w:rsid w:val="00936E38"/>
    <w:rsid w:val="00937F9F"/>
    <w:rsid w:val="00952560"/>
    <w:rsid w:val="0096588B"/>
    <w:rsid w:val="009734D5"/>
    <w:rsid w:val="00993D72"/>
    <w:rsid w:val="009A44BE"/>
    <w:rsid w:val="009C1D86"/>
    <w:rsid w:val="009C2878"/>
    <w:rsid w:val="009D0CA8"/>
    <w:rsid w:val="009D1730"/>
    <w:rsid w:val="009D1F49"/>
    <w:rsid w:val="009D5224"/>
    <w:rsid w:val="009F0AEE"/>
    <w:rsid w:val="00A02051"/>
    <w:rsid w:val="00A11B44"/>
    <w:rsid w:val="00A12477"/>
    <w:rsid w:val="00A17EF8"/>
    <w:rsid w:val="00A30355"/>
    <w:rsid w:val="00A360B7"/>
    <w:rsid w:val="00A43DC9"/>
    <w:rsid w:val="00A6228C"/>
    <w:rsid w:val="00A635AA"/>
    <w:rsid w:val="00A935A7"/>
    <w:rsid w:val="00A9597F"/>
    <w:rsid w:val="00AA270A"/>
    <w:rsid w:val="00AA2A16"/>
    <w:rsid w:val="00AB3AB4"/>
    <w:rsid w:val="00AC0783"/>
    <w:rsid w:val="00AF2A32"/>
    <w:rsid w:val="00AF44D7"/>
    <w:rsid w:val="00B034E5"/>
    <w:rsid w:val="00B049EA"/>
    <w:rsid w:val="00B05095"/>
    <w:rsid w:val="00B22FD7"/>
    <w:rsid w:val="00B31574"/>
    <w:rsid w:val="00B46D34"/>
    <w:rsid w:val="00B470B7"/>
    <w:rsid w:val="00B56EC6"/>
    <w:rsid w:val="00B64516"/>
    <w:rsid w:val="00B6467B"/>
    <w:rsid w:val="00B64DDA"/>
    <w:rsid w:val="00B8211A"/>
    <w:rsid w:val="00B82B18"/>
    <w:rsid w:val="00B852F0"/>
    <w:rsid w:val="00B92CFF"/>
    <w:rsid w:val="00BA4FF6"/>
    <w:rsid w:val="00BD5711"/>
    <w:rsid w:val="00C21052"/>
    <w:rsid w:val="00C30953"/>
    <w:rsid w:val="00C460E5"/>
    <w:rsid w:val="00C509A3"/>
    <w:rsid w:val="00C53394"/>
    <w:rsid w:val="00C611AC"/>
    <w:rsid w:val="00C62BE6"/>
    <w:rsid w:val="00C73263"/>
    <w:rsid w:val="00C745EA"/>
    <w:rsid w:val="00C83C38"/>
    <w:rsid w:val="00C85C73"/>
    <w:rsid w:val="00C96CCE"/>
    <w:rsid w:val="00CB28D2"/>
    <w:rsid w:val="00CB7160"/>
    <w:rsid w:val="00CB72A6"/>
    <w:rsid w:val="00CC1E81"/>
    <w:rsid w:val="00CC3123"/>
    <w:rsid w:val="00CC5AF6"/>
    <w:rsid w:val="00CE4B2D"/>
    <w:rsid w:val="00CF4ADB"/>
    <w:rsid w:val="00CF7112"/>
    <w:rsid w:val="00D00CEB"/>
    <w:rsid w:val="00D022BF"/>
    <w:rsid w:val="00D1614A"/>
    <w:rsid w:val="00D205A3"/>
    <w:rsid w:val="00D239AC"/>
    <w:rsid w:val="00D37803"/>
    <w:rsid w:val="00D444D1"/>
    <w:rsid w:val="00D45DEE"/>
    <w:rsid w:val="00D53640"/>
    <w:rsid w:val="00D549CB"/>
    <w:rsid w:val="00D661D1"/>
    <w:rsid w:val="00D66EDB"/>
    <w:rsid w:val="00D772A9"/>
    <w:rsid w:val="00D86E1F"/>
    <w:rsid w:val="00D91B42"/>
    <w:rsid w:val="00D959F3"/>
    <w:rsid w:val="00DA3CA5"/>
    <w:rsid w:val="00DB28BE"/>
    <w:rsid w:val="00DB54D2"/>
    <w:rsid w:val="00DC66F0"/>
    <w:rsid w:val="00DD1E68"/>
    <w:rsid w:val="00DD4B2B"/>
    <w:rsid w:val="00DE1055"/>
    <w:rsid w:val="00DE3FA7"/>
    <w:rsid w:val="00DF263A"/>
    <w:rsid w:val="00DF3F17"/>
    <w:rsid w:val="00E1135F"/>
    <w:rsid w:val="00E12771"/>
    <w:rsid w:val="00E147FC"/>
    <w:rsid w:val="00E17FB7"/>
    <w:rsid w:val="00E27472"/>
    <w:rsid w:val="00E326BF"/>
    <w:rsid w:val="00E32CA2"/>
    <w:rsid w:val="00E34F9C"/>
    <w:rsid w:val="00E528ED"/>
    <w:rsid w:val="00E74E3B"/>
    <w:rsid w:val="00E76A5C"/>
    <w:rsid w:val="00E81FE7"/>
    <w:rsid w:val="00E86A2C"/>
    <w:rsid w:val="00E86AE3"/>
    <w:rsid w:val="00E91BA0"/>
    <w:rsid w:val="00E96923"/>
    <w:rsid w:val="00EA6467"/>
    <w:rsid w:val="00EA72AD"/>
    <w:rsid w:val="00EB1B12"/>
    <w:rsid w:val="00EC4908"/>
    <w:rsid w:val="00ED1EFF"/>
    <w:rsid w:val="00ED385A"/>
    <w:rsid w:val="00EE1D19"/>
    <w:rsid w:val="00EE2C4F"/>
    <w:rsid w:val="00EE38B0"/>
    <w:rsid w:val="00EE44BF"/>
    <w:rsid w:val="00EF11AE"/>
    <w:rsid w:val="00F0004F"/>
    <w:rsid w:val="00F066B0"/>
    <w:rsid w:val="00F11245"/>
    <w:rsid w:val="00F228AF"/>
    <w:rsid w:val="00F232FB"/>
    <w:rsid w:val="00F32D7A"/>
    <w:rsid w:val="00F36CF1"/>
    <w:rsid w:val="00F55F06"/>
    <w:rsid w:val="00F5642E"/>
    <w:rsid w:val="00F8693F"/>
    <w:rsid w:val="00F9409C"/>
    <w:rsid w:val="00FA60E1"/>
    <w:rsid w:val="00FB7739"/>
    <w:rsid w:val="00FC6371"/>
    <w:rsid w:val="00FC7CB4"/>
    <w:rsid w:val="00FE08A5"/>
    <w:rsid w:val="00FE2012"/>
    <w:rsid w:val="00FE5056"/>
    <w:rsid w:val="00FE53DC"/>
    <w:rsid w:val="00FE79A9"/>
    <w:rsid w:val="00FF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0C633"/>
  <w15:chartTrackingRefBased/>
  <w15:docId w15:val="{475B4A9E-713B-8E4C-A9A3-B7AE48B1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E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E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E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E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E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E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E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E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E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E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E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2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4353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3538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22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22BF"/>
    <w:pPr>
      <w:spacing w:line="240" w:lineRule="auto"/>
    </w:pPr>
    <w:rPr>
      <w:rFonts w:ascii="Times New Roman" w:eastAsia="MS Mincho" w:hAnsi="Times New Roman"/>
      <w:sz w:val="20"/>
      <w:szCs w:val="20"/>
      <w:lang w:val="fr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22BF"/>
    <w:rPr>
      <w:rFonts w:ascii="Times New Roman" w:eastAsia="MS Mincho" w:hAnsi="Times New Roman"/>
      <w:sz w:val="20"/>
      <w:szCs w:val="20"/>
      <w:lang w:val="fr-CA"/>
    </w:rPr>
  </w:style>
  <w:style w:type="paragraph" w:styleId="Revision">
    <w:name w:val="Revision"/>
    <w:hidden/>
    <w:uiPriority w:val="99"/>
    <w:semiHidden/>
    <w:rsid w:val="004051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Valentin Escalera</dc:creator>
  <cp:keywords/>
  <dc:description/>
  <cp:lastModifiedBy>Josue Valentin Escalera</cp:lastModifiedBy>
  <cp:revision>6</cp:revision>
  <dcterms:created xsi:type="dcterms:W3CDTF">2026-05-27T14:00:00Z</dcterms:created>
  <dcterms:modified xsi:type="dcterms:W3CDTF">2026-06-01T19:38:00Z</dcterms:modified>
</cp:coreProperties>
</file>