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CAEAA" w14:textId="77777777" w:rsidR="00AD18F9" w:rsidRDefault="00AD18F9">
      <w:pPr>
        <w:spacing w:after="0"/>
      </w:pPr>
    </w:p>
    <w:p w14:paraId="5FD9D65F" w14:textId="77777777" w:rsidR="00F66987" w:rsidRDefault="00F66987">
      <w:pPr>
        <w:jc w:val="center"/>
        <w:rPr>
          <w:b/>
          <w:sz w:val="24"/>
        </w:rPr>
      </w:pPr>
    </w:p>
    <w:p w14:paraId="3C0506C9" w14:textId="48B83589" w:rsidR="00F66987" w:rsidRPr="00F66987" w:rsidRDefault="00F66987">
      <w:pPr>
        <w:jc w:val="center"/>
        <w:rPr>
          <w:b/>
          <w:sz w:val="36"/>
          <w:szCs w:val="36"/>
        </w:rPr>
      </w:pPr>
      <w:r w:rsidRPr="00F66987">
        <w:rPr>
          <w:b/>
          <w:sz w:val="36"/>
          <w:szCs w:val="36"/>
        </w:rPr>
        <w:t>Supplementary Material</w:t>
      </w:r>
    </w:p>
    <w:p w14:paraId="21A1E8BA" w14:textId="4301ED9A" w:rsidR="00AD18F9" w:rsidRDefault="00B31B78">
      <w:pPr>
        <w:jc w:val="center"/>
      </w:pPr>
      <w:r>
        <w:rPr>
          <w:b/>
          <w:sz w:val="24"/>
        </w:rPr>
        <w:t>Symptom Expectations and Subsequent Symptom Reporting Following COVID-19 Vaccination: A Prospective Naturalistic Study of Nocebo-Related Processes</w:t>
      </w:r>
    </w:p>
    <w:p w14:paraId="08A31A69" w14:textId="77777777" w:rsidR="00AD18F9" w:rsidRDefault="00B31B78">
      <w:pPr>
        <w:pStyle w:val="Nagwek1"/>
      </w:pPr>
      <w:r>
        <w:rPr>
          <w:rFonts w:ascii="Times New Roman" w:eastAsia="Times New Roman" w:hAnsi="Times New Roman"/>
        </w:rPr>
        <w:t>Supplementary Methods</w:t>
      </w:r>
    </w:p>
    <w:p w14:paraId="7438F58C" w14:textId="77777777" w:rsidR="00AD18F9" w:rsidRDefault="00B31B78">
      <w:r>
        <w:rPr>
          <w:sz w:val="24"/>
        </w:rPr>
        <w:t>The analytic cohort included adults receiving AstraZeneca or Pfizer-BioNTech vaccines at a vaccination point in Poland during the first half of 2021. The baseline questionnaire was completed before vaccination, and the follo</w:t>
      </w:r>
      <w:r>
        <w:rPr>
          <w:sz w:val="24"/>
        </w:rPr>
        <w:t>w-up assessment was conducted by telephone approximately two weeks later. Follow-up outcome analyses used participants with both baseline and post-vaccination data (n = 197). The expected symptom count (range 0–9) and reported symptom count (range 0–8) wer</w:t>
      </w:r>
      <w:r>
        <w:rPr>
          <w:sz w:val="24"/>
        </w:rPr>
        <w:t>e separate overall estimates and were not calculated as sums of the six symptom checklist items. The measures were brief study-specific self-report items; variables coded on 0–100 scales were interpreted so that higher scores represented more of the constr</w:t>
      </w:r>
      <w:r>
        <w:rPr>
          <w:sz w:val="24"/>
        </w:rPr>
        <w:t>uct.</w:t>
      </w:r>
    </w:p>
    <w:p w14:paraId="48310008" w14:textId="77777777" w:rsidR="00AD18F9" w:rsidRDefault="00B31B78">
      <w:r>
        <w:rPr>
          <w:sz w:val="24"/>
        </w:rPr>
        <w:t>The primary negative-binomial model used maximum-likelihood estimation with HC0 robust standard errors. Covariates were vaccine type, sex, and age. The negative-binomial distribution was preferred because the corresponding adjusted Poisson model had a</w:t>
      </w:r>
      <w:r>
        <w:rPr>
          <w:sz w:val="24"/>
        </w:rPr>
        <w:t xml:space="preserve"> Pearson chi-square/degrees-of-freedom ratio of 1.75. Symptom-specific logistic regressions used HC0 robust standard errors and included the corresponding symptom expectation, vaccine type, sex, and age. Nausea was omitted because only three participants r</w:t>
      </w:r>
      <w:r>
        <w:rPr>
          <w:sz w:val="24"/>
        </w:rPr>
        <w:t>eported it at follow-up. Benjamini-Hochberg correction was applied across the five estimable symptom models.</w:t>
      </w:r>
    </w:p>
    <w:p w14:paraId="1ADB1CA2" w14:textId="77777777" w:rsidR="00AD18F9" w:rsidRDefault="00B31B78">
      <w:r>
        <w:rPr>
          <w:sz w:val="24"/>
        </w:rPr>
        <w:t>Spearman confidence intervals were generated by 5,000 percentile bootstrap resamples. False-discovery-rate correction was applied across the nine e</w:t>
      </w:r>
      <w:r>
        <w:rPr>
          <w:sz w:val="24"/>
        </w:rPr>
        <w:t xml:space="preserve">xploratory correlations shown in Supplementary Table S2. For the attrition sensitivity analysis, the probability of follow-up completion was estimated from baseline age, sex, vaccine type, and expected symptom count. Stabilized inverse-probability weights </w:t>
      </w:r>
      <w:r>
        <w:rPr>
          <w:sz w:val="24"/>
        </w:rPr>
        <w:t>were then applied to a negative-binomial model in the follow-up sample. Weights ranged from 0.82 to 3.54 (mean 1.01).</w:t>
      </w:r>
    </w:p>
    <w:p w14:paraId="62E631A4" w14:textId="77777777" w:rsidR="00AD18F9" w:rsidRDefault="00B31B78">
      <w:pPr>
        <w:keepNext/>
        <w:spacing w:after="60"/>
      </w:pPr>
      <w:r>
        <w:rPr>
          <w:sz w:val="24"/>
        </w:rPr>
        <w:t>Supplementary Table S1. Expected and reported symptoms among follow-up participants (n = 197)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2494"/>
        <w:gridCol w:w="2494"/>
        <w:gridCol w:w="1361"/>
      </w:tblGrid>
      <w:tr w:rsidR="00AD18F9" w14:paraId="05FC97A6" w14:textId="77777777">
        <w:trPr>
          <w:tblHeader/>
          <w:jc w:val="center"/>
        </w:trPr>
        <w:tc>
          <w:tcPr>
            <w:tcW w:w="24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0B42A9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Symptom</w:t>
            </w:r>
          </w:p>
        </w:tc>
        <w:tc>
          <w:tcPr>
            <w:tcW w:w="24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91E52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Expected before vaccination</w:t>
            </w:r>
          </w:p>
        </w:tc>
        <w:tc>
          <w:tcPr>
            <w:tcW w:w="24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DCE9DD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Reported</w:t>
            </w:r>
            <w:r>
              <w:rPr>
                <w:b/>
                <w:color w:val="FFFFFF"/>
              </w:rPr>
              <w:t xml:space="preserve"> after vaccination</w:t>
            </w:r>
          </w:p>
        </w:tc>
        <w:tc>
          <w:tcPr>
            <w:tcW w:w="136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046DFF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Exact McNemar p</w:t>
            </w:r>
          </w:p>
        </w:tc>
      </w:tr>
      <w:tr w:rsidR="00AD18F9" w14:paraId="50943F37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25DC6" w14:textId="77777777" w:rsidR="00AD18F9" w:rsidRDefault="00B31B78">
            <w:pPr>
              <w:spacing w:after="0"/>
              <w:jc w:val="left"/>
            </w:pPr>
            <w:r>
              <w:t>Any symptoms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E43DAF" w14:textId="77777777" w:rsidR="00AD18F9" w:rsidRDefault="00B31B78">
            <w:pPr>
              <w:spacing w:after="0"/>
              <w:jc w:val="center"/>
            </w:pPr>
            <w:r>
              <w:t>178 (90.4%)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F4ABA" w14:textId="77777777" w:rsidR="00AD18F9" w:rsidRDefault="00B31B78">
            <w:pPr>
              <w:spacing w:after="0"/>
              <w:jc w:val="center"/>
            </w:pPr>
            <w:r>
              <w:t>155 (78.7%)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82877A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0AD6DC6B" w14:textId="77777777">
        <w:trPr>
          <w:cantSplit/>
          <w:jc w:val="center"/>
        </w:trPr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4A1066" w14:textId="77777777" w:rsidR="00AD18F9" w:rsidRDefault="00B31B78">
            <w:pPr>
              <w:spacing w:after="0"/>
              <w:jc w:val="left"/>
            </w:pPr>
            <w:r>
              <w:t>Fatigue</w:t>
            </w:r>
          </w:p>
        </w:tc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3F6B7" w14:textId="77777777" w:rsidR="00AD18F9" w:rsidRDefault="00B31B78">
            <w:pPr>
              <w:spacing w:after="0"/>
              <w:jc w:val="center"/>
            </w:pPr>
            <w:r>
              <w:t>101 (51.3%)</w:t>
            </w:r>
          </w:p>
        </w:tc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CA644" w14:textId="77777777" w:rsidR="00AD18F9" w:rsidRDefault="00B31B78">
            <w:pPr>
              <w:spacing w:after="0"/>
              <w:jc w:val="center"/>
            </w:pPr>
            <w:r>
              <w:t>76 (38.6%)</w:t>
            </w:r>
          </w:p>
        </w:tc>
        <w:tc>
          <w:tcPr>
            <w:tcW w:w="1361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36C19" w14:textId="77777777" w:rsidR="00AD18F9" w:rsidRDefault="00B31B78">
            <w:pPr>
              <w:spacing w:after="0"/>
              <w:jc w:val="center"/>
            </w:pPr>
            <w:r>
              <w:t>.011</w:t>
            </w:r>
          </w:p>
        </w:tc>
      </w:tr>
      <w:tr w:rsidR="00AD18F9" w14:paraId="053FCFE6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D2A679" w14:textId="77777777" w:rsidR="00AD18F9" w:rsidRDefault="00B31B78">
            <w:pPr>
              <w:spacing w:after="0"/>
              <w:jc w:val="left"/>
            </w:pPr>
            <w:r>
              <w:t>Headache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49533C" w14:textId="77777777" w:rsidR="00AD18F9" w:rsidRDefault="00B31B78">
            <w:pPr>
              <w:spacing w:after="0"/>
              <w:jc w:val="center"/>
            </w:pPr>
            <w:r>
              <w:t>64 (32.5%)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0B1890" w14:textId="77777777" w:rsidR="00AD18F9" w:rsidRDefault="00B31B78">
            <w:pPr>
              <w:spacing w:after="0"/>
              <w:jc w:val="center"/>
            </w:pPr>
            <w:r>
              <w:t>42 (21.3%)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A1837" w14:textId="77777777" w:rsidR="00AD18F9" w:rsidRDefault="00B31B78">
            <w:pPr>
              <w:spacing w:after="0"/>
              <w:jc w:val="center"/>
            </w:pPr>
            <w:r>
              <w:t>.005</w:t>
            </w:r>
          </w:p>
        </w:tc>
      </w:tr>
      <w:tr w:rsidR="00AD18F9" w14:paraId="4DBCA941" w14:textId="77777777">
        <w:trPr>
          <w:cantSplit/>
          <w:jc w:val="center"/>
        </w:trPr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175CD4" w14:textId="77777777" w:rsidR="00AD18F9" w:rsidRDefault="00B31B78">
            <w:pPr>
              <w:spacing w:after="0"/>
              <w:jc w:val="left"/>
            </w:pPr>
            <w:r>
              <w:t>Muscle pain</w:t>
            </w:r>
          </w:p>
        </w:tc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512CA6" w14:textId="77777777" w:rsidR="00AD18F9" w:rsidRDefault="00B31B78">
            <w:pPr>
              <w:spacing w:after="0"/>
              <w:jc w:val="center"/>
            </w:pPr>
            <w:r>
              <w:t>61 (31.0%)</w:t>
            </w:r>
          </w:p>
        </w:tc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2AAB0D" w14:textId="77777777" w:rsidR="00AD18F9" w:rsidRDefault="00B31B78">
            <w:pPr>
              <w:spacing w:after="0"/>
              <w:jc w:val="center"/>
            </w:pPr>
            <w:r>
              <w:t>33 (16.8%)</w:t>
            </w:r>
          </w:p>
        </w:tc>
        <w:tc>
          <w:tcPr>
            <w:tcW w:w="1361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F10E41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66E316B5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B6140E" w14:textId="77777777" w:rsidR="00AD18F9" w:rsidRDefault="00B31B78">
            <w:pPr>
              <w:spacing w:after="0"/>
              <w:jc w:val="left"/>
            </w:pPr>
            <w:r>
              <w:t>Nausea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C3713" w14:textId="77777777" w:rsidR="00AD18F9" w:rsidRDefault="00B31B78">
            <w:pPr>
              <w:spacing w:after="0"/>
              <w:jc w:val="center"/>
            </w:pPr>
            <w:r>
              <w:t>8 (4.1%)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49B382" w14:textId="77777777" w:rsidR="00AD18F9" w:rsidRDefault="00B31B78">
            <w:pPr>
              <w:spacing w:after="0"/>
              <w:jc w:val="center"/>
            </w:pPr>
            <w:r>
              <w:t>3 (1.5%)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7879BC" w14:textId="77777777" w:rsidR="00AD18F9" w:rsidRDefault="00B31B78">
            <w:pPr>
              <w:spacing w:after="0"/>
              <w:jc w:val="center"/>
            </w:pPr>
            <w:r>
              <w:t>.180</w:t>
            </w:r>
          </w:p>
        </w:tc>
      </w:tr>
      <w:tr w:rsidR="00AD18F9" w14:paraId="75B655F9" w14:textId="77777777">
        <w:trPr>
          <w:cantSplit/>
          <w:jc w:val="center"/>
        </w:trPr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EB0FCC" w14:textId="77777777" w:rsidR="00AD18F9" w:rsidRDefault="00B31B78">
            <w:pPr>
              <w:spacing w:after="0"/>
              <w:jc w:val="left"/>
            </w:pPr>
            <w:r>
              <w:t>Fever</w:t>
            </w:r>
          </w:p>
        </w:tc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C9CA1E" w14:textId="77777777" w:rsidR="00AD18F9" w:rsidRDefault="00B31B78">
            <w:pPr>
              <w:spacing w:after="0"/>
              <w:jc w:val="center"/>
            </w:pPr>
            <w:r>
              <w:t>76 (38.6%)</w:t>
            </w:r>
          </w:p>
        </w:tc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BC5E8" w14:textId="77777777" w:rsidR="00AD18F9" w:rsidRDefault="00B31B78">
            <w:pPr>
              <w:spacing w:after="0"/>
              <w:jc w:val="center"/>
            </w:pPr>
            <w:r>
              <w:t xml:space="preserve">34 </w:t>
            </w:r>
            <w:r>
              <w:t>(17.3%)</w:t>
            </w:r>
          </w:p>
        </w:tc>
        <w:tc>
          <w:tcPr>
            <w:tcW w:w="1361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C40310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7149318B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0D3780" w14:textId="77777777" w:rsidR="00AD18F9" w:rsidRDefault="00B31B78">
            <w:pPr>
              <w:spacing w:after="0"/>
              <w:jc w:val="left"/>
            </w:pPr>
            <w:r>
              <w:lastRenderedPageBreak/>
              <w:t>Chills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17280D" w14:textId="77777777" w:rsidR="00AD18F9" w:rsidRDefault="00B31B78">
            <w:pPr>
              <w:spacing w:after="0"/>
              <w:jc w:val="center"/>
            </w:pPr>
            <w:r>
              <w:t>64 (32.5%)</w:t>
            </w:r>
          </w:p>
        </w:tc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6872FC" w14:textId="77777777" w:rsidR="00AD18F9" w:rsidRDefault="00B31B78">
            <w:pPr>
              <w:spacing w:after="0"/>
              <w:jc w:val="center"/>
            </w:pPr>
            <w:r>
              <w:t>26 (13.2%)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0FF57B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</w:tbl>
    <w:p w14:paraId="1FFE94BD" w14:textId="77777777" w:rsidR="00AD18F9" w:rsidRDefault="00B31B78">
      <w:pPr>
        <w:spacing w:before="40" w:after="140"/>
      </w:pPr>
      <w:r>
        <w:rPr>
          <w:i/>
          <w:sz w:val="24"/>
        </w:rPr>
        <w:t xml:space="preserve">Note. </w:t>
      </w:r>
      <w:r>
        <w:rPr>
          <w:sz w:val="24"/>
        </w:rPr>
        <w:t>Expected and reported values are paired observations. The exact McNemar test evaluates discordant pairs, not merely the marginal percentages.</w:t>
      </w:r>
    </w:p>
    <w:p w14:paraId="049CD83A" w14:textId="77777777" w:rsidR="00AD18F9" w:rsidRDefault="00B31B78">
      <w:pPr>
        <w:keepNext/>
        <w:spacing w:after="60"/>
      </w:pPr>
      <w:r>
        <w:rPr>
          <w:sz w:val="24"/>
        </w:rPr>
        <w:t xml:space="preserve">Supplementary Table S2. Exploratory </w:t>
      </w:r>
      <w:r>
        <w:rPr>
          <w:sz w:val="24"/>
        </w:rPr>
        <w:t>correlations with bootstrap confidence intervals and FDR-adjusted p values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98"/>
        <w:gridCol w:w="567"/>
        <w:gridCol w:w="737"/>
        <w:gridCol w:w="1814"/>
        <w:gridCol w:w="907"/>
        <w:gridCol w:w="907"/>
      </w:tblGrid>
      <w:tr w:rsidR="00AD18F9" w14:paraId="69364C8F" w14:textId="77777777">
        <w:trPr>
          <w:tblHeader/>
          <w:jc w:val="center"/>
        </w:trPr>
        <w:tc>
          <w:tcPr>
            <w:tcW w:w="379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1FDA14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Variable pair</w:t>
            </w:r>
          </w:p>
        </w:tc>
        <w:tc>
          <w:tcPr>
            <w:tcW w:w="56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DDCCD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n</w:t>
            </w:r>
          </w:p>
        </w:tc>
        <w:tc>
          <w:tcPr>
            <w:tcW w:w="73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0C6C68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rho</w:t>
            </w:r>
          </w:p>
        </w:tc>
        <w:tc>
          <w:tcPr>
            <w:tcW w:w="181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A793A4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Bootstrap 95% CI</w:t>
            </w:r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7EDD2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Raw p</w:t>
            </w:r>
          </w:p>
        </w:tc>
        <w:tc>
          <w:tcPr>
            <w:tcW w:w="907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B52DA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FDR q</w:t>
            </w:r>
          </w:p>
        </w:tc>
      </w:tr>
      <w:tr w:rsidR="00AD18F9" w14:paraId="77D5DFC6" w14:textId="77777777">
        <w:trPr>
          <w:cantSplit/>
          <w:jc w:val="center"/>
        </w:trPr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240235" w14:textId="77777777" w:rsidR="00AD18F9" w:rsidRDefault="00B31B78">
            <w:pPr>
              <w:spacing w:after="0"/>
              <w:jc w:val="left"/>
            </w:pPr>
            <w:r>
              <w:t>Expected count - reported count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75998C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07815" w14:textId="77777777" w:rsidR="00AD18F9" w:rsidRDefault="00B31B78">
            <w:pPr>
              <w:spacing w:after="0"/>
              <w:jc w:val="center"/>
            </w:pPr>
            <w:r>
              <w:t>0.34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BB0F2" w14:textId="77777777" w:rsidR="00AD18F9" w:rsidRDefault="00B31B78">
            <w:pPr>
              <w:spacing w:after="0"/>
              <w:jc w:val="center"/>
            </w:pPr>
            <w:r>
              <w:t>0.22 to 0.46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FFC5E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194CA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7049559E" w14:textId="77777777">
        <w:trPr>
          <w:cantSplit/>
          <w:jc w:val="center"/>
        </w:trPr>
        <w:tc>
          <w:tcPr>
            <w:tcW w:w="37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69953" w14:textId="77777777" w:rsidR="00AD18F9" w:rsidRDefault="00B31B78">
            <w:pPr>
              <w:spacing w:after="0"/>
              <w:jc w:val="left"/>
            </w:pPr>
            <w:r>
              <w:t>Expected count - symptom intensity</w:t>
            </w:r>
          </w:p>
        </w:tc>
        <w:tc>
          <w:tcPr>
            <w:tcW w:w="56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6502A9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23CA63" w14:textId="77777777" w:rsidR="00AD18F9" w:rsidRDefault="00B31B78">
            <w:pPr>
              <w:spacing w:after="0"/>
              <w:jc w:val="center"/>
            </w:pPr>
            <w:r>
              <w:t>0.21</w:t>
            </w:r>
          </w:p>
        </w:tc>
        <w:tc>
          <w:tcPr>
            <w:tcW w:w="181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180C43" w14:textId="77777777" w:rsidR="00AD18F9" w:rsidRDefault="00B31B78">
            <w:pPr>
              <w:spacing w:after="0"/>
              <w:jc w:val="center"/>
            </w:pPr>
            <w:r>
              <w:t>0.07 to 0.33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9B2714" w14:textId="77777777" w:rsidR="00AD18F9" w:rsidRDefault="00B31B78">
            <w:pPr>
              <w:spacing w:after="0"/>
              <w:jc w:val="center"/>
            </w:pPr>
            <w:r>
              <w:t>.003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701B6" w14:textId="77777777" w:rsidR="00AD18F9" w:rsidRDefault="00B31B78">
            <w:pPr>
              <w:spacing w:after="0"/>
              <w:jc w:val="center"/>
            </w:pPr>
            <w:r>
              <w:t>.004</w:t>
            </w:r>
          </w:p>
        </w:tc>
      </w:tr>
      <w:tr w:rsidR="00AD18F9" w14:paraId="5883A426" w14:textId="77777777">
        <w:trPr>
          <w:cantSplit/>
          <w:jc w:val="center"/>
        </w:trPr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67893" w14:textId="77777777" w:rsidR="00AD18F9" w:rsidRDefault="00B31B78">
            <w:pPr>
              <w:spacing w:after="0"/>
              <w:jc w:val="left"/>
            </w:pPr>
            <w:r>
              <w:t>Expected count - duration feeling unwell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C78A5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1D123B" w14:textId="77777777" w:rsidR="00AD18F9" w:rsidRDefault="00B31B78">
            <w:pPr>
              <w:spacing w:after="0"/>
              <w:jc w:val="center"/>
            </w:pPr>
            <w:r>
              <w:t>0.26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51356E" w14:textId="77777777" w:rsidR="00AD18F9" w:rsidRDefault="00B31B78">
            <w:pPr>
              <w:spacing w:after="0"/>
              <w:jc w:val="center"/>
            </w:pPr>
            <w:r>
              <w:t>0.12 to 0.39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7B8830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4815E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0022EE13" w14:textId="77777777">
        <w:trPr>
          <w:cantSplit/>
          <w:jc w:val="center"/>
        </w:trPr>
        <w:tc>
          <w:tcPr>
            <w:tcW w:w="37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D3E10" w14:textId="77777777" w:rsidR="00AD18F9" w:rsidRDefault="00B31B78">
            <w:pPr>
              <w:spacing w:after="0"/>
              <w:jc w:val="left"/>
            </w:pPr>
            <w:r>
              <w:t>Expected count - post-vaccination concern</w:t>
            </w:r>
          </w:p>
        </w:tc>
        <w:tc>
          <w:tcPr>
            <w:tcW w:w="56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82DA1B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F62608" w14:textId="77777777" w:rsidR="00AD18F9" w:rsidRDefault="00B31B78">
            <w:pPr>
              <w:spacing w:after="0"/>
              <w:jc w:val="center"/>
            </w:pPr>
            <w:r>
              <w:t>0.42</w:t>
            </w:r>
          </w:p>
        </w:tc>
        <w:tc>
          <w:tcPr>
            <w:tcW w:w="181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DF426" w14:textId="77777777" w:rsidR="00AD18F9" w:rsidRDefault="00B31B78">
            <w:pPr>
              <w:spacing w:after="0"/>
              <w:jc w:val="center"/>
            </w:pPr>
            <w:r>
              <w:t>0.29 to 0.54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2C1739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388C5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33A55422" w14:textId="77777777">
        <w:trPr>
          <w:cantSplit/>
          <w:jc w:val="center"/>
        </w:trPr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13EFCB" w14:textId="77777777" w:rsidR="00AD18F9" w:rsidRDefault="00B31B78">
            <w:pPr>
              <w:spacing w:after="0"/>
              <w:jc w:val="left"/>
            </w:pPr>
            <w:r>
              <w:t>General symptom expectation - reported count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E334FC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48189" w14:textId="77777777" w:rsidR="00AD18F9" w:rsidRDefault="00B31B78">
            <w:pPr>
              <w:spacing w:after="0"/>
              <w:jc w:val="center"/>
            </w:pPr>
            <w:r>
              <w:t>0.30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9A4460" w14:textId="77777777" w:rsidR="00AD18F9" w:rsidRDefault="00B31B78">
            <w:pPr>
              <w:spacing w:after="0"/>
              <w:jc w:val="center"/>
            </w:pPr>
            <w:r>
              <w:t>0.15 to 0.43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E0E63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BABB04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5DC3B817" w14:textId="77777777">
        <w:trPr>
          <w:cantSplit/>
          <w:jc w:val="center"/>
        </w:trPr>
        <w:tc>
          <w:tcPr>
            <w:tcW w:w="37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99615C" w14:textId="77777777" w:rsidR="00AD18F9" w:rsidRDefault="00B31B78">
            <w:pPr>
              <w:spacing w:after="0"/>
              <w:jc w:val="left"/>
            </w:pPr>
            <w:r>
              <w:t>Predicted duration - reported count</w:t>
            </w:r>
          </w:p>
        </w:tc>
        <w:tc>
          <w:tcPr>
            <w:tcW w:w="56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38EB6C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C88BE" w14:textId="77777777" w:rsidR="00AD18F9" w:rsidRDefault="00B31B78">
            <w:pPr>
              <w:spacing w:after="0"/>
              <w:jc w:val="center"/>
            </w:pPr>
            <w:r>
              <w:t>0.34</w:t>
            </w:r>
          </w:p>
        </w:tc>
        <w:tc>
          <w:tcPr>
            <w:tcW w:w="181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6BA30" w14:textId="77777777" w:rsidR="00AD18F9" w:rsidRDefault="00B31B78">
            <w:pPr>
              <w:spacing w:after="0"/>
              <w:jc w:val="center"/>
            </w:pPr>
            <w:r>
              <w:t>0.21 to 0.46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1A320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7BB461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0F2F956E" w14:textId="77777777">
        <w:trPr>
          <w:cantSplit/>
          <w:jc w:val="center"/>
        </w:trPr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7A35CE" w14:textId="77777777" w:rsidR="00AD18F9" w:rsidRDefault="00B31B78">
            <w:pPr>
              <w:spacing w:after="0"/>
              <w:jc w:val="left"/>
            </w:pPr>
            <w:r>
              <w:t>Pre-vaccination concern - reported count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6EE572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651671" w14:textId="77777777" w:rsidR="00AD18F9" w:rsidRDefault="00B31B78">
            <w:pPr>
              <w:spacing w:after="0"/>
              <w:jc w:val="center"/>
            </w:pPr>
            <w:r>
              <w:t>0.18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AA03B" w14:textId="77777777" w:rsidR="00AD18F9" w:rsidRDefault="00B31B78">
            <w:pPr>
              <w:spacing w:after="0"/>
              <w:jc w:val="center"/>
            </w:pPr>
            <w:r>
              <w:t>0.05 to 0.31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81AD3B" w14:textId="77777777" w:rsidR="00AD18F9" w:rsidRDefault="00B31B78">
            <w:pPr>
              <w:spacing w:after="0"/>
              <w:jc w:val="center"/>
            </w:pPr>
            <w:r>
              <w:t>.010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DF9A4F" w14:textId="77777777" w:rsidR="00AD18F9" w:rsidRDefault="00B31B78">
            <w:pPr>
              <w:spacing w:after="0"/>
              <w:jc w:val="center"/>
            </w:pPr>
            <w:r>
              <w:t>.011</w:t>
            </w:r>
          </w:p>
        </w:tc>
      </w:tr>
      <w:tr w:rsidR="00AD18F9" w14:paraId="0BF26E68" w14:textId="77777777">
        <w:trPr>
          <w:cantSplit/>
          <w:jc w:val="center"/>
        </w:trPr>
        <w:tc>
          <w:tcPr>
            <w:tcW w:w="37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45070" w14:textId="77777777" w:rsidR="00AD18F9" w:rsidRDefault="00B31B78">
            <w:pPr>
              <w:jc w:val="left"/>
            </w:pPr>
            <w:r>
              <w:t>Fear of COVID-19 - reported count</w:t>
            </w:r>
          </w:p>
        </w:tc>
        <w:tc>
          <w:tcPr>
            <w:tcW w:w="56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0EAA5D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AA64D1" w14:textId="77777777" w:rsidR="00AD18F9" w:rsidRDefault="00B31B78">
            <w:pPr>
              <w:spacing w:after="0"/>
              <w:jc w:val="center"/>
            </w:pPr>
            <w:r>
              <w:t>0.08</w:t>
            </w:r>
          </w:p>
        </w:tc>
        <w:tc>
          <w:tcPr>
            <w:tcW w:w="181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A4DCB" w14:textId="77777777" w:rsidR="00AD18F9" w:rsidRDefault="00B31B78">
            <w:pPr>
              <w:spacing w:after="0"/>
              <w:jc w:val="center"/>
            </w:pPr>
            <w:r>
              <w:t>-0.05 to 0.22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72120" w14:textId="77777777" w:rsidR="00AD18F9" w:rsidRDefault="00B31B78">
            <w:pPr>
              <w:spacing w:after="0"/>
              <w:jc w:val="center"/>
            </w:pPr>
            <w:r>
              <w:t>.265</w:t>
            </w:r>
          </w:p>
        </w:tc>
        <w:tc>
          <w:tcPr>
            <w:tcW w:w="907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EC904" w14:textId="77777777" w:rsidR="00AD18F9" w:rsidRDefault="00B31B78">
            <w:pPr>
              <w:spacing w:after="0"/>
              <w:jc w:val="center"/>
            </w:pPr>
            <w:r>
              <w:t>.265</w:t>
            </w:r>
          </w:p>
        </w:tc>
      </w:tr>
      <w:tr w:rsidR="00AD18F9" w14:paraId="22FEDE14" w14:textId="77777777">
        <w:trPr>
          <w:cantSplit/>
          <w:jc w:val="center"/>
        </w:trPr>
        <w:tc>
          <w:tcPr>
            <w:tcW w:w="37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8237FD" w14:textId="77777777" w:rsidR="00AD18F9" w:rsidRDefault="00B31B78">
            <w:pPr>
              <w:spacing w:after="0"/>
              <w:jc w:val="left"/>
            </w:pPr>
            <w:r>
              <w:t>Age - reported count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AC532" w14:textId="77777777" w:rsidR="00AD18F9" w:rsidRDefault="00B31B78">
            <w:pPr>
              <w:spacing w:after="0"/>
              <w:jc w:val="center"/>
            </w:pPr>
            <w:r>
              <w:t>197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BD25F" w14:textId="77777777" w:rsidR="00AD18F9" w:rsidRDefault="00B31B78">
            <w:pPr>
              <w:spacing w:after="0"/>
              <w:jc w:val="center"/>
            </w:pPr>
            <w:r>
              <w:t>-0.26</w:t>
            </w:r>
          </w:p>
        </w:tc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A28418" w14:textId="77777777" w:rsidR="00AD18F9" w:rsidRDefault="00B31B78">
            <w:pPr>
              <w:spacing w:after="0"/>
              <w:jc w:val="center"/>
            </w:pPr>
            <w:r>
              <w:t xml:space="preserve">-0.39 to </w:t>
            </w:r>
            <w:r>
              <w:t>-0.13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250AD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  <w:tc>
          <w:tcPr>
            <w:tcW w:w="90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CDF363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</w:tbl>
    <w:p w14:paraId="269A7930" w14:textId="77777777" w:rsidR="00AD18F9" w:rsidRDefault="00B31B78">
      <w:pPr>
        <w:spacing w:before="40" w:after="140"/>
      </w:pPr>
      <w:r>
        <w:rPr>
          <w:sz w:val="24"/>
        </w:rPr>
        <w:t>Note. Percentile bootstrap confidence intervals were based on 5,000 resamples. FDR q values were calculated across all nine correlations.</w:t>
      </w:r>
    </w:p>
    <w:p w14:paraId="0F27EAB3" w14:textId="77777777" w:rsidR="00AD18F9" w:rsidRDefault="00B31B78">
      <w:pPr>
        <w:keepNext/>
        <w:spacing w:after="60"/>
      </w:pPr>
      <w:r>
        <w:rPr>
          <w:sz w:val="24"/>
        </w:rPr>
        <w:t>Supplementary Table S3. Sensitivity analyses for expected symptom count predicting reported sympt</w:t>
      </w:r>
      <w:r>
        <w:rPr>
          <w:sz w:val="24"/>
        </w:rPr>
        <w:t>om count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3855"/>
        <w:gridCol w:w="964"/>
        <w:gridCol w:w="1531"/>
        <w:gridCol w:w="794"/>
      </w:tblGrid>
      <w:tr w:rsidR="00AD18F9" w14:paraId="687F92D8" w14:textId="77777777">
        <w:trPr>
          <w:tblHeader/>
          <w:jc w:val="center"/>
        </w:trPr>
        <w:tc>
          <w:tcPr>
            <w:tcW w:w="24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639AB7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Model</w:t>
            </w:r>
          </w:p>
        </w:tc>
        <w:tc>
          <w:tcPr>
            <w:tcW w:w="3855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30F1C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Adjustment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D77A97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IRR</w:t>
            </w:r>
          </w:p>
        </w:tc>
        <w:tc>
          <w:tcPr>
            <w:tcW w:w="1531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86CF64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95% CI</w:t>
            </w:r>
          </w:p>
        </w:tc>
        <w:tc>
          <w:tcPr>
            <w:tcW w:w="79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F15AF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p</w:t>
            </w:r>
          </w:p>
        </w:tc>
      </w:tr>
      <w:tr w:rsidR="00AD18F9" w14:paraId="59B8CABF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31521F" w14:textId="77777777" w:rsidR="00AD18F9" w:rsidRDefault="00B31B78">
            <w:pPr>
              <w:spacing w:after="0"/>
              <w:jc w:val="left"/>
            </w:pPr>
            <w:r>
              <w:t>Unadjusted negative binomial</w:t>
            </w:r>
          </w:p>
        </w:tc>
        <w:tc>
          <w:tcPr>
            <w:tcW w:w="38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282715" w14:textId="77777777" w:rsidR="00AD18F9" w:rsidRDefault="00B31B78">
            <w:pPr>
              <w:spacing w:after="0"/>
              <w:jc w:val="center"/>
            </w:pPr>
            <w:r>
              <w:t>None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7036D6" w14:textId="77777777" w:rsidR="00AD18F9" w:rsidRDefault="00B31B78">
            <w:pPr>
              <w:spacing w:after="0"/>
              <w:jc w:val="center"/>
            </w:pPr>
            <w:r>
              <w:t>1.14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46563" w14:textId="77777777" w:rsidR="00AD18F9" w:rsidRDefault="00B31B78">
            <w:pPr>
              <w:spacing w:after="0"/>
              <w:jc w:val="center"/>
            </w:pPr>
            <w:r>
              <w:t>1.07–1.21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E28944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698732EF" w14:textId="77777777">
        <w:trPr>
          <w:cantSplit/>
          <w:jc w:val="center"/>
        </w:trPr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46E172" w14:textId="77777777" w:rsidR="00AD18F9" w:rsidRDefault="00B31B78">
            <w:pPr>
              <w:spacing w:after="0"/>
              <w:jc w:val="left"/>
            </w:pPr>
            <w:r>
              <w:t>Primary adjusted negative binomial</w:t>
            </w:r>
          </w:p>
        </w:tc>
        <w:tc>
          <w:tcPr>
            <w:tcW w:w="3855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3A702" w14:textId="77777777" w:rsidR="00AD18F9" w:rsidRDefault="00B31B78">
            <w:pPr>
              <w:spacing w:after="0"/>
              <w:jc w:val="center"/>
            </w:pPr>
            <w:r>
              <w:t>Vaccine type, sex, age</w:t>
            </w:r>
          </w:p>
        </w:tc>
        <w:tc>
          <w:tcPr>
            <w:tcW w:w="96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6AD457" w14:textId="77777777" w:rsidR="00AD18F9" w:rsidRDefault="00B31B78">
            <w:pPr>
              <w:spacing w:after="0"/>
              <w:jc w:val="center"/>
            </w:pPr>
            <w:r>
              <w:t>1.11</w:t>
            </w:r>
          </w:p>
        </w:tc>
        <w:tc>
          <w:tcPr>
            <w:tcW w:w="1531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60D490" w14:textId="77777777" w:rsidR="00AD18F9" w:rsidRDefault="00B31B78">
            <w:pPr>
              <w:spacing w:after="0"/>
              <w:jc w:val="center"/>
            </w:pPr>
            <w:r>
              <w:t>1.02–1.20</w:t>
            </w:r>
          </w:p>
        </w:tc>
        <w:tc>
          <w:tcPr>
            <w:tcW w:w="7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C772AD" w14:textId="77777777" w:rsidR="00AD18F9" w:rsidRDefault="00B31B78">
            <w:pPr>
              <w:spacing w:after="0"/>
              <w:jc w:val="center"/>
            </w:pPr>
            <w:r>
              <w:t>.011</w:t>
            </w:r>
          </w:p>
        </w:tc>
      </w:tr>
      <w:tr w:rsidR="00AD18F9" w14:paraId="07E54A81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9DDBC" w14:textId="77777777" w:rsidR="00AD18F9" w:rsidRDefault="00B31B78">
            <w:pPr>
              <w:spacing w:after="0"/>
              <w:jc w:val="left"/>
            </w:pPr>
            <w:r>
              <w:t>Expanded negative binomial</w:t>
            </w:r>
          </w:p>
        </w:tc>
        <w:tc>
          <w:tcPr>
            <w:tcW w:w="38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7C1FC8" w14:textId="77777777" w:rsidR="00AD18F9" w:rsidRDefault="00B31B78">
            <w:pPr>
              <w:spacing w:after="0"/>
              <w:jc w:val="center"/>
            </w:pPr>
            <w:r>
              <w:t xml:space="preserve">Primary covariates + general expectation, </w:t>
            </w:r>
            <w:r>
              <w:t>concern, fear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DC151F" w14:textId="77777777" w:rsidR="00AD18F9" w:rsidRDefault="00B31B78">
            <w:pPr>
              <w:spacing w:after="0"/>
              <w:jc w:val="center"/>
            </w:pPr>
            <w:r>
              <w:t>1.10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233275" w14:textId="77777777" w:rsidR="00AD18F9" w:rsidRDefault="00B31B78">
            <w:pPr>
              <w:spacing w:after="0"/>
              <w:jc w:val="center"/>
            </w:pPr>
            <w:r>
              <w:t>1.00–1.20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53976F" w14:textId="77777777" w:rsidR="00AD18F9" w:rsidRDefault="00B31B78">
            <w:pPr>
              <w:spacing w:after="0"/>
              <w:jc w:val="center"/>
            </w:pPr>
            <w:r>
              <w:t>.044</w:t>
            </w:r>
          </w:p>
        </w:tc>
      </w:tr>
      <w:tr w:rsidR="00AD18F9" w14:paraId="069ACDAE" w14:textId="77777777">
        <w:trPr>
          <w:cantSplit/>
          <w:jc w:val="center"/>
        </w:trPr>
        <w:tc>
          <w:tcPr>
            <w:tcW w:w="24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7EDCA" w14:textId="77777777" w:rsidR="00AD18F9" w:rsidRDefault="00B31B78">
            <w:pPr>
              <w:spacing w:after="0"/>
              <w:jc w:val="left"/>
            </w:pPr>
            <w:r>
              <w:t>IPW negative binomial</w:t>
            </w:r>
          </w:p>
        </w:tc>
        <w:tc>
          <w:tcPr>
            <w:tcW w:w="3855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A1754" w14:textId="77777777" w:rsidR="00AD18F9" w:rsidRDefault="00B31B78">
            <w:pPr>
              <w:spacing w:after="0"/>
              <w:jc w:val="center"/>
            </w:pPr>
            <w:r>
              <w:t>Primary covariates; stabilized follow-up weights</w:t>
            </w:r>
          </w:p>
        </w:tc>
        <w:tc>
          <w:tcPr>
            <w:tcW w:w="96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DCD28" w14:textId="77777777" w:rsidR="00AD18F9" w:rsidRDefault="00B31B78">
            <w:pPr>
              <w:spacing w:after="0"/>
              <w:jc w:val="center"/>
            </w:pPr>
            <w:r>
              <w:t>1.11</w:t>
            </w:r>
          </w:p>
        </w:tc>
        <w:tc>
          <w:tcPr>
            <w:tcW w:w="1531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447A1" w14:textId="77777777" w:rsidR="00AD18F9" w:rsidRDefault="00B31B78">
            <w:pPr>
              <w:spacing w:after="0"/>
              <w:jc w:val="center"/>
            </w:pPr>
            <w:r>
              <w:t>1.02–1.20</w:t>
            </w:r>
          </w:p>
        </w:tc>
        <w:tc>
          <w:tcPr>
            <w:tcW w:w="79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CCBFF" w14:textId="77777777" w:rsidR="00AD18F9" w:rsidRDefault="00B31B78">
            <w:pPr>
              <w:spacing w:after="0"/>
              <w:jc w:val="center"/>
            </w:pPr>
            <w:r>
              <w:t>.019</w:t>
            </w:r>
          </w:p>
        </w:tc>
      </w:tr>
      <w:tr w:rsidR="00AD18F9" w14:paraId="1540B7A9" w14:textId="77777777">
        <w:trPr>
          <w:cantSplit/>
          <w:jc w:val="center"/>
        </w:trPr>
        <w:tc>
          <w:tcPr>
            <w:tcW w:w="24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D15018" w14:textId="77777777" w:rsidR="00AD18F9" w:rsidRDefault="00B31B78">
            <w:pPr>
              <w:spacing w:after="0"/>
              <w:jc w:val="left"/>
            </w:pPr>
            <w:r>
              <w:t>Adjusted robust Poisson</w:t>
            </w:r>
          </w:p>
        </w:tc>
        <w:tc>
          <w:tcPr>
            <w:tcW w:w="385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FA984A" w14:textId="77777777" w:rsidR="00AD18F9" w:rsidRDefault="00B31B78">
            <w:pPr>
              <w:spacing w:after="0"/>
              <w:jc w:val="center"/>
            </w:pPr>
            <w:r>
              <w:t>Vaccine type, sex, age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11431" w14:textId="77777777" w:rsidR="00AD18F9" w:rsidRDefault="00B31B78">
            <w:pPr>
              <w:spacing w:after="0"/>
              <w:jc w:val="center"/>
            </w:pPr>
            <w:r>
              <w:t>1.11</w:t>
            </w:r>
          </w:p>
        </w:tc>
        <w:tc>
          <w:tcPr>
            <w:tcW w:w="153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607650" w14:textId="77777777" w:rsidR="00AD18F9" w:rsidRDefault="00B31B78">
            <w:pPr>
              <w:spacing w:after="0"/>
              <w:jc w:val="center"/>
            </w:pPr>
            <w:r>
              <w:t>1.02–1.21</w:t>
            </w:r>
          </w:p>
        </w:tc>
        <w:tc>
          <w:tcPr>
            <w:tcW w:w="7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7C516" w14:textId="77777777" w:rsidR="00AD18F9" w:rsidRDefault="00B31B78">
            <w:pPr>
              <w:spacing w:after="0"/>
              <w:jc w:val="center"/>
            </w:pPr>
            <w:r>
              <w:t>.014</w:t>
            </w:r>
          </w:p>
        </w:tc>
      </w:tr>
    </w:tbl>
    <w:p w14:paraId="6ED279A0" w14:textId="77777777" w:rsidR="00AD18F9" w:rsidRDefault="00B31B78">
      <w:pPr>
        <w:spacing w:before="40" w:after="140"/>
      </w:pPr>
      <w:r>
        <w:rPr>
          <w:i/>
          <w:sz w:val="24"/>
        </w:rPr>
        <w:t xml:space="preserve">Note. </w:t>
      </w:r>
      <w:r>
        <w:rPr>
          <w:sz w:val="24"/>
        </w:rPr>
        <w:t xml:space="preserve">IRR is for each one-unit increase in expected </w:t>
      </w:r>
      <w:r>
        <w:rPr>
          <w:sz w:val="24"/>
        </w:rPr>
        <w:t>symptom count. The primary negative-binomial model had AIC 709.97, compared with 738.26 for the adjusted Poisson model. IPW = inverse-probability weighting.</w:t>
      </w:r>
    </w:p>
    <w:p w14:paraId="1B90E7E9" w14:textId="77777777" w:rsidR="00AD18F9" w:rsidRDefault="00B31B78">
      <w:pPr>
        <w:keepNext/>
        <w:spacing w:after="60"/>
      </w:pPr>
      <w:r>
        <w:rPr>
          <w:sz w:val="24"/>
        </w:rPr>
        <w:lastRenderedPageBreak/>
        <w:t>Supplementary Table S4. Baseline comparison of follow-up completers and non-completers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72"/>
        <w:gridCol w:w="2098"/>
        <w:gridCol w:w="2098"/>
        <w:gridCol w:w="964"/>
      </w:tblGrid>
      <w:tr w:rsidR="00AD18F9" w14:paraId="51D75608" w14:textId="77777777">
        <w:trPr>
          <w:tblHeader/>
          <w:jc w:val="center"/>
        </w:trPr>
        <w:tc>
          <w:tcPr>
            <w:tcW w:w="3572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1DA7FE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Variable</w:t>
            </w:r>
          </w:p>
        </w:tc>
        <w:tc>
          <w:tcPr>
            <w:tcW w:w="209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C286A8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Com</w:t>
            </w:r>
            <w:r>
              <w:rPr>
                <w:b/>
                <w:color w:val="FFFFFF"/>
              </w:rPr>
              <w:t>pleters</w:t>
            </w:r>
            <w:r>
              <w:rPr>
                <w:b/>
                <w:color w:val="FFFFFF"/>
              </w:rPr>
              <w:br/>
              <w:t>(n = 197)</w:t>
            </w:r>
          </w:p>
        </w:tc>
        <w:tc>
          <w:tcPr>
            <w:tcW w:w="2098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B4842C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Non-completers</w:t>
            </w:r>
            <w:r>
              <w:rPr>
                <w:b/>
                <w:color w:val="FFFFFF"/>
              </w:rPr>
              <w:br/>
              <w:t>(n = 47)</w:t>
            </w:r>
          </w:p>
        </w:tc>
        <w:tc>
          <w:tcPr>
            <w:tcW w:w="964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F34BF" w14:textId="77777777" w:rsidR="00AD18F9" w:rsidRDefault="00B31B78">
            <w:pPr>
              <w:spacing w:after="0"/>
              <w:jc w:val="center"/>
            </w:pPr>
            <w:r>
              <w:rPr>
                <w:b/>
                <w:color w:val="FFFFFF"/>
              </w:rPr>
              <w:t>p</w:t>
            </w:r>
          </w:p>
        </w:tc>
      </w:tr>
      <w:tr w:rsidR="00AD18F9" w14:paraId="3B46C4AF" w14:textId="77777777">
        <w:trPr>
          <w:cantSplit/>
          <w:jc w:val="center"/>
        </w:trPr>
        <w:tc>
          <w:tcPr>
            <w:tcW w:w="3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C5828" w14:textId="77777777" w:rsidR="00AD18F9" w:rsidRDefault="00B31B78">
            <w:pPr>
              <w:spacing w:after="0"/>
              <w:jc w:val="left"/>
            </w:pPr>
            <w:r>
              <w:t>Age, years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EDBE8" w14:textId="77777777" w:rsidR="00AD18F9" w:rsidRDefault="00B31B78">
            <w:pPr>
              <w:spacing w:after="0"/>
              <w:jc w:val="center"/>
            </w:pPr>
            <w:r>
              <w:t>45.56 (11.88)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74A45" w14:textId="77777777" w:rsidR="00AD18F9" w:rsidRDefault="00B31B78">
            <w:pPr>
              <w:spacing w:after="0"/>
              <w:jc w:val="center"/>
            </w:pPr>
            <w:r>
              <w:t>54.32 (8.91)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98FDA0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6B877B51" w14:textId="77777777">
        <w:trPr>
          <w:cantSplit/>
          <w:jc w:val="center"/>
        </w:trPr>
        <w:tc>
          <w:tcPr>
            <w:tcW w:w="3572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F44B16" w14:textId="77777777" w:rsidR="00AD18F9" w:rsidRDefault="00B31B78">
            <w:pPr>
              <w:spacing w:after="0"/>
              <w:jc w:val="left"/>
            </w:pPr>
            <w:r>
              <w:t>General symptom expectation (0–100)</w:t>
            </w:r>
          </w:p>
        </w:tc>
        <w:tc>
          <w:tcPr>
            <w:tcW w:w="20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158D8" w14:textId="77777777" w:rsidR="00AD18F9" w:rsidRDefault="00B31B78">
            <w:pPr>
              <w:spacing w:after="0"/>
              <w:jc w:val="center"/>
            </w:pPr>
            <w:r>
              <w:t>46.09 (30.55)</w:t>
            </w:r>
          </w:p>
        </w:tc>
        <w:tc>
          <w:tcPr>
            <w:tcW w:w="20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A25BF" w14:textId="77777777" w:rsidR="00AD18F9" w:rsidRDefault="00B31B78">
            <w:pPr>
              <w:spacing w:after="0"/>
              <w:jc w:val="center"/>
            </w:pPr>
            <w:r>
              <w:t>30.43 (24.93)</w:t>
            </w:r>
          </w:p>
        </w:tc>
        <w:tc>
          <w:tcPr>
            <w:tcW w:w="96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B6CA9B" w14:textId="77777777" w:rsidR="00AD18F9" w:rsidRDefault="00B31B78">
            <w:pPr>
              <w:spacing w:after="0"/>
              <w:jc w:val="center"/>
            </w:pPr>
            <w:r>
              <w:t>.002</w:t>
            </w:r>
          </w:p>
        </w:tc>
      </w:tr>
      <w:tr w:rsidR="00AD18F9" w14:paraId="5F3896EE" w14:textId="77777777">
        <w:trPr>
          <w:cantSplit/>
          <w:jc w:val="center"/>
        </w:trPr>
        <w:tc>
          <w:tcPr>
            <w:tcW w:w="3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92B88E" w14:textId="77777777" w:rsidR="00AD18F9" w:rsidRDefault="00B31B78">
            <w:pPr>
              <w:spacing w:after="0"/>
              <w:jc w:val="left"/>
            </w:pPr>
            <w:r>
              <w:t>Expected symptom count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EE93D" w14:textId="77777777" w:rsidR="00AD18F9" w:rsidRDefault="00B31B78">
            <w:pPr>
              <w:spacing w:after="0"/>
              <w:jc w:val="center"/>
            </w:pPr>
            <w:r>
              <w:t>2.87 (2.27)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06B834" w14:textId="77777777" w:rsidR="00AD18F9" w:rsidRDefault="00B31B78">
            <w:pPr>
              <w:spacing w:after="0"/>
              <w:jc w:val="center"/>
            </w:pPr>
            <w:r>
              <w:t>1.64 (1.66)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58414" w14:textId="77777777" w:rsidR="00AD18F9" w:rsidRDefault="00B31B78">
            <w:pPr>
              <w:spacing w:after="0"/>
              <w:jc w:val="center"/>
            </w:pPr>
            <w:r>
              <w:t>&lt; .001</w:t>
            </w:r>
          </w:p>
        </w:tc>
      </w:tr>
      <w:tr w:rsidR="00AD18F9" w14:paraId="061CB5A6" w14:textId="77777777">
        <w:trPr>
          <w:cantSplit/>
          <w:jc w:val="center"/>
        </w:trPr>
        <w:tc>
          <w:tcPr>
            <w:tcW w:w="3572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0313FC" w14:textId="77777777" w:rsidR="00AD18F9" w:rsidRDefault="00B31B78">
            <w:pPr>
              <w:spacing w:after="0"/>
              <w:jc w:val="left"/>
            </w:pPr>
            <w:r>
              <w:t>Predicted duration, h</w:t>
            </w:r>
          </w:p>
        </w:tc>
        <w:tc>
          <w:tcPr>
            <w:tcW w:w="20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227720" w14:textId="77777777" w:rsidR="00AD18F9" w:rsidRDefault="00B31B78">
            <w:pPr>
              <w:spacing w:after="0"/>
              <w:jc w:val="center"/>
            </w:pPr>
            <w:r>
              <w:t xml:space="preserve">21.31 </w:t>
            </w:r>
            <w:r>
              <w:t>(30.89)</w:t>
            </w:r>
          </w:p>
        </w:tc>
        <w:tc>
          <w:tcPr>
            <w:tcW w:w="20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40D288" w14:textId="77777777" w:rsidR="00AD18F9" w:rsidRDefault="00B31B78">
            <w:pPr>
              <w:spacing w:after="0"/>
              <w:jc w:val="center"/>
            </w:pPr>
            <w:r>
              <w:t>8.00 (15.18)</w:t>
            </w:r>
          </w:p>
        </w:tc>
        <w:tc>
          <w:tcPr>
            <w:tcW w:w="96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95EF5" w14:textId="77777777" w:rsidR="00AD18F9" w:rsidRDefault="00B31B78">
            <w:pPr>
              <w:spacing w:after="0"/>
              <w:jc w:val="center"/>
            </w:pPr>
            <w:r>
              <w:t>.001</w:t>
            </w:r>
          </w:p>
        </w:tc>
      </w:tr>
      <w:tr w:rsidR="00AD18F9" w14:paraId="34A3AC79" w14:textId="77777777">
        <w:trPr>
          <w:cantSplit/>
          <w:jc w:val="center"/>
        </w:trPr>
        <w:tc>
          <w:tcPr>
            <w:tcW w:w="357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15036" w14:textId="77777777" w:rsidR="00AD18F9" w:rsidRDefault="00B31B78">
            <w:pPr>
              <w:spacing w:after="0"/>
              <w:jc w:val="left"/>
            </w:pPr>
            <w:r>
              <w:t>Fear of COVID-19 (0–100)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EF638" w14:textId="77777777" w:rsidR="00AD18F9" w:rsidRDefault="00B31B78">
            <w:pPr>
              <w:spacing w:after="0"/>
              <w:jc w:val="center"/>
            </w:pPr>
            <w:r>
              <w:t>48.22 (29.23)</w:t>
            </w:r>
          </w:p>
        </w:tc>
        <w:tc>
          <w:tcPr>
            <w:tcW w:w="209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88A94" w14:textId="77777777" w:rsidR="00AD18F9" w:rsidRDefault="00B31B78">
            <w:pPr>
              <w:spacing w:after="0"/>
              <w:jc w:val="center"/>
            </w:pPr>
            <w:r>
              <w:t>52.34 (35.03)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90723" w14:textId="77777777" w:rsidR="00AD18F9" w:rsidRDefault="00B31B78">
            <w:pPr>
              <w:spacing w:after="0"/>
              <w:jc w:val="center"/>
            </w:pPr>
            <w:r>
              <w:t>.472</w:t>
            </w:r>
          </w:p>
        </w:tc>
      </w:tr>
      <w:tr w:rsidR="00AD18F9" w14:paraId="17E607B1" w14:textId="77777777">
        <w:trPr>
          <w:cantSplit/>
          <w:jc w:val="center"/>
        </w:trPr>
        <w:tc>
          <w:tcPr>
            <w:tcW w:w="3572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C77E0" w14:textId="77777777" w:rsidR="00AD18F9" w:rsidRDefault="00B31B78">
            <w:pPr>
              <w:spacing w:after="0"/>
              <w:jc w:val="left"/>
            </w:pPr>
            <w:r>
              <w:t>Concern about symptoms (0–100)</w:t>
            </w:r>
          </w:p>
        </w:tc>
        <w:tc>
          <w:tcPr>
            <w:tcW w:w="20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2F7EA8" w14:textId="77777777" w:rsidR="00AD18F9" w:rsidRDefault="00B31B78">
            <w:pPr>
              <w:spacing w:after="0"/>
              <w:jc w:val="center"/>
            </w:pPr>
            <w:r>
              <w:t>33.35 (27.22)</w:t>
            </w:r>
          </w:p>
        </w:tc>
        <w:tc>
          <w:tcPr>
            <w:tcW w:w="2098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AA1EF" w14:textId="77777777" w:rsidR="00AD18F9" w:rsidRDefault="00B31B78">
            <w:pPr>
              <w:spacing w:after="0"/>
              <w:jc w:val="center"/>
            </w:pPr>
            <w:r>
              <w:t>35.96 (29.02)</w:t>
            </w:r>
          </w:p>
        </w:tc>
        <w:tc>
          <w:tcPr>
            <w:tcW w:w="964" w:type="dxa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C342CB" w14:textId="77777777" w:rsidR="00AD18F9" w:rsidRDefault="00B31B78">
            <w:pPr>
              <w:spacing w:after="0"/>
              <w:jc w:val="center"/>
            </w:pPr>
            <w:r>
              <w:t>.566</w:t>
            </w:r>
          </w:p>
        </w:tc>
      </w:tr>
    </w:tbl>
    <w:p w14:paraId="6EC1CFA4" w14:textId="77777777" w:rsidR="00AD18F9" w:rsidRDefault="00B31B78">
      <w:pPr>
        <w:spacing w:before="40" w:after="140"/>
      </w:pPr>
      <w:r>
        <w:rPr>
          <w:i/>
          <w:sz w:val="24"/>
        </w:rPr>
        <w:t xml:space="preserve">Note. </w:t>
      </w:r>
      <w:r>
        <w:rPr>
          <w:sz w:val="24"/>
        </w:rPr>
        <w:t xml:space="preserve">Values are mean (SD); p values are from Mann-Whitney U tests. Sex distribution did not differ </w:t>
      </w:r>
      <w:r>
        <w:rPr>
          <w:sz w:val="24"/>
        </w:rPr>
        <w:t>using a chi-square test with Yates correction (p = 0.362).</w:t>
      </w:r>
    </w:p>
    <w:p w14:paraId="1C47BC38" w14:textId="77777777" w:rsidR="00AD18F9" w:rsidRDefault="00B31B78">
      <w:pPr>
        <w:spacing w:after="60"/>
      </w:pPr>
      <w:r>
        <w:rPr>
          <w:sz w:val="24"/>
        </w:rPr>
        <w:t>Supplementary Note S1. Subgroup and interaction interpretation</w:t>
      </w:r>
    </w:p>
    <w:p w14:paraId="070C6AB7" w14:textId="77777777" w:rsidR="00AD18F9" w:rsidRDefault="00B31B78">
      <w:r>
        <w:rPr>
          <w:sz w:val="24"/>
        </w:rPr>
        <w:t xml:space="preserve">The expected-versus-reported symptom-count association was positive when calculated separately within AstraZeneca recipients (rho = </w:t>
      </w:r>
      <w:r>
        <w:rPr>
          <w:sz w:val="24"/>
        </w:rPr>
        <w:t>.21, p = .033), Pfizer-BioNTech recipients (rho = .35, p &lt; .001), men (rho = .36, p &lt; .001), and women (rho = .30, p = .002). These within-group p values do not test whether associations differ between groups. Exploratory vaccine-by-expectation interaction</w:t>
      </w:r>
      <w:r>
        <w:rPr>
          <w:sz w:val="24"/>
        </w:rPr>
        <w:t xml:space="preserve"> results were sensitive to the scaling of expected symptom count; therefore, the revised manuscript makes no claim that the association is invariant across vaccine groups or sexes.</w:t>
      </w:r>
    </w:p>
    <w:p w14:paraId="0266B511" w14:textId="77777777" w:rsidR="00AD18F9" w:rsidRDefault="00B31B78">
      <w:pPr>
        <w:spacing w:after="60"/>
      </w:pPr>
      <w:r>
        <w:rPr>
          <w:sz w:val="24"/>
        </w:rPr>
        <w:t>Supplementary Note S2. Reproducibility and coding checks</w:t>
      </w:r>
    </w:p>
    <w:p w14:paraId="393D04B3" w14:textId="77777777" w:rsidR="00AD18F9" w:rsidRDefault="00B31B78">
      <w:r>
        <w:rPr>
          <w:sz w:val="24"/>
        </w:rPr>
        <w:t>For the present an</w:t>
      </w:r>
      <w:r>
        <w:rPr>
          <w:sz w:val="24"/>
        </w:rPr>
        <w:t>alyses, vaccine type was coded 1 = AstraZeneca and 2 = Pfizer-BioNTech; sex was coded 1 = man and 2 = woman. Coding and consistency checks reproduced the analytic sample sizes (244 at baseline; 197 at follow-up), vaccine-group sizes, paired symptom frequen</w:t>
      </w:r>
      <w:r>
        <w:rPr>
          <w:sz w:val="24"/>
        </w:rPr>
        <w:t>cies, expected and reported count means, and the principal rank correlation. The revised analyses use one multivariable count model for the primary outcome and distinguish primary, secondary, exploratory, and sensitivity analyses.</w:t>
      </w:r>
    </w:p>
    <w:sectPr w:rsidR="00AD18F9" w:rsidSect="00034616">
      <w:footerReference w:type="default" r:id="rId8"/>
      <w:pgSz w:w="12240" w:h="15840"/>
      <w:pgMar w:top="1304" w:right="1417" w:bottom="130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81D83" w14:textId="77777777" w:rsidR="00B31B78" w:rsidRDefault="00B31B78">
      <w:pPr>
        <w:spacing w:after="0" w:line="240" w:lineRule="auto"/>
      </w:pPr>
      <w:r>
        <w:separator/>
      </w:r>
    </w:p>
  </w:endnote>
  <w:endnote w:type="continuationSeparator" w:id="0">
    <w:p w14:paraId="749913CC" w14:textId="77777777" w:rsidR="00B31B78" w:rsidRDefault="00B31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8892B" w14:textId="77777777" w:rsidR="00AD18F9" w:rsidRDefault="00B31B78">
    <w:pPr>
      <w:pStyle w:val="Stopka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 w:rsidR="00CE2AAB">
      <w:rPr>
        <w:sz w:val="18"/>
      </w:rPr>
      <w:fldChar w:fldCharType="separate"/>
    </w:r>
    <w:r w:rsidR="00CE2AAB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95D22" w14:textId="77777777" w:rsidR="00B31B78" w:rsidRDefault="00B31B78">
      <w:pPr>
        <w:spacing w:after="0" w:line="240" w:lineRule="auto"/>
      </w:pPr>
      <w:r>
        <w:separator/>
      </w:r>
    </w:p>
  </w:footnote>
  <w:footnote w:type="continuationSeparator" w:id="0">
    <w:p w14:paraId="7A949B43" w14:textId="77777777" w:rsidR="00B31B78" w:rsidRDefault="00B31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AD18F9"/>
    <w:rsid w:val="00B31B78"/>
    <w:rsid w:val="00B47730"/>
    <w:rsid w:val="00CB0664"/>
    <w:rsid w:val="00CE2AAB"/>
    <w:rsid w:val="00F669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24C865"/>
  <w14:defaultImageDpi w14:val="300"/>
  <w15:docId w15:val="{5D05D92A-3E92-4015-BEB9-4A4BE4D8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  <w:jc w:val="both"/>
    </w:pPr>
    <w:rPr>
      <w:rFonts w:ascii="Times New Roman" w:eastAsia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886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Material: Symptom Expectations and Subsequent Symptom Reporting Following COVID-19 Vaccination</dc:title>
  <dc:subject/>
  <dc:creator>Anna Paluszak;Agnieszka Matkowska-Kocjan;Adam Paluszak;Alicja Kuczyńska</dc:creator>
  <cp:keywords/>
  <dc:description>generated by python-docx</dc:description>
  <cp:lastModifiedBy>Tadeusz Kuczyński</cp:lastModifiedBy>
  <cp:revision>2</cp:revision>
  <dcterms:created xsi:type="dcterms:W3CDTF">2026-07-21T14:48:00Z</dcterms:created>
  <dcterms:modified xsi:type="dcterms:W3CDTF">2026-07-21T14:48:00Z</dcterms:modified>
  <cp:category/>
</cp:coreProperties>
</file>