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E66BE3" w14:textId="43E1BCAE" w:rsidR="00FA0663" w:rsidRPr="00FA0663" w:rsidRDefault="00FA0663" w:rsidP="00FA0663">
      <w:pPr>
        <w:rPr>
          <w:lang w:val="en-GB"/>
        </w:rPr>
      </w:pPr>
      <w:r w:rsidRPr="00FA0663">
        <w:rPr>
          <w:lang w:val="en-GB"/>
        </w:rPr>
        <w:drawing>
          <wp:inline distT="0" distB="0" distL="0" distR="0" wp14:anchorId="688AC64D" wp14:editId="018419E3">
            <wp:extent cx="5731510" cy="4059555"/>
            <wp:effectExtent l="0" t="0" r="0" b="0"/>
            <wp:docPr id="98339671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wi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059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A0663">
        <w:rPr>
          <w:i/>
          <w:iCs/>
          <w:lang w:val="en-GB"/>
        </w:rPr>
        <w:t>Table 2.</w:t>
      </w:r>
      <w:r w:rsidRPr="00FA0663">
        <w:rPr>
          <w:b/>
          <w:bCs/>
          <w:lang w:val="en-GB"/>
        </w:rPr>
        <w:t xml:space="preserve"> </w:t>
      </w:r>
      <w:r w:rsidRPr="00FA0663">
        <w:rPr>
          <w:lang w:val="en-GB"/>
        </w:rPr>
        <w:t>Regression analysis for overall survival and 12-month survival prediction. (A) Multivariate Cox regression for overall survival. (B) Logistic regression for 12-month survival prediction—unilateral model (n = 50). (C) Logistic regression for 12-month survival prediction—bilateral model (n = 46). CES = Cortical Excitability Score (range 0–2); IMES = IntraM1 Excitability Score; HR = hazard ratio; OR = odds ratio; CI = confidence interval.</w:t>
      </w:r>
    </w:p>
    <w:p w14:paraId="4180505C" w14:textId="7A3FF5DC" w:rsidR="00FA0663" w:rsidRPr="00FA0663" w:rsidRDefault="00FA0663" w:rsidP="00FA0663">
      <w:pPr>
        <w:rPr>
          <w:lang w:val="en-GB"/>
        </w:rPr>
      </w:pPr>
      <w:r w:rsidRPr="00FA0663">
        <w:rPr>
          <w:lang w:val="en-GB"/>
        </w:rPr>
        <w:lastRenderedPageBreak/>
        <w:drawing>
          <wp:inline distT="0" distB="0" distL="0" distR="0" wp14:anchorId="5B64B4FE" wp14:editId="306EE7D6">
            <wp:extent cx="5731510" cy="3030855"/>
            <wp:effectExtent l="0" t="0" r="2540" b="0"/>
            <wp:docPr id="177374192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wi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030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A0663">
        <w:rPr>
          <w:i/>
          <w:iCs/>
          <w:lang w:val="en-GB"/>
        </w:rPr>
        <w:t>Table 3.</w:t>
      </w:r>
      <w:r w:rsidRPr="00FA0663">
        <w:rPr>
          <w:b/>
          <w:bCs/>
          <w:lang w:val="en-GB"/>
        </w:rPr>
        <w:t xml:space="preserve"> </w:t>
      </w:r>
      <w:r w:rsidRPr="00FA0663">
        <w:rPr>
          <w:lang w:val="en-GB"/>
        </w:rPr>
        <w:t xml:space="preserve">Subgroup analysis: log-rank p-values for IMES, CES, and </w:t>
      </w:r>
      <w:proofErr w:type="spellStart"/>
      <w:r w:rsidRPr="00FA0663">
        <w:rPr>
          <w:lang w:val="en-GB"/>
        </w:rPr>
        <w:t>iRMTr</w:t>
      </w:r>
      <w:proofErr w:type="spellEnd"/>
      <w:r w:rsidRPr="00FA0663">
        <w:rPr>
          <w:lang w:val="en-GB"/>
        </w:rPr>
        <w:t>-LL directionality stratified by demographic, clinical, and histological characteristics.</w:t>
      </w:r>
    </w:p>
    <w:p w14:paraId="2D64C8EB" w14:textId="77777777" w:rsidR="00767E38" w:rsidRDefault="00767E38"/>
    <w:sectPr w:rsidR="00767E3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0663"/>
    <w:rsid w:val="00767E38"/>
    <w:rsid w:val="00866F7D"/>
    <w:rsid w:val="00914E66"/>
    <w:rsid w:val="00EE5CC4"/>
    <w:rsid w:val="00FA0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8C210C"/>
  <w15:chartTrackingRefBased/>
  <w15:docId w15:val="{66EA38D2-9986-433F-BBB1-464DF7AA8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A06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A06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A066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A06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A066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A06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A06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A06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A06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A066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A066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A066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A066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A066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A066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A066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A066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A066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A06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A06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A06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A06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A06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A066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A066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A066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A06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A066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A066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91</Words>
  <Characters>521</Characters>
  <Application>Microsoft Office Word</Application>
  <DocSecurity>0</DocSecurity>
  <Lines>4</Lines>
  <Paragraphs>1</Paragraphs>
  <ScaleCrop>false</ScaleCrop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2026-07-24T18:20:00Z</dcterms:created>
  <dcterms:modified xsi:type="dcterms:W3CDTF">2026-07-24T18:20:00Z</dcterms:modified>
</cp:coreProperties>
</file>