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80DE" w14:textId="77777777" w:rsidR="005363AC" w:rsidRDefault="005363AC" w:rsidP="005363AC">
      <w:pPr>
        <w:pStyle w:val="Heading1"/>
        <w:spacing w:before="120"/>
        <w:rPr>
          <w:rFonts w:ascii="Times New Roman" w:eastAsia="SimSun" w:hAnsi="Times New Roman"/>
          <w:lang w:eastAsia="zh-CN"/>
        </w:rPr>
      </w:pPr>
      <w:r>
        <w:rPr>
          <w:rFonts w:ascii="Times New Roman" w:eastAsia="Times New Roman" w:hAnsi="Times New Roman"/>
        </w:rPr>
        <w:t>Supplementary Materials</w:t>
      </w:r>
    </w:p>
    <w:p w14:paraId="6456B424" w14:textId="77777777" w:rsidR="005363AC" w:rsidRDefault="005363AC" w:rsidP="005363AC">
      <w:pPr>
        <w:jc w:val="center"/>
        <w:rPr>
          <w:rFonts w:eastAsia="SimSun"/>
          <w:b/>
          <w:lang w:eastAsia="zh-CN"/>
        </w:rPr>
      </w:pPr>
      <w:r>
        <w:rPr>
          <w:b/>
        </w:rPr>
        <w:t>Supplementary Table 1. Serial 12-lead electrocardiographic parameters</w:t>
      </w:r>
    </w:p>
    <w:p w14:paraId="6D49ADB4" w14:textId="77777777" w:rsidR="005363AC" w:rsidRPr="00FC2631" w:rsidRDefault="005363AC" w:rsidP="005363AC">
      <w:pPr>
        <w:rPr>
          <w:rFonts w:eastAsia="SimSun"/>
          <w:lang w:eastAsia="zh-CN"/>
        </w:rPr>
      </w:pPr>
      <w:r w:rsidRPr="00FC2631">
        <w:rPr>
          <w:sz w:val="18"/>
        </w:rPr>
        <w:t>Standard 24-hour ambulatory Holter monitoring was not performed due to local medical insurance policies; simultaneous telemetry and Holter would lead to full non-reimbursement of cardiac monitoring fees, only bedside telemetry was available.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17"/>
        <w:gridCol w:w="1230"/>
        <w:gridCol w:w="1206"/>
        <w:gridCol w:w="1214"/>
        <w:gridCol w:w="1243"/>
        <w:gridCol w:w="1106"/>
        <w:gridCol w:w="1404"/>
        <w:gridCol w:w="1350"/>
      </w:tblGrid>
      <w:tr w:rsidR="005363AC" w14:paraId="08E9C7CE" w14:textId="77777777" w:rsidTr="00A9715A">
        <w:trPr>
          <w:jc w:val="center"/>
        </w:trPr>
        <w:tc>
          <w:tcPr>
            <w:tcW w:w="1818" w:type="dxa"/>
            <w:shd w:val="clear" w:color="auto" w:fill="D9EAF7"/>
            <w:vAlign w:val="center"/>
          </w:tcPr>
          <w:p w14:paraId="3E99D06C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Test timepoint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2DDD86CB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Baseline rhythm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2688DF22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Resting HR (bpm)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6BE4D678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PR interval (ms)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45049F7F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QRS duration (ms)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5D67A62C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QTc (ms)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6C5EDA6C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ST/T-wave abnormalities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0DEE456B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Arrhythmia finding</w:t>
            </w:r>
          </w:p>
        </w:tc>
      </w:tr>
      <w:tr w:rsidR="005363AC" w14:paraId="233E5608" w14:textId="77777777" w:rsidTr="00A9715A">
        <w:trPr>
          <w:jc w:val="center"/>
        </w:trPr>
        <w:tc>
          <w:tcPr>
            <w:tcW w:w="1818" w:type="dxa"/>
            <w:vAlign w:val="center"/>
          </w:tcPr>
          <w:p w14:paraId="0BA2EA94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Hospital day 1 (admission)</w:t>
            </w:r>
          </w:p>
        </w:tc>
        <w:tc>
          <w:tcPr>
            <w:tcW w:w="1818" w:type="dxa"/>
            <w:vAlign w:val="center"/>
          </w:tcPr>
          <w:p w14:paraId="040DE0D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Sinus rhythm</w:t>
            </w:r>
          </w:p>
        </w:tc>
        <w:tc>
          <w:tcPr>
            <w:tcW w:w="1818" w:type="dxa"/>
            <w:vAlign w:val="center"/>
          </w:tcPr>
          <w:p w14:paraId="2377975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92</w:t>
            </w:r>
          </w:p>
        </w:tc>
        <w:tc>
          <w:tcPr>
            <w:tcW w:w="1818" w:type="dxa"/>
            <w:vAlign w:val="center"/>
          </w:tcPr>
          <w:p w14:paraId="3DF5820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169</w:t>
            </w:r>
          </w:p>
        </w:tc>
        <w:tc>
          <w:tcPr>
            <w:tcW w:w="1818" w:type="dxa"/>
            <w:vAlign w:val="center"/>
          </w:tcPr>
          <w:p w14:paraId="0E8B155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99</w:t>
            </w:r>
          </w:p>
        </w:tc>
        <w:tc>
          <w:tcPr>
            <w:tcW w:w="1818" w:type="dxa"/>
            <w:vAlign w:val="center"/>
          </w:tcPr>
          <w:p w14:paraId="08BDDA8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494</w:t>
            </w:r>
          </w:p>
        </w:tc>
        <w:tc>
          <w:tcPr>
            <w:tcW w:w="1818" w:type="dxa"/>
            <w:vAlign w:val="center"/>
          </w:tcPr>
          <w:p w14:paraId="7674806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QS complexes in V1-V3; diffuse T-wave inversion in V5-V6</w:t>
            </w:r>
          </w:p>
        </w:tc>
        <w:tc>
          <w:tcPr>
            <w:tcW w:w="1818" w:type="dxa"/>
            <w:vAlign w:val="center"/>
          </w:tcPr>
          <w:p w14:paraId="6E6E945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Frequent ventricular premature contractions captured by ward telemetry</w:t>
            </w:r>
          </w:p>
        </w:tc>
      </w:tr>
      <w:tr w:rsidR="005363AC" w14:paraId="08B93B5E" w14:textId="77777777" w:rsidTr="00A9715A">
        <w:trPr>
          <w:jc w:val="center"/>
        </w:trPr>
        <w:tc>
          <w:tcPr>
            <w:tcW w:w="1818" w:type="dxa"/>
            <w:vAlign w:val="center"/>
          </w:tcPr>
          <w:p w14:paraId="297724D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Hospital day 3 (April 2, 2026)</w:t>
            </w:r>
          </w:p>
        </w:tc>
        <w:tc>
          <w:tcPr>
            <w:tcW w:w="1818" w:type="dxa"/>
            <w:vAlign w:val="center"/>
          </w:tcPr>
          <w:p w14:paraId="5ACCD47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Sinus rhythm</w:t>
            </w:r>
          </w:p>
        </w:tc>
        <w:tc>
          <w:tcPr>
            <w:tcW w:w="1818" w:type="dxa"/>
            <w:vAlign w:val="center"/>
          </w:tcPr>
          <w:p w14:paraId="7F00F32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69</w:t>
            </w:r>
          </w:p>
        </w:tc>
        <w:tc>
          <w:tcPr>
            <w:tcW w:w="1818" w:type="dxa"/>
            <w:vAlign w:val="center"/>
          </w:tcPr>
          <w:p w14:paraId="627D62B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174</w:t>
            </w:r>
          </w:p>
        </w:tc>
        <w:tc>
          <w:tcPr>
            <w:tcW w:w="1818" w:type="dxa"/>
            <w:vAlign w:val="center"/>
          </w:tcPr>
          <w:p w14:paraId="7F417D1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95</w:t>
            </w:r>
          </w:p>
        </w:tc>
        <w:tc>
          <w:tcPr>
            <w:tcW w:w="1818" w:type="dxa"/>
            <w:vAlign w:val="center"/>
          </w:tcPr>
          <w:p w14:paraId="0E67ECEA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463</w:t>
            </w:r>
          </w:p>
        </w:tc>
        <w:tc>
          <w:tcPr>
            <w:tcW w:w="1818" w:type="dxa"/>
            <w:vAlign w:val="center"/>
          </w:tcPr>
          <w:p w14:paraId="43F88AA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QS complexes in V1-V3; T-wave inversion in V4-V6</w:t>
            </w:r>
          </w:p>
        </w:tc>
        <w:tc>
          <w:tcPr>
            <w:tcW w:w="1818" w:type="dxa"/>
            <w:vAlign w:val="center"/>
          </w:tcPr>
          <w:p w14:paraId="30ECD52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 ventricular ectopy detected on available 12-lead ECG; bedside telemetry continued</w:t>
            </w:r>
          </w:p>
        </w:tc>
      </w:tr>
      <w:tr w:rsidR="005363AC" w14:paraId="4FD9CC3D" w14:textId="77777777" w:rsidTr="00A9715A">
        <w:trPr>
          <w:jc w:val="center"/>
        </w:trPr>
        <w:tc>
          <w:tcPr>
            <w:tcW w:w="1818" w:type="dxa"/>
            <w:vAlign w:val="center"/>
          </w:tcPr>
          <w:p w14:paraId="4527399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2-month outpatient follow-up</w:t>
            </w:r>
          </w:p>
        </w:tc>
        <w:tc>
          <w:tcPr>
            <w:tcW w:w="1818" w:type="dxa"/>
            <w:vAlign w:val="center"/>
          </w:tcPr>
          <w:p w14:paraId="0CD9821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Sinus rhythm</w:t>
            </w:r>
          </w:p>
        </w:tc>
        <w:tc>
          <w:tcPr>
            <w:tcW w:w="1818" w:type="dxa"/>
            <w:vAlign w:val="center"/>
          </w:tcPr>
          <w:p w14:paraId="0F61831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68</w:t>
            </w:r>
          </w:p>
        </w:tc>
        <w:tc>
          <w:tcPr>
            <w:tcW w:w="1818" w:type="dxa"/>
            <w:vAlign w:val="center"/>
          </w:tcPr>
          <w:p w14:paraId="2AEE695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165</w:t>
            </w:r>
          </w:p>
        </w:tc>
        <w:tc>
          <w:tcPr>
            <w:tcW w:w="1818" w:type="dxa"/>
            <w:vAlign w:val="center"/>
          </w:tcPr>
          <w:p w14:paraId="174CD91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115</w:t>
            </w:r>
          </w:p>
        </w:tc>
        <w:tc>
          <w:tcPr>
            <w:tcW w:w="1818" w:type="dxa"/>
            <w:vAlign w:val="center"/>
          </w:tcPr>
          <w:p w14:paraId="7A3246E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479</w:t>
            </w:r>
          </w:p>
        </w:tc>
        <w:tc>
          <w:tcPr>
            <w:tcW w:w="1818" w:type="dxa"/>
            <w:vAlign w:val="center"/>
          </w:tcPr>
          <w:p w14:paraId="75D751E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QS complexes in V1-V3; T-wave inversion in V5-V6</w:t>
            </w:r>
          </w:p>
        </w:tc>
        <w:tc>
          <w:tcPr>
            <w:tcW w:w="1818" w:type="dxa"/>
            <w:vAlign w:val="center"/>
          </w:tcPr>
          <w:p w14:paraId="606CFAA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Occasional ventricular premature contractions on ECG</w:t>
            </w:r>
          </w:p>
        </w:tc>
      </w:tr>
    </w:tbl>
    <w:p w14:paraId="717D10A1" w14:textId="77777777" w:rsidR="005363AC" w:rsidRDefault="005363AC" w:rsidP="005363AC">
      <w:pPr>
        <w:spacing w:after="200"/>
        <w:rPr>
          <w:rFonts w:eastAsia="SimSun"/>
          <w:lang w:eastAsia="zh-CN"/>
        </w:rPr>
      </w:pPr>
      <w:r>
        <w:rPr>
          <w:rFonts w:eastAsia="SimSun"/>
          <w:lang w:eastAsia="zh-CN"/>
        </w:rPr>
        <w:br w:type="page"/>
      </w:r>
    </w:p>
    <w:p w14:paraId="65F3F3D6" w14:textId="77777777" w:rsidR="005363AC" w:rsidRDefault="005363AC" w:rsidP="005363AC">
      <w:pPr>
        <w:jc w:val="center"/>
      </w:pPr>
      <w:r>
        <w:rPr>
          <w:b/>
        </w:rPr>
        <w:lastRenderedPageBreak/>
        <w:t>Supplementary Table 2. Serial quantitative transthoracic echocardiographic parameters</w:t>
      </w:r>
    </w:p>
    <w:p w14:paraId="5ADE429D" w14:textId="77777777" w:rsidR="005363AC" w:rsidRDefault="005363AC" w:rsidP="005363AC">
      <w:r>
        <w:rPr>
          <w:sz w:val="18"/>
        </w:rPr>
        <w:t>Normal reference range for adult female: LVEDD &lt;50 mm; LVEF &gt;=55%; interventricular septum / left ventricular posterior wall thickness 6-11 mm; LAD &lt;40 mm; RVEDD &lt;30 mm; estimated PASP &lt;35 mmHg. N/A = data not recorded in original medical records.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4"/>
        <w:gridCol w:w="882"/>
        <w:gridCol w:w="865"/>
        <w:gridCol w:w="799"/>
        <w:gridCol w:w="927"/>
        <w:gridCol w:w="927"/>
        <w:gridCol w:w="765"/>
        <w:gridCol w:w="887"/>
        <w:gridCol w:w="965"/>
        <w:gridCol w:w="1099"/>
        <w:gridCol w:w="1010"/>
      </w:tblGrid>
      <w:tr w:rsidR="005363AC" w14:paraId="476C9062" w14:textId="77777777" w:rsidTr="00A9715A">
        <w:trPr>
          <w:jc w:val="center"/>
        </w:trPr>
        <w:tc>
          <w:tcPr>
            <w:tcW w:w="1322" w:type="dxa"/>
            <w:shd w:val="clear" w:color="auto" w:fill="D9EAF7"/>
            <w:vAlign w:val="center"/>
          </w:tcPr>
          <w:p w14:paraId="1BAE7421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Imaging timepoint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0EA9C978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LVEDD (mm)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22A2ABE8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LVESD (mm)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55A9964E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LVEF (%)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65F822EC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IVS thickness (mm)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7B60A9D9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LVPW thickness (mm)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4660DC2C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LAD (mm)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0CEB6505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RVEDD (mm)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3D8F2CE9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Estimated PASP (mmHg)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38BAB40C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Valvular regurgitation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6D99FC2F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Pericardial effusion</w:t>
            </w:r>
          </w:p>
        </w:tc>
      </w:tr>
      <w:tr w:rsidR="005363AC" w14:paraId="2B630888" w14:textId="77777777" w:rsidTr="00A9715A">
        <w:trPr>
          <w:jc w:val="center"/>
        </w:trPr>
        <w:tc>
          <w:tcPr>
            <w:tcW w:w="1322" w:type="dxa"/>
            <w:vAlign w:val="center"/>
          </w:tcPr>
          <w:p w14:paraId="2AEBDC7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Within 24h of admission</w:t>
            </w:r>
          </w:p>
        </w:tc>
        <w:tc>
          <w:tcPr>
            <w:tcW w:w="1322" w:type="dxa"/>
            <w:vAlign w:val="center"/>
          </w:tcPr>
          <w:p w14:paraId="3574908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69</w:t>
            </w:r>
          </w:p>
        </w:tc>
        <w:tc>
          <w:tcPr>
            <w:tcW w:w="1322" w:type="dxa"/>
            <w:vAlign w:val="center"/>
          </w:tcPr>
          <w:p w14:paraId="53DA3F3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N/A</w:t>
            </w:r>
          </w:p>
        </w:tc>
        <w:tc>
          <w:tcPr>
            <w:tcW w:w="1322" w:type="dxa"/>
            <w:vAlign w:val="center"/>
          </w:tcPr>
          <w:p w14:paraId="76B84AEA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21</w:t>
            </w:r>
          </w:p>
        </w:tc>
        <w:tc>
          <w:tcPr>
            <w:tcW w:w="1322" w:type="dxa"/>
            <w:vAlign w:val="center"/>
          </w:tcPr>
          <w:p w14:paraId="171EF1B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9</w:t>
            </w:r>
          </w:p>
        </w:tc>
        <w:tc>
          <w:tcPr>
            <w:tcW w:w="1322" w:type="dxa"/>
            <w:vAlign w:val="center"/>
          </w:tcPr>
          <w:p w14:paraId="192BB2F4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8</w:t>
            </w:r>
          </w:p>
        </w:tc>
        <w:tc>
          <w:tcPr>
            <w:tcW w:w="1322" w:type="dxa"/>
            <w:vAlign w:val="center"/>
          </w:tcPr>
          <w:p w14:paraId="3C7CFA5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42</w:t>
            </w:r>
          </w:p>
        </w:tc>
        <w:tc>
          <w:tcPr>
            <w:tcW w:w="1322" w:type="dxa"/>
            <w:vAlign w:val="center"/>
          </w:tcPr>
          <w:p w14:paraId="219C517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26</w:t>
            </w:r>
          </w:p>
        </w:tc>
        <w:tc>
          <w:tcPr>
            <w:tcW w:w="1322" w:type="dxa"/>
            <w:vAlign w:val="center"/>
          </w:tcPr>
          <w:p w14:paraId="04EF149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22</w:t>
            </w:r>
          </w:p>
        </w:tc>
        <w:tc>
          <w:tcPr>
            <w:tcW w:w="1322" w:type="dxa"/>
            <w:vAlign w:val="center"/>
          </w:tcPr>
          <w:p w14:paraId="62F6633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Mild-to-moderate MR; mild TR; mild AR</w:t>
            </w:r>
          </w:p>
        </w:tc>
        <w:tc>
          <w:tcPr>
            <w:tcW w:w="1322" w:type="dxa"/>
            <w:vAlign w:val="center"/>
          </w:tcPr>
          <w:p w14:paraId="2149E85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Small</w:t>
            </w:r>
          </w:p>
        </w:tc>
      </w:tr>
      <w:tr w:rsidR="005363AC" w14:paraId="3C9A762D" w14:textId="77777777" w:rsidTr="00A9715A">
        <w:trPr>
          <w:jc w:val="center"/>
        </w:trPr>
        <w:tc>
          <w:tcPr>
            <w:tcW w:w="1322" w:type="dxa"/>
            <w:vAlign w:val="center"/>
          </w:tcPr>
          <w:p w14:paraId="114B025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Pre-discharge (April 10)</w:t>
            </w:r>
          </w:p>
        </w:tc>
        <w:tc>
          <w:tcPr>
            <w:tcW w:w="1322" w:type="dxa"/>
            <w:vAlign w:val="center"/>
          </w:tcPr>
          <w:p w14:paraId="05A6125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N/A</w:t>
            </w:r>
          </w:p>
        </w:tc>
        <w:tc>
          <w:tcPr>
            <w:tcW w:w="1322" w:type="dxa"/>
            <w:vAlign w:val="center"/>
          </w:tcPr>
          <w:p w14:paraId="4F1A265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N/A</w:t>
            </w:r>
          </w:p>
        </w:tc>
        <w:tc>
          <w:tcPr>
            <w:tcW w:w="1322" w:type="dxa"/>
            <w:vAlign w:val="center"/>
          </w:tcPr>
          <w:p w14:paraId="393D9AD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27</w:t>
            </w:r>
          </w:p>
        </w:tc>
        <w:tc>
          <w:tcPr>
            <w:tcW w:w="1322" w:type="dxa"/>
            <w:vAlign w:val="center"/>
          </w:tcPr>
          <w:p w14:paraId="0B691B2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8</w:t>
            </w:r>
          </w:p>
        </w:tc>
        <w:tc>
          <w:tcPr>
            <w:tcW w:w="1322" w:type="dxa"/>
            <w:vAlign w:val="center"/>
          </w:tcPr>
          <w:p w14:paraId="5A431E6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7</w:t>
            </w:r>
          </w:p>
        </w:tc>
        <w:tc>
          <w:tcPr>
            <w:tcW w:w="1322" w:type="dxa"/>
            <w:vAlign w:val="center"/>
          </w:tcPr>
          <w:p w14:paraId="5BF2259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42</w:t>
            </w:r>
          </w:p>
        </w:tc>
        <w:tc>
          <w:tcPr>
            <w:tcW w:w="1322" w:type="dxa"/>
            <w:vAlign w:val="center"/>
          </w:tcPr>
          <w:p w14:paraId="7398F954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26</w:t>
            </w:r>
          </w:p>
        </w:tc>
        <w:tc>
          <w:tcPr>
            <w:tcW w:w="1322" w:type="dxa"/>
            <w:vAlign w:val="center"/>
          </w:tcPr>
          <w:p w14:paraId="4EA205C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28</w:t>
            </w:r>
          </w:p>
        </w:tc>
        <w:tc>
          <w:tcPr>
            <w:tcW w:w="1322" w:type="dxa"/>
            <w:vAlign w:val="center"/>
          </w:tcPr>
          <w:p w14:paraId="38C54DB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Mild MR</w:t>
            </w:r>
          </w:p>
        </w:tc>
        <w:tc>
          <w:tcPr>
            <w:tcW w:w="1322" w:type="dxa"/>
            <w:vAlign w:val="center"/>
          </w:tcPr>
          <w:p w14:paraId="0443EAF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Small</w:t>
            </w:r>
          </w:p>
        </w:tc>
      </w:tr>
      <w:tr w:rsidR="005363AC" w14:paraId="7FBC2E3B" w14:textId="77777777" w:rsidTr="00A9715A">
        <w:trPr>
          <w:jc w:val="center"/>
        </w:trPr>
        <w:tc>
          <w:tcPr>
            <w:tcW w:w="1322" w:type="dxa"/>
            <w:vAlign w:val="center"/>
          </w:tcPr>
          <w:p w14:paraId="0CB471C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2-month outpatient follow-up</w:t>
            </w:r>
          </w:p>
        </w:tc>
        <w:tc>
          <w:tcPr>
            <w:tcW w:w="1322" w:type="dxa"/>
            <w:vAlign w:val="center"/>
          </w:tcPr>
          <w:p w14:paraId="017D48B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N/A</w:t>
            </w:r>
          </w:p>
        </w:tc>
        <w:tc>
          <w:tcPr>
            <w:tcW w:w="1322" w:type="dxa"/>
            <w:vAlign w:val="center"/>
          </w:tcPr>
          <w:p w14:paraId="3E5C610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N/A</w:t>
            </w:r>
          </w:p>
        </w:tc>
        <w:tc>
          <w:tcPr>
            <w:tcW w:w="1322" w:type="dxa"/>
            <w:vAlign w:val="center"/>
          </w:tcPr>
          <w:p w14:paraId="79028E9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25</w:t>
            </w:r>
          </w:p>
        </w:tc>
        <w:tc>
          <w:tcPr>
            <w:tcW w:w="1322" w:type="dxa"/>
            <w:vAlign w:val="center"/>
          </w:tcPr>
          <w:p w14:paraId="7224849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7</w:t>
            </w:r>
          </w:p>
        </w:tc>
        <w:tc>
          <w:tcPr>
            <w:tcW w:w="1322" w:type="dxa"/>
            <w:vAlign w:val="center"/>
          </w:tcPr>
          <w:p w14:paraId="7DFF003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7</w:t>
            </w:r>
          </w:p>
        </w:tc>
        <w:tc>
          <w:tcPr>
            <w:tcW w:w="1322" w:type="dxa"/>
            <w:vAlign w:val="center"/>
          </w:tcPr>
          <w:p w14:paraId="3AB9730A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39</w:t>
            </w:r>
          </w:p>
        </w:tc>
        <w:tc>
          <w:tcPr>
            <w:tcW w:w="1322" w:type="dxa"/>
            <w:vAlign w:val="center"/>
          </w:tcPr>
          <w:p w14:paraId="777F0DB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24</w:t>
            </w:r>
          </w:p>
        </w:tc>
        <w:tc>
          <w:tcPr>
            <w:tcW w:w="1322" w:type="dxa"/>
            <w:vAlign w:val="center"/>
          </w:tcPr>
          <w:p w14:paraId="603EF3F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24</w:t>
            </w:r>
          </w:p>
        </w:tc>
        <w:tc>
          <w:tcPr>
            <w:tcW w:w="1322" w:type="dxa"/>
            <w:vAlign w:val="center"/>
          </w:tcPr>
          <w:p w14:paraId="6A21F83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Mild MR</w:t>
            </w:r>
          </w:p>
        </w:tc>
        <w:tc>
          <w:tcPr>
            <w:tcW w:w="1322" w:type="dxa"/>
            <w:vAlign w:val="center"/>
          </w:tcPr>
          <w:p w14:paraId="343C134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Small</w:t>
            </w:r>
          </w:p>
        </w:tc>
      </w:tr>
    </w:tbl>
    <w:p w14:paraId="71468A69" w14:textId="77777777" w:rsidR="005363AC" w:rsidRDefault="005363AC" w:rsidP="005363AC">
      <w:r>
        <w:br w:type="page"/>
      </w:r>
    </w:p>
    <w:p w14:paraId="3A38DD73" w14:textId="77777777" w:rsidR="005363AC" w:rsidRDefault="005363AC" w:rsidP="005363AC">
      <w:pPr>
        <w:jc w:val="center"/>
      </w:pPr>
      <w:r>
        <w:rPr>
          <w:b/>
        </w:rPr>
        <w:lastRenderedPageBreak/>
        <w:t>Supplementary Table 3. Guideline-directed medical therapy: titration, hemodynamic response, and adverse events</w:t>
      </w:r>
    </w:p>
    <w:p w14:paraId="32944FA2" w14:textId="77777777" w:rsidR="005363AC" w:rsidRDefault="005363AC" w:rsidP="005363AC">
      <w:r>
        <w:rPr>
          <w:sz w:val="18"/>
        </w:rPr>
        <w:t>ARNI = angiotensin receptor-neprilysin inhibitor; MRA = mineralocorticoid receptor antagonist; SGLT2i = sodium-glucose cotransporter 2 inhibitor; PO = oral; IV = intravenous; QD = once daily; BID = twice daily; SBP = systolic blood pressure; HR = heart rate; N/A = no standardized target dose.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1307"/>
        <w:gridCol w:w="669"/>
        <w:gridCol w:w="1344"/>
        <w:gridCol w:w="861"/>
        <w:gridCol w:w="1005"/>
        <w:gridCol w:w="710"/>
        <w:gridCol w:w="676"/>
        <w:gridCol w:w="792"/>
        <w:gridCol w:w="1005"/>
        <w:gridCol w:w="929"/>
      </w:tblGrid>
      <w:tr w:rsidR="005363AC" w14:paraId="00ABAB58" w14:textId="77777777" w:rsidTr="00A9715A">
        <w:trPr>
          <w:jc w:val="center"/>
        </w:trPr>
        <w:tc>
          <w:tcPr>
            <w:tcW w:w="1322" w:type="dxa"/>
            <w:shd w:val="clear" w:color="auto" w:fill="D9EAF7"/>
            <w:vAlign w:val="center"/>
          </w:tcPr>
          <w:p w14:paraId="7EBFBEEF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Drug class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1D0CC2CC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Generic name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0D99DC36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Initial dose and route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62A1BDC2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Titration course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71F9B9E1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Guideline target dose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145CD6FD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Discharge dose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48B07144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2-month follow-up dose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33F610E0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Stable HR (bpm)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01F22CAF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Stable SBP (mmHg)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42A8D7BE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Adverse events</w:t>
            </w:r>
          </w:p>
        </w:tc>
        <w:tc>
          <w:tcPr>
            <w:tcW w:w="1322" w:type="dxa"/>
            <w:shd w:val="clear" w:color="auto" w:fill="D9EAF7"/>
            <w:vAlign w:val="center"/>
          </w:tcPr>
          <w:p w14:paraId="62696745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Overall tolerability</w:t>
            </w:r>
          </w:p>
        </w:tc>
      </w:tr>
      <w:tr w:rsidR="005363AC" w14:paraId="0880ACBA" w14:textId="77777777" w:rsidTr="00A9715A">
        <w:trPr>
          <w:jc w:val="center"/>
        </w:trPr>
        <w:tc>
          <w:tcPr>
            <w:tcW w:w="1322" w:type="dxa"/>
            <w:vAlign w:val="center"/>
          </w:tcPr>
          <w:p w14:paraId="54D90A5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ARNI</w:t>
            </w:r>
          </w:p>
        </w:tc>
        <w:tc>
          <w:tcPr>
            <w:tcW w:w="1322" w:type="dxa"/>
            <w:vAlign w:val="center"/>
          </w:tcPr>
          <w:p w14:paraId="256D738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Sacubitril/valsartan</w:t>
            </w:r>
          </w:p>
        </w:tc>
        <w:tc>
          <w:tcPr>
            <w:tcW w:w="1322" w:type="dxa"/>
            <w:vAlign w:val="center"/>
          </w:tcPr>
          <w:p w14:paraId="72F51C5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100 mg PO QD</w:t>
            </w:r>
          </w:p>
        </w:tc>
        <w:tc>
          <w:tcPr>
            <w:tcW w:w="1322" w:type="dxa"/>
            <w:vAlign w:val="center"/>
          </w:tcPr>
          <w:p w14:paraId="404E095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Discontinued on hospital day 1 because of symptomatic hypotension; later re-challenged/restarted at low outpatient dose when hemodynamics allowed</w:t>
            </w:r>
          </w:p>
        </w:tc>
        <w:tc>
          <w:tcPr>
            <w:tcW w:w="1322" w:type="dxa"/>
            <w:vAlign w:val="center"/>
          </w:tcPr>
          <w:p w14:paraId="0CC8CAF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200 mg PO BID</w:t>
            </w:r>
          </w:p>
        </w:tc>
        <w:tc>
          <w:tcPr>
            <w:tcW w:w="1322" w:type="dxa"/>
            <w:vAlign w:val="center"/>
          </w:tcPr>
          <w:p w14:paraId="0E1E107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Discontinued</w:t>
            </w:r>
          </w:p>
        </w:tc>
        <w:tc>
          <w:tcPr>
            <w:tcW w:w="1322" w:type="dxa"/>
            <w:vAlign w:val="center"/>
          </w:tcPr>
          <w:p w14:paraId="326B40D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50 mg PO QD</w:t>
            </w:r>
          </w:p>
        </w:tc>
        <w:tc>
          <w:tcPr>
            <w:tcW w:w="1322" w:type="dxa"/>
            <w:vAlign w:val="center"/>
          </w:tcPr>
          <w:p w14:paraId="57A318C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68</w:t>
            </w:r>
          </w:p>
        </w:tc>
        <w:tc>
          <w:tcPr>
            <w:tcW w:w="1322" w:type="dxa"/>
            <w:vAlign w:val="center"/>
          </w:tcPr>
          <w:p w14:paraId="26FA454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100</w:t>
            </w:r>
          </w:p>
        </w:tc>
        <w:tc>
          <w:tcPr>
            <w:tcW w:w="1322" w:type="dxa"/>
            <w:vAlign w:val="center"/>
          </w:tcPr>
          <w:p w14:paraId="6A3FF34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Symptomatic hypotension during index admission</w:t>
            </w:r>
          </w:p>
        </w:tc>
        <w:tc>
          <w:tcPr>
            <w:tcW w:w="1322" w:type="dxa"/>
            <w:vAlign w:val="center"/>
          </w:tcPr>
          <w:p w14:paraId="3265DA9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Blood-pressure limited</w:t>
            </w:r>
          </w:p>
        </w:tc>
      </w:tr>
      <w:tr w:rsidR="005363AC" w14:paraId="4246DBD9" w14:textId="77777777" w:rsidTr="00A9715A">
        <w:trPr>
          <w:jc w:val="center"/>
        </w:trPr>
        <w:tc>
          <w:tcPr>
            <w:tcW w:w="1322" w:type="dxa"/>
            <w:vAlign w:val="center"/>
          </w:tcPr>
          <w:p w14:paraId="4B6F206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Beta-blocker</w:t>
            </w:r>
          </w:p>
        </w:tc>
        <w:tc>
          <w:tcPr>
            <w:tcW w:w="1322" w:type="dxa"/>
            <w:vAlign w:val="center"/>
          </w:tcPr>
          <w:p w14:paraId="013BF308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Metoprolol succinate</w:t>
            </w:r>
          </w:p>
        </w:tc>
        <w:tc>
          <w:tcPr>
            <w:tcW w:w="1322" w:type="dxa"/>
            <w:vAlign w:val="center"/>
          </w:tcPr>
          <w:p w14:paraId="73E72FE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47.5 mg PO QD</w:t>
            </w:r>
          </w:p>
        </w:tc>
        <w:tc>
          <w:tcPr>
            <w:tcW w:w="1322" w:type="dxa"/>
            <w:vAlign w:val="center"/>
          </w:tcPr>
          <w:p w14:paraId="072695E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 dose uptitration implemented</w:t>
            </w:r>
          </w:p>
        </w:tc>
        <w:tc>
          <w:tcPr>
            <w:tcW w:w="1322" w:type="dxa"/>
            <w:vAlign w:val="center"/>
          </w:tcPr>
          <w:p w14:paraId="6E50A4A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190 mg PO QD</w:t>
            </w:r>
          </w:p>
        </w:tc>
        <w:tc>
          <w:tcPr>
            <w:tcW w:w="1322" w:type="dxa"/>
            <w:vAlign w:val="center"/>
          </w:tcPr>
          <w:p w14:paraId="26C9017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47.5 mg PO QD</w:t>
            </w:r>
          </w:p>
        </w:tc>
        <w:tc>
          <w:tcPr>
            <w:tcW w:w="1322" w:type="dxa"/>
            <w:vAlign w:val="center"/>
          </w:tcPr>
          <w:p w14:paraId="084B176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47.5 mg PO QD</w:t>
            </w:r>
          </w:p>
        </w:tc>
        <w:tc>
          <w:tcPr>
            <w:tcW w:w="1322" w:type="dxa"/>
            <w:vAlign w:val="center"/>
          </w:tcPr>
          <w:p w14:paraId="43CE12C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68</w:t>
            </w:r>
          </w:p>
        </w:tc>
        <w:tc>
          <w:tcPr>
            <w:tcW w:w="1322" w:type="dxa"/>
            <w:vAlign w:val="center"/>
          </w:tcPr>
          <w:p w14:paraId="53B32AE4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100</w:t>
            </w:r>
          </w:p>
        </w:tc>
        <w:tc>
          <w:tcPr>
            <w:tcW w:w="1322" w:type="dxa"/>
            <w:vAlign w:val="center"/>
          </w:tcPr>
          <w:p w14:paraId="1B815B6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None</w:t>
            </w:r>
          </w:p>
        </w:tc>
        <w:tc>
          <w:tcPr>
            <w:tcW w:w="1322" w:type="dxa"/>
            <w:vAlign w:val="center"/>
          </w:tcPr>
          <w:p w14:paraId="4C9D1BF8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Good</w:t>
            </w:r>
          </w:p>
        </w:tc>
      </w:tr>
      <w:tr w:rsidR="005363AC" w14:paraId="07F19309" w14:textId="77777777" w:rsidTr="00A9715A">
        <w:trPr>
          <w:jc w:val="center"/>
        </w:trPr>
        <w:tc>
          <w:tcPr>
            <w:tcW w:w="1322" w:type="dxa"/>
            <w:vAlign w:val="center"/>
          </w:tcPr>
          <w:p w14:paraId="336CFD1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MRA</w:t>
            </w:r>
          </w:p>
        </w:tc>
        <w:tc>
          <w:tcPr>
            <w:tcW w:w="1322" w:type="dxa"/>
            <w:vAlign w:val="center"/>
          </w:tcPr>
          <w:p w14:paraId="7736D68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Spironolactone</w:t>
            </w:r>
          </w:p>
        </w:tc>
        <w:tc>
          <w:tcPr>
            <w:tcW w:w="1322" w:type="dxa"/>
            <w:vAlign w:val="center"/>
          </w:tcPr>
          <w:p w14:paraId="0DD05A6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20 mg PO QD</w:t>
            </w:r>
          </w:p>
        </w:tc>
        <w:tc>
          <w:tcPr>
            <w:tcW w:w="1322" w:type="dxa"/>
            <w:vAlign w:val="center"/>
          </w:tcPr>
          <w:p w14:paraId="0D28C9C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 dose uptitration implemented</w:t>
            </w:r>
          </w:p>
        </w:tc>
        <w:tc>
          <w:tcPr>
            <w:tcW w:w="1322" w:type="dxa"/>
            <w:vAlign w:val="center"/>
          </w:tcPr>
          <w:p w14:paraId="70D2BA0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25-50 mg PO QD</w:t>
            </w:r>
          </w:p>
        </w:tc>
        <w:tc>
          <w:tcPr>
            <w:tcW w:w="1322" w:type="dxa"/>
            <w:vAlign w:val="center"/>
          </w:tcPr>
          <w:p w14:paraId="5F368DD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20 mg PO QD</w:t>
            </w:r>
          </w:p>
        </w:tc>
        <w:tc>
          <w:tcPr>
            <w:tcW w:w="1322" w:type="dxa"/>
            <w:vAlign w:val="center"/>
          </w:tcPr>
          <w:p w14:paraId="4AECEE2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20 mg PO QD</w:t>
            </w:r>
          </w:p>
        </w:tc>
        <w:tc>
          <w:tcPr>
            <w:tcW w:w="1322" w:type="dxa"/>
            <w:vAlign w:val="center"/>
          </w:tcPr>
          <w:p w14:paraId="7E789DE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68</w:t>
            </w:r>
          </w:p>
        </w:tc>
        <w:tc>
          <w:tcPr>
            <w:tcW w:w="1322" w:type="dxa"/>
            <w:vAlign w:val="center"/>
          </w:tcPr>
          <w:p w14:paraId="744EF4B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100</w:t>
            </w:r>
          </w:p>
        </w:tc>
        <w:tc>
          <w:tcPr>
            <w:tcW w:w="1322" w:type="dxa"/>
            <w:vAlign w:val="center"/>
          </w:tcPr>
          <w:p w14:paraId="14101C08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None</w:t>
            </w:r>
          </w:p>
        </w:tc>
        <w:tc>
          <w:tcPr>
            <w:tcW w:w="1322" w:type="dxa"/>
            <w:vAlign w:val="center"/>
          </w:tcPr>
          <w:p w14:paraId="49100DE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Good</w:t>
            </w:r>
          </w:p>
        </w:tc>
      </w:tr>
      <w:tr w:rsidR="005363AC" w14:paraId="7EDB6FCB" w14:textId="77777777" w:rsidTr="00A9715A">
        <w:trPr>
          <w:jc w:val="center"/>
        </w:trPr>
        <w:tc>
          <w:tcPr>
            <w:tcW w:w="1322" w:type="dxa"/>
            <w:vAlign w:val="center"/>
          </w:tcPr>
          <w:p w14:paraId="59A2846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SGLT2 inhibitor</w:t>
            </w:r>
          </w:p>
        </w:tc>
        <w:tc>
          <w:tcPr>
            <w:tcW w:w="1322" w:type="dxa"/>
            <w:vAlign w:val="center"/>
          </w:tcPr>
          <w:p w14:paraId="4ABD5B5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Dapagliflozin</w:t>
            </w:r>
          </w:p>
        </w:tc>
        <w:tc>
          <w:tcPr>
            <w:tcW w:w="1322" w:type="dxa"/>
            <w:vAlign w:val="center"/>
          </w:tcPr>
          <w:p w14:paraId="5D66449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 mg PO QD</w:t>
            </w:r>
          </w:p>
        </w:tc>
        <w:tc>
          <w:tcPr>
            <w:tcW w:w="1322" w:type="dxa"/>
            <w:vAlign w:val="center"/>
          </w:tcPr>
          <w:p w14:paraId="37614358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 dose uptitration implemented</w:t>
            </w:r>
          </w:p>
        </w:tc>
        <w:tc>
          <w:tcPr>
            <w:tcW w:w="1322" w:type="dxa"/>
            <w:vAlign w:val="center"/>
          </w:tcPr>
          <w:p w14:paraId="29616A8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 mg PO QD</w:t>
            </w:r>
          </w:p>
        </w:tc>
        <w:tc>
          <w:tcPr>
            <w:tcW w:w="1322" w:type="dxa"/>
            <w:vAlign w:val="center"/>
          </w:tcPr>
          <w:p w14:paraId="1941661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 mg PO QD</w:t>
            </w:r>
          </w:p>
        </w:tc>
        <w:tc>
          <w:tcPr>
            <w:tcW w:w="1322" w:type="dxa"/>
            <w:vAlign w:val="center"/>
          </w:tcPr>
          <w:p w14:paraId="7CF5282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 mg PO QD</w:t>
            </w:r>
          </w:p>
        </w:tc>
        <w:tc>
          <w:tcPr>
            <w:tcW w:w="1322" w:type="dxa"/>
            <w:vAlign w:val="center"/>
          </w:tcPr>
          <w:p w14:paraId="6413920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68</w:t>
            </w:r>
          </w:p>
        </w:tc>
        <w:tc>
          <w:tcPr>
            <w:tcW w:w="1322" w:type="dxa"/>
            <w:vAlign w:val="center"/>
          </w:tcPr>
          <w:p w14:paraId="5DD4FED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100</w:t>
            </w:r>
          </w:p>
        </w:tc>
        <w:tc>
          <w:tcPr>
            <w:tcW w:w="1322" w:type="dxa"/>
            <w:vAlign w:val="center"/>
          </w:tcPr>
          <w:p w14:paraId="4F405238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None</w:t>
            </w:r>
          </w:p>
        </w:tc>
        <w:tc>
          <w:tcPr>
            <w:tcW w:w="1322" w:type="dxa"/>
            <w:vAlign w:val="center"/>
          </w:tcPr>
          <w:p w14:paraId="719F145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Good</w:t>
            </w:r>
          </w:p>
        </w:tc>
      </w:tr>
      <w:tr w:rsidR="005363AC" w14:paraId="28CF2717" w14:textId="77777777" w:rsidTr="00A9715A">
        <w:trPr>
          <w:jc w:val="center"/>
        </w:trPr>
        <w:tc>
          <w:tcPr>
            <w:tcW w:w="1322" w:type="dxa"/>
            <w:vAlign w:val="center"/>
          </w:tcPr>
          <w:p w14:paraId="435CAF1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Loop diuretic</w:t>
            </w:r>
          </w:p>
        </w:tc>
        <w:tc>
          <w:tcPr>
            <w:tcW w:w="1322" w:type="dxa"/>
            <w:vAlign w:val="center"/>
          </w:tcPr>
          <w:p w14:paraId="55B4DD7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Furosemide</w:t>
            </w:r>
          </w:p>
        </w:tc>
        <w:tc>
          <w:tcPr>
            <w:tcW w:w="1322" w:type="dxa"/>
            <w:vAlign w:val="center"/>
          </w:tcPr>
          <w:p w14:paraId="16A00FB8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 mg IV QD</w:t>
            </w:r>
          </w:p>
        </w:tc>
        <w:tc>
          <w:tcPr>
            <w:tcW w:w="1322" w:type="dxa"/>
            <w:vAlign w:val="center"/>
          </w:tcPr>
          <w:p w14:paraId="1587CD4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Switched to oral formulation without further adverse events</w:t>
            </w:r>
          </w:p>
        </w:tc>
        <w:tc>
          <w:tcPr>
            <w:tcW w:w="1322" w:type="dxa"/>
            <w:vAlign w:val="center"/>
          </w:tcPr>
          <w:p w14:paraId="15D9EE1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N/A</w:t>
            </w:r>
          </w:p>
        </w:tc>
        <w:tc>
          <w:tcPr>
            <w:tcW w:w="1322" w:type="dxa"/>
            <w:vAlign w:val="center"/>
          </w:tcPr>
          <w:p w14:paraId="648E9F2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20 mg PO QD</w:t>
            </w:r>
          </w:p>
        </w:tc>
        <w:tc>
          <w:tcPr>
            <w:tcW w:w="1322" w:type="dxa"/>
            <w:vAlign w:val="center"/>
          </w:tcPr>
          <w:p w14:paraId="4E7D402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20 mg PO QD</w:t>
            </w:r>
          </w:p>
        </w:tc>
        <w:tc>
          <w:tcPr>
            <w:tcW w:w="1322" w:type="dxa"/>
            <w:vAlign w:val="center"/>
          </w:tcPr>
          <w:p w14:paraId="361260C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68</w:t>
            </w:r>
          </w:p>
        </w:tc>
        <w:tc>
          <w:tcPr>
            <w:tcW w:w="1322" w:type="dxa"/>
            <w:vAlign w:val="center"/>
          </w:tcPr>
          <w:p w14:paraId="7A18430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100</w:t>
            </w:r>
          </w:p>
        </w:tc>
        <w:tc>
          <w:tcPr>
            <w:tcW w:w="1322" w:type="dxa"/>
            <w:vAlign w:val="center"/>
          </w:tcPr>
          <w:p w14:paraId="0FD06A58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None</w:t>
            </w:r>
          </w:p>
        </w:tc>
        <w:tc>
          <w:tcPr>
            <w:tcW w:w="1322" w:type="dxa"/>
            <w:vAlign w:val="center"/>
          </w:tcPr>
          <w:p w14:paraId="498C5CC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Good</w:t>
            </w:r>
          </w:p>
        </w:tc>
      </w:tr>
    </w:tbl>
    <w:p w14:paraId="2E1B6211" w14:textId="77777777" w:rsidR="005363AC" w:rsidRDefault="005363AC" w:rsidP="005363AC">
      <w:r>
        <w:br w:type="page"/>
      </w:r>
    </w:p>
    <w:p w14:paraId="6B8DEF4E" w14:textId="77777777" w:rsidR="005363AC" w:rsidRDefault="005363AC" w:rsidP="005363AC">
      <w:pPr>
        <w:jc w:val="center"/>
      </w:pPr>
      <w:r>
        <w:rPr>
          <w:b/>
        </w:rPr>
        <w:lastRenderedPageBreak/>
        <w:t>Supplementary Table 4. Serial serum renal function and electrolyte profiles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1252"/>
        <w:gridCol w:w="1355"/>
        <w:gridCol w:w="1212"/>
        <w:gridCol w:w="1212"/>
        <w:gridCol w:w="1212"/>
        <w:gridCol w:w="1212"/>
        <w:gridCol w:w="1381"/>
      </w:tblGrid>
      <w:tr w:rsidR="005363AC" w14:paraId="783B4588" w14:textId="77777777" w:rsidTr="00A9715A">
        <w:trPr>
          <w:jc w:val="center"/>
        </w:trPr>
        <w:tc>
          <w:tcPr>
            <w:tcW w:w="1818" w:type="dxa"/>
            <w:shd w:val="clear" w:color="auto" w:fill="D9EAF7"/>
            <w:vAlign w:val="center"/>
          </w:tcPr>
          <w:p w14:paraId="3F2267F7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Sampling timepoint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25FB4679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Creatinine (umol/L)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33CB5E55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eGFR (mL/min/1.73 m2)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1BEEBC92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BUN (mmol/L)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30C4F0C7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Serum K+ (mmol/L)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0E55BD91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Serum Na+ (mmol/L)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0A560ACB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Serum Cl- (mmol/L)</w:t>
            </w:r>
          </w:p>
        </w:tc>
        <w:tc>
          <w:tcPr>
            <w:tcW w:w="1818" w:type="dxa"/>
            <w:shd w:val="clear" w:color="auto" w:fill="D9EAF7"/>
            <w:vAlign w:val="center"/>
          </w:tcPr>
          <w:p w14:paraId="21E8BA2E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Clinical laboratory context</w:t>
            </w:r>
          </w:p>
        </w:tc>
      </w:tr>
      <w:tr w:rsidR="005363AC" w14:paraId="1390A490" w14:textId="77777777" w:rsidTr="00A9715A">
        <w:trPr>
          <w:jc w:val="center"/>
        </w:trPr>
        <w:tc>
          <w:tcPr>
            <w:tcW w:w="1818" w:type="dxa"/>
            <w:vAlign w:val="center"/>
          </w:tcPr>
          <w:p w14:paraId="14E775E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Admission baseline</w:t>
            </w:r>
          </w:p>
        </w:tc>
        <w:tc>
          <w:tcPr>
            <w:tcW w:w="1818" w:type="dxa"/>
            <w:vAlign w:val="center"/>
          </w:tcPr>
          <w:p w14:paraId="0EA316B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69</w:t>
            </w:r>
          </w:p>
        </w:tc>
        <w:tc>
          <w:tcPr>
            <w:tcW w:w="1818" w:type="dxa"/>
            <w:vAlign w:val="center"/>
          </w:tcPr>
          <w:p w14:paraId="21ABC86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95.54</w:t>
            </w:r>
          </w:p>
        </w:tc>
        <w:tc>
          <w:tcPr>
            <w:tcW w:w="1818" w:type="dxa"/>
            <w:vAlign w:val="center"/>
          </w:tcPr>
          <w:p w14:paraId="56348B7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5.83</w:t>
            </w:r>
          </w:p>
        </w:tc>
        <w:tc>
          <w:tcPr>
            <w:tcW w:w="1818" w:type="dxa"/>
            <w:vAlign w:val="center"/>
          </w:tcPr>
          <w:p w14:paraId="38D6F87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3.36</w:t>
            </w:r>
          </w:p>
        </w:tc>
        <w:tc>
          <w:tcPr>
            <w:tcW w:w="1818" w:type="dxa"/>
            <w:vAlign w:val="center"/>
          </w:tcPr>
          <w:p w14:paraId="2A07F6A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143</w:t>
            </w:r>
          </w:p>
        </w:tc>
        <w:tc>
          <w:tcPr>
            <w:tcW w:w="1818" w:type="dxa"/>
            <w:vAlign w:val="center"/>
          </w:tcPr>
          <w:p w14:paraId="0E8F433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105</w:t>
            </w:r>
          </w:p>
        </w:tc>
        <w:tc>
          <w:tcPr>
            <w:tcW w:w="1818" w:type="dxa"/>
            <w:vAlign w:val="center"/>
          </w:tcPr>
          <w:p w14:paraId="291130FA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Baseline organ function assessment prior to GDMT initiation</w:t>
            </w:r>
          </w:p>
        </w:tc>
      </w:tr>
      <w:tr w:rsidR="005363AC" w14:paraId="0E3B38EB" w14:textId="77777777" w:rsidTr="00A9715A">
        <w:trPr>
          <w:jc w:val="center"/>
        </w:trPr>
        <w:tc>
          <w:tcPr>
            <w:tcW w:w="1818" w:type="dxa"/>
            <w:vAlign w:val="center"/>
          </w:tcPr>
          <w:p w14:paraId="2F05F59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Hospital day 6</w:t>
            </w:r>
          </w:p>
        </w:tc>
        <w:tc>
          <w:tcPr>
            <w:tcW w:w="1818" w:type="dxa"/>
            <w:vAlign w:val="center"/>
          </w:tcPr>
          <w:p w14:paraId="12AA799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56</w:t>
            </w:r>
          </w:p>
        </w:tc>
        <w:tc>
          <w:tcPr>
            <w:tcW w:w="1818" w:type="dxa"/>
            <w:vAlign w:val="center"/>
          </w:tcPr>
          <w:p w14:paraId="31068AD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112.43</w:t>
            </w:r>
          </w:p>
        </w:tc>
        <w:tc>
          <w:tcPr>
            <w:tcW w:w="1818" w:type="dxa"/>
            <w:vAlign w:val="center"/>
          </w:tcPr>
          <w:p w14:paraId="630A1C4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4.80</w:t>
            </w:r>
          </w:p>
        </w:tc>
        <w:tc>
          <w:tcPr>
            <w:tcW w:w="1818" w:type="dxa"/>
            <w:vAlign w:val="center"/>
          </w:tcPr>
          <w:p w14:paraId="15EC6B8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3.81</w:t>
            </w:r>
          </w:p>
        </w:tc>
        <w:tc>
          <w:tcPr>
            <w:tcW w:w="1818" w:type="dxa"/>
            <w:vAlign w:val="center"/>
          </w:tcPr>
          <w:p w14:paraId="29E6AED4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138</w:t>
            </w:r>
          </w:p>
        </w:tc>
        <w:tc>
          <w:tcPr>
            <w:tcW w:w="1818" w:type="dxa"/>
            <w:vAlign w:val="center"/>
          </w:tcPr>
          <w:p w14:paraId="11CDD41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101</w:t>
            </w:r>
          </w:p>
        </w:tc>
        <w:tc>
          <w:tcPr>
            <w:tcW w:w="1818" w:type="dxa"/>
            <w:vAlign w:val="center"/>
          </w:tcPr>
          <w:p w14:paraId="204EE88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Serial monitoring during diuretic and neurohormonal antagonist titration</w:t>
            </w:r>
          </w:p>
        </w:tc>
      </w:tr>
      <w:tr w:rsidR="005363AC" w14:paraId="2744A267" w14:textId="77777777" w:rsidTr="00A9715A">
        <w:trPr>
          <w:jc w:val="center"/>
        </w:trPr>
        <w:tc>
          <w:tcPr>
            <w:tcW w:w="1818" w:type="dxa"/>
            <w:vAlign w:val="center"/>
          </w:tcPr>
          <w:p w14:paraId="110359DA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Pre-discharge</w:t>
            </w:r>
          </w:p>
        </w:tc>
        <w:tc>
          <w:tcPr>
            <w:tcW w:w="1818" w:type="dxa"/>
            <w:vAlign w:val="center"/>
          </w:tcPr>
          <w:p w14:paraId="489AC8C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N/A</w:t>
            </w:r>
          </w:p>
        </w:tc>
        <w:tc>
          <w:tcPr>
            <w:tcW w:w="1818" w:type="dxa"/>
            <w:vAlign w:val="center"/>
          </w:tcPr>
          <w:p w14:paraId="75163AA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N/A</w:t>
            </w:r>
          </w:p>
        </w:tc>
        <w:tc>
          <w:tcPr>
            <w:tcW w:w="1818" w:type="dxa"/>
            <w:vAlign w:val="center"/>
          </w:tcPr>
          <w:p w14:paraId="70D6401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N/A</w:t>
            </w:r>
          </w:p>
        </w:tc>
        <w:tc>
          <w:tcPr>
            <w:tcW w:w="1818" w:type="dxa"/>
            <w:vAlign w:val="center"/>
          </w:tcPr>
          <w:p w14:paraId="6665773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3.73</w:t>
            </w:r>
          </w:p>
        </w:tc>
        <w:tc>
          <w:tcPr>
            <w:tcW w:w="1818" w:type="dxa"/>
            <w:vAlign w:val="center"/>
          </w:tcPr>
          <w:p w14:paraId="5D9B501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138</w:t>
            </w:r>
          </w:p>
        </w:tc>
        <w:tc>
          <w:tcPr>
            <w:tcW w:w="1818" w:type="dxa"/>
            <w:vAlign w:val="center"/>
          </w:tcPr>
          <w:p w14:paraId="2A5D989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105</w:t>
            </w:r>
          </w:p>
        </w:tc>
        <w:tc>
          <w:tcPr>
            <w:tcW w:w="1818" w:type="dxa"/>
            <w:vAlign w:val="center"/>
          </w:tcPr>
          <w:p w14:paraId="63B4B9B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Safety evaluation before hospital discharge</w:t>
            </w:r>
          </w:p>
        </w:tc>
      </w:tr>
      <w:tr w:rsidR="005363AC" w14:paraId="28FEF76C" w14:textId="77777777" w:rsidTr="00A9715A">
        <w:trPr>
          <w:jc w:val="center"/>
        </w:trPr>
        <w:tc>
          <w:tcPr>
            <w:tcW w:w="1818" w:type="dxa"/>
            <w:vAlign w:val="center"/>
          </w:tcPr>
          <w:p w14:paraId="0F1720D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2-month outpatient follow-up</w:t>
            </w:r>
          </w:p>
        </w:tc>
        <w:tc>
          <w:tcPr>
            <w:tcW w:w="1818" w:type="dxa"/>
            <w:vAlign w:val="center"/>
          </w:tcPr>
          <w:p w14:paraId="055470CA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46</w:t>
            </w:r>
          </w:p>
        </w:tc>
        <w:tc>
          <w:tcPr>
            <w:tcW w:w="1818" w:type="dxa"/>
            <w:vAlign w:val="center"/>
          </w:tcPr>
          <w:p w14:paraId="1377B93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119.94</w:t>
            </w:r>
          </w:p>
        </w:tc>
        <w:tc>
          <w:tcPr>
            <w:tcW w:w="1818" w:type="dxa"/>
            <w:vAlign w:val="center"/>
          </w:tcPr>
          <w:p w14:paraId="7308756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5.68</w:t>
            </w:r>
          </w:p>
        </w:tc>
        <w:tc>
          <w:tcPr>
            <w:tcW w:w="1818" w:type="dxa"/>
            <w:vAlign w:val="center"/>
          </w:tcPr>
          <w:p w14:paraId="268CB9C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4.22</w:t>
            </w:r>
          </w:p>
        </w:tc>
        <w:tc>
          <w:tcPr>
            <w:tcW w:w="1818" w:type="dxa"/>
            <w:vAlign w:val="center"/>
          </w:tcPr>
          <w:p w14:paraId="7FBFB42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139</w:t>
            </w:r>
          </w:p>
        </w:tc>
        <w:tc>
          <w:tcPr>
            <w:tcW w:w="1818" w:type="dxa"/>
            <w:vAlign w:val="center"/>
          </w:tcPr>
          <w:p w14:paraId="786FF49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105.9</w:t>
            </w:r>
          </w:p>
        </w:tc>
        <w:tc>
          <w:tcPr>
            <w:tcW w:w="1818" w:type="dxa"/>
            <w:vAlign w:val="center"/>
          </w:tcPr>
          <w:p w14:paraId="7A083C5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Long-term safety surveillance of chronic heart failure medications</w:t>
            </w:r>
          </w:p>
        </w:tc>
      </w:tr>
    </w:tbl>
    <w:p w14:paraId="5866B7C9" w14:textId="77777777" w:rsidR="005363AC" w:rsidRDefault="005363AC" w:rsidP="005363AC">
      <w:r>
        <w:br w:type="page"/>
      </w:r>
    </w:p>
    <w:p w14:paraId="77A573C8" w14:textId="77777777" w:rsidR="005363AC" w:rsidRDefault="005363AC" w:rsidP="005363AC">
      <w:pPr>
        <w:jc w:val="center"/>
      </w:pPr>
      <w:r>
        <w:rPr>
          <w:b/>
        </w:rPr>
        <w:lastRenderedPageBreak/>
        <w:t>Supplementary Table 5. Genetic findings and family validation results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2725"/>
        <w:gridCol w:w="1428"/>
        <w:gridCol w:w="1422"/>
        <w:gridCol w:w="1304"/>
        <w:gridCol w:w="1796"/>
      </w:tblGrid>
      <w:tr w:rsidR="005363AC" w14:paraId="609A2882" w14:textId="77777777" w:rsidTr="00A9715A">
        <w:trPr>
          <w:jc w:val="center"/>
        </w:trPr>
        <w:tc>
          <w:tcPr>
            <w:tcW w:w="2424" w:type="dxa"/>
            <w:shd w:val="clear" w:color="auto" w:fill="D9EAF7"/>
            <w:vAlign w:val="center"/>
          </w:tcPr>
          <w:p w14:paraId="2157B0BA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Gene/region</w:t>
            </w:r>
          </w:p>
        </w:tc>
        <w:tc>
          <w:tcPr>
            <w:tcW w:w="2424" w:type="dxa"/>
            <w:shd w:val="clear" w:color="auto" w:fill="D9EAF7"/>
            <w:vAlign w:val="center"/>
          </w:tcPr>
          <w:p w14:paraId="3C2386CB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Variant nomenclature</w:t>
            </w:r>
          </w:p>
        </w:tc>
        <w:tc>
          <w:tcPr>
            <w:tcW w:w="2424" w:type="dxa"/>
            <w:shd w:val="clear" w:color="auto" w:fill="D9EAF7"/>
            <w:vAlign w:val="center"/>
          </w:tcPr>
          <w:p w14:paraId="39F6EE91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Zygosity / burden</w:t>
            </w:r>
          </w:p>
        </w:tc>
        <w:tc>
          <w:tcPr>
            <w:tcW w:w="2424" w:type="dxa"/>
            <w:shd w:val="clear" w:color="auto" w:fill="D9EAF7"/>
            <w:vAlign w:val="center"/>
          </w:tcPr>
          <w:p w14:paraId="512AFBD4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ACMG classification</w:t>
            </w:r>
          </w:p>
        </w:tc>
        <w:tc>
          <w:tcPr>
            <w:tcW w:w="2424" w:type="dxa"/>
            <w:shd w:val="clear" w:color="auto" w:fill="D9EAF7"/>
            <w:vAlign w:val="center"/>
          </w:tcPr>
          <w:p w14:paraId="790BD4F8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Family Sanger validation</w:t>
            </w:r>
          </w:p>
        </w:tc>
        <w:tc>
          <w:tcPr>
            <w:tcW w:w="2424" w:type="dxa"/>
            <w:shd w:val="clear" w:color="auto" w:fill="D9EAF7"/>
            <w:vAlign w:val="center"/>
          </w:tcPr>
          <w:p w14:paraId="55F62FF2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Clinical phenotype relevance</w:t>
            </w:r>
          </w:p>
        </w:tc>
      </w:tr>
      <w:tr w:rsidR="005363AC" w14:paraId="52ABD896" w14:textId="77777777" w:rsidTr="00A9715A">
        <w:trPr>
          <w:jc w:val="center"/>
        </w:trPr>
        <w:tc>
          <w:tcPr>
            <w:tcW w:w="2424" w:type="dxa"/>
            <w:vAlign w:val="center"/>
          </w:tcPr>
          <w:p w14:paraId="1510FC04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BAG3</w:t>
            </w:r>
          </w:p>
        </w:tc>
        <w:tc>
          <w:tcPr>
            <w:tcW w:w="2424" w:type="dxa"/>
            <w:vAlign w:val="center"/>
          </w:tcPr>
          <w:p w14:paraId="47A0D17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NM_004281.4:c.180+1G&gt;T</w:t>
            </w:r>
          </w:p>
        </w:tc>
        <w:tc>
          <w:tcPr>
            <w:tcW w:w="2424" w:type="dxa"/>
            <w:vAlign w:val="center"/>
          </w:tcPr>
          <w:p w14:paraId="7F8F8110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Heterozygous</w:t>
            </w:r>
          </w:p>
        </w:tc>
        <w:tc>
          <w:tcPr>
            <w:tcW w:w="2424" w:type="dxa"/>
            <w:vAlign w:val="center"/>
          </w:tcPr>
          <w:p w14:paraId="3F5738A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Likely pathogenic</w:t>
            </w:r>
          </w:p>
        </w:tc>
        <w:tc>
          <w:tcPr>
            <w:tcW w:w="2424" w:type="dxa"/>
            <w:vAlign w:val="center"/>
          </w:tcPr>
          <w:p w14:paraId="1026140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Daughter: variant-positive; son: wild-type</w:t>
            </w:r>
          </w:p>
        </w:tc>
        <w:tc>
          <w:tcPr>
            <w:tcW w:w="2424" w:type="dxa"/>
            <w:vAlign w:val="center"/>
          </w:tcPr>
          <w:p w14:paraId="1FDBE9FA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Canonical splice-site loss-of-function variant established as a cause of autosomal dominant DCM.</w:t>
            </w:r>
          </w:p>
        </w:tc>
      </w:tr>
      <w:tr w:rsidR="005363AC" w14:paraId="5498651B" w14:textId="77777777" w:rsidTr="00A9715A">
        <w:trPr>
          <w:jc w:val="center"/>
        </w:trPr>
        <w:tc>
          <w:tcPr>
            <w:tcW w:w="2424" w:type="dxa"/>
            <w:vAlign w:val="center"/>
          </w:tcPr>
          <w:p w14:paraId="25A0D83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FLNC</w:t>
            </w:r>
          </w:p>
        </w:tc>
        <w:tc>
          <w:tcPr>
            <w:tcW w:w="2424" w:type="dxa"/>
            <w:vAlign w:val="center"/>
          </w:tcPr>
          <w:p w14:paraId="2694B5F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NM_001458.5:c.761_779del, p.(Leu254Profs*14)</w:t>
            </w:r>
          </w:p>
        </w:tc>
        <w:tc>
          <w:tcPr>
            <w:tcW w:w="2424" w:type="dxa"/>
            <w:vAlign w:val="center"/>
          </w:tcPr>
          <w:p w14:paraId="3216813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Heterozygous</w:t>
            </w:r>
          </w:p>
        </w:tc>
        <w:tc>
          <w:tcPr>
            <w:tcW w:w="2424" w:type="dxa"/>
            <w:vAlign w:val="center"/>
          </w:tcPr>
          <w:p w14:paraId="2468718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Likely pathogenic</w:t>
            </w:r>
          </w:p>
        </w:tc>
        <w:tc>
          <w:tcPr>
            <w:tcW w:w="2424" w:type="dxa"/>
            <w:vAlign w:val="center"/>
          </w:tcPr>
          <w:p w14:paraId="55D716C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Daughter: wild-type; son: wild-type</w:t>
            </w:r>
          </w:p>
        </w:tc>
        <w:tc>
          <w:tcPr>
            <w:tcW w:w="2424" w:type="dxa"/>
            <w:vAlign w:val="center"/>
          </w:tcPr>
          <w:p w14:paraId="379119D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Truncating loss-of-function variant linked to dilated/arrhythmogenic cardiomyopathy and elevated ventricular arrhythmia risk; segregation with disease unavailable.</w:t>
            </w:r>
          </w:p>
        </w:tc>
      </w:tr>
      <w:tr w:rsidR="005363AC" w14:paraId="4E5E43ED" w14:textId="77777777" w:rsidTr="00A9715A">
        <w:trPr>
          <w:jc w:val="center"/>
        </w:trPr>
        <w:tc>
          <w:tcPr>
            <w:tcW w:w="2424" w:type="dxa"/>
            <w:vAlign w:val="center"/>
          </w:tcPr>
          <w:p w14:paraId="756B922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MT-ND4</w:t>
            </w:r>
          </w:p>
        </w:tc>
        <w:tc>
          <w:tcPr>
            <w:tcW w:w="2424" w:type="dxa"/>
            <w:vAlign w:val="center"/>
          </w:tcPr>
          <w:p w14:paraId="3AD2B7B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NC_012920.1:m.11778G&gt;A</w:t>
            </w:r>
          </w:p>
        </w:tc>
        <w:tc>
          <w:tcPr>
            <w:tcW w:w="2424" w:type="dxa"/>
            <w:vAlign w:val="center"/>
          </w:tcPr>
          <w:p w14:paraId="40DF91E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34.4% heteroplasmy</w:t>
            </w:r>
          </w:p>
        </w:tc>
        <w:tc>
          <w:tcPr>
            <w:tcW w:w="2424" w:type="dxa"/>
            <w:vAlign w:val="center"/>
          </w:tcPr>
          <w:p w14:paraId="5BEDD06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Pathogenic</w:t>
            </w:r>
          </w:p>
        </w:tc>
        <w:tc>
          <w:tcPr>
            <w:tcW w:w="2424" w:type="dxa"/>
            <w:vAlign w:val="center"/>
          </w:tcPr>
          <w:p w14:paraId="4D616FD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Both children variant-positive</w:t>
            </w:r>
          </w:p>
        </w:tc>
        <w:tc>
          <w:tcPr>
            <w:tcW w:w="2424" w:type="dxa"/>
            <w:vAlign w:val="center"/>
          </w:tcPr>
          <w:p w14:paraId="2E0D46B4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Primarily associated with Leber hereditary optic neuropathy; cardiac phenotypic contribution unconfirmed.</w:t>
            </w:r>
          </w:p>
        </w:tc>
      </w:tr>
      <w:tr w:rsidR="005363AC" w14:paraId="6AC7775E" w14:textId="77777777" w:rsidTr="00A9715A">
        <w:trPr>
          <w:jc w:val="center"/>
        </w:trPr>
        <w:tc>
          <w:tcPr>
            <w:tcW w:w="2424" w:type="dxa"/>
            <w:vAlign w:val="center"/>
          </w:tcPr>
          <w:p w14:paraId="1160C174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16p13.11 duplication</w:t>
            </w:r>
          </w:p>
        </w:tc>
        <w:tc>
          <w:tcPr>
            <w:tcW w:w="2424" w:type="dxa"/>
            <w:vAlign w:val="center"/>
          </w:tcPr>
          <w:p w14:paraId="47EA374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seq[hg38]16p13.11(14702996_16393923)x3</w:t>
            </w:r>
          </w:p>
        </w:tc>
        <w:tc>
          <w:tcPr>
            <w:tcW w:w="2424" w:type="dxa"/>
            <w:vAlign w:val="center"/>
          </w:tcPr>
          <w:p w14:paraId="7F56E10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~1.69 Mb copy-number gain</w:t>
            </w:r>
          </w:p>
        </w:tc>
        <w:tc>
          <w:tcPr>
            <w:tcW w:w="2424" w:type="dxa"/>
            <w:vAlign w:val="center"/>
          </w:tcPr>
          <w:p w14:paraId="4304962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Variant of uncertain significance</w:t>
            </w:r>
          </w:p>
        </w:tc>
        <w:tc>
          <w:tcPr>
            <w:tcW w:w="2424" w:type="dxa"/>
            <w:vAlign w:val="center"/>
          </w:tcPr>
          <w:p w14:paraId="2201155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 family testing performed</w:t>
            </w:r>
          </w:p>
        </w:tc>
        <w:tc>
          <w:tcPr>
            <w:tcW w:w="2424" w:type="dxa"/>
            <w:vAlign w:val="center"/>
          </w:tcPr>
          <w:p w14:paraId="1E9C3C7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Requires phenotype correlation and segregation analysis; no confirmed cardiomyopathy linkage.</w:t>
            </w:r>
          </w:p>
        </w:tc>
      </w:tr>
    </w:tbl>
    <w:p w14:paraId="013B3375" w14:textId="77777777" w:rsidR="005363AC" w:rsidRDefault="005363AC" w:rsidP="005363AC">
      <w:r>
        <w:br w:type="page"/>
      </w:r>
    </w:p>
    <w:p w14:paraId="5731CEF8" w14:textId="77777777" w:rsidR="005363AC" w:rsidRDefault="005363AC" w:rsidP="005363AC">
      <w:pPr>
        <w:jc w:val="center"/>
      </w:pPr>
      <w:r>
        <w:rPr>
          <w:b/>
        </w:rPr>
        <w:lastRenderedPageBreak/>
        <w:t>Supplementary Table 6. Clinical phenotype and genotype summary for all pedigree members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19"/>
        <w:gridCol w:w="2527"/>
        <w:gridCol w:w="2625"/>
        <w:gridCol w:w="2499"/>
      </w:tblGrid>
      <w:tr w:rsidR="005363AC" w14:paraId="1BBD8B6F" w14:textId="77777777" w:rsidTr="00A9715A">
        <w:trPr>
          <w:jc w:val="center"/>
        </w:trPr>
        <w:tc>
          <w:tcPr>
            <w:tcW w:w="3636" w:type="dxa"/>
            <w:shd w:val="clear" w:color="auto" w:fill="D9EAF7"/>
            <w:vAlign w:val="center"/>
          </w:tcPr>
          <w:p w14:paraId="2CDDD42A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Subject ID</w:t>
            </w:r>
          </w:p>
        </w:tc>
        <w:tc>
          <w:tcPr>
            <w:tcW w:w="3636" w:type="dxa"/>
            <w:shd w:val="clear" w:color="auto" w:fill="D9EAF7"/>
            <w:vAlign w:val="center"/>
          </w:tcPr>
          <w:p w14:paraId="55212CEB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Family relationship</w:t>
            </w:r>
          </w:p>
        </w:tc>
        <w:tc>
          <w:tcPr>
            <w:tcW w:w="3636" w:type="dxa"/>
            <w:shd w:val="clear" w:color="auto" w:fill="D9EAF7"/>
            <w:vAlign w:val="center"/>
          </w:tcPr>
          <w:p w14:paraId="74C50F28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Clinical cardiac phenotype</w:t>
            </w:r>
          </w:p>
        </w:tc>
        <w:tc>
          <w:tcPr>
            <w:tcW w:w="3636" w:type="dxa"/>
            <w:shd w:val="clear" w:color="auto" w:fill="D9EAF7"/>
            <w:vAlign w:val="center"/>
          </w:tcPr>
          <w:p w14:paraId="46E35EED" w14:textId="77777777" w:rsidR="005363AC" w:rsidRDefault="005363AC" w:rsidP="00A9715A">
            <w:pPr>
              <w:spacing w:after="0"/>
            </w:pPr>
            <w:r>
              <w:rPr>
                <w:b/>
                <w:sz w:val="14"/>
              </w:rPr>
              <w:t>Genetic variant status</w:t>
            </w:r>
          </w:p>
        </w:tc>
      </w:tr>
      <w:tr w:rsidR="005363AC" w14:paraId="1DC57CD7" w14:textId="77777777" w:rsidTr="00A9715A">
        <w:trPr>
          <w:jc w:val="center"/>
        </w:trPr>
        <w:tc>
          <w:tcPr>
            <w:tcW w:w="3636" w:type="dxa"/>
            <w:vAlign w:val="center"/>
          </w:tcPr>
          <w:p w14:paraId="519AD2E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I-1</w:t>
            </w:r>
          </w:p>
        </w:tc>
        <w:tc>
          <w:tcPr>
            <w:tcW w:w="3636" w:type="dxa"/>
            <w:vAlign w:val="center"/>
          </w:tcPr>
          <w:p w14:paraId="3B9AB16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Proband's father</w:t>
            </w:r>
          </w:p>
        </w:tc>
        <w:tc>
          <w:tcPr>
            <w:tcW w:w="3636" w:type="dxa"/>
            <w:vAlign w:val="center"/>
          </w:tcPr>
          <w:p w14:paraId="3893A391" w14:textId="77777777" w:rsidR="005363AC" w:rsidRDefault="005363AC" w:rsidP="00A9715A">
            <w:r>
              <w:t>Reported adult-onset heart failure; deceased</w:t>
            </w:r>
          </w:p>
        </w:tc>
        <w:tc>
          <w:tcPr>
            <w:tcW w:w="3636" w:type="dxa"/>
            <w:vAlign w:val="center"/>
          </w:tcPr>
          <w:p w14:paraId="12F6B68A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Genetic testing unavailable</w:t>
            </w:r>
          </w:p>
        </w:tc>
      </w:tr>
      <w:tr w:rsidR="005363AC" w14:paraId="5829FCE3" w14:textId="77777777" w:rsidTr="00A9715A">
        <w:trPr>
          <w:jc w:val="center"/>
        </w:trPr>
        <w:tc>
          <w:tcPr>
            <w:tcW w:w="3636" w:type="dxa"/>
            <w:vAlign w:val="center"/>
          </w:tcPr>
          <w:p w14:paraId="3C52FA21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I-2</w:t>
            </w:r>
          </w:p>
        </w:tc>
        <w:tc>
          <w:tcPr>
            <w:tcW w:w="3636" w:type="dxa"/>
            <w:vAlign w:val="center"/>
          </w:tcPr>
          <w:p w14:paraId="56529C6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Proband's mother</w:t>
            </w:r>
          </w:p>
        </w:tc>
        <w:tc>
          <w:tcPr>
            <w:tcW w:w="3636" w:type="dxa"/>
            <w:vAlign w:val="center"/>
          </w:tcPr>
          <w:p w14:paraId="3A47022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Clinical cardiac phenotype unavailable</w:t>
            </w:r>
          </w:p>
        </w:tc>
        <w:tc>
          <w:tcPr>
            <w:tcW w:w="3636" w:type="dxa"/>
            <w:vAlign w:val="center"/>
          </w:tcPr>
          <w:p w14:paraId="512A206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Genetic testing not performed</w:t>
            </w:r>
          </w:p>
        </w:tc>
      </w:tr>
      <w:tr w:rsidR="005363AC" w14:paraId="28F9D898" w14:textId="77777777" w:rsidTr="00A9715A">
        <w:trPr>
          <w:jc w:val="center"/>
        </w:trPr>
        <w:tc>
          <w:tcPr>
            <w:tcW w:w="3636" w:type="dxa"/>
            <w:vAlign w:val="center"/>
          </w:tcPr>
          <w:p w14:paraId="5DD778C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II-1</w:t>
            </w:r>
          </w:p>
        </w:tc>
        <w:tc>
          <w:tcPr>
            <w:tcW w:w="3636" w:type="dxa"/>
            <w:vAlign w:val="center"/>
          </w:tcPr>
          <w:p w14:paraId="2E40CB0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Proband's spouse</w:t>
            </w:r>
          </w:p>
        </w:tc>
        <w:tc>
          <w:tcPr>
            <w:tcW w:w="3636" w:type="dxa"/>
            <w:vAlign w:val="center"/>
          </w:tcPr>
          <w:p w14:paraId="06BA6F0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Clinical cardiac phenotype unavailable</w:t>
            </w:r>
          </w:p>
        </w:tc>
        <w:tc>
          <w:tcPr>
            <w:tcW w:w="3636" w:type="dxa"/>
            <w:vAlign w:val="center"/>
          </w:tcPr>
          <w:p w14:paraId="3941B64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Genetic testing not performed</w:t>
            </w:r>
          </w:p>
        </w:tc>
      </w:tr>
      <w:tr w:rsidR="005363AC" w14:paraId="19FAB485" w14:textId="77777777" w:rsidTr="00A9715A">
        <w:trPr>
          <w:jc w:val="center"/>
        </w:trPr>
        <w:tc>
          <w:tcPr>
            <w:tcW w:w="3636" w:type="dxa"/>
            <w:vAlign w:val="center"/>
          </w:tcPr>
          <w:p w14:paraId="13F7182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II-2</w:t>
            </w:r>
          </w:p>
        </w:tc>
        <w:tc>
          <w:tcPr>
            <w:tcW w:w="3636" w:type="dxa"/>
            <w:vAlign w:val="center"/>
          </w:tcPr>
          <w:p w14:paraId="0966A7AD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Proband (index case)</w:t>
            </w:r>
          </w:p>
        </w:tc>
        <w:tc>
          <w:tcPr>
            <w:tcW w:w="3636" w:type="dxa"/>
            <w:vAlign w:val="center"/>
          </w:tcPr>
          <w:p w14:paraId="423B55F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Severe non-ischemic DCM with decompensated heart failure at age 40</w:t>
            </w:r>
          </w:p>
        </w:tc>
        <w:tc>
          <w:tcPr>
            <w:tcW w:w="3636" w:type="dxa"/>
            <w:vAlign w:val="center"/>
          </w:tcPr>
          <w:p w14:paraId="795DAE75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BAG3+, FLNC+, MT-ND4+</w:t>
            </w:r>
          </w:p>
        </w:tc>
      </w:tr>
      <w:tr w:rsidR="005363AC" w14:paraId="32DEBAAA" w14:textId="77777777" w:rsidTr="00A9715A">
        <w:trPr>
          <w:jc w:val="center"/>
        </w:trPr>
        <w:tc>
          <w:tcPr>
            <w:tcW w:w="3636" w:type="dxa"/>
            <w:vAlign w:val="center"/>
          </w:tcPr>
          <w:p w14:paraId="41EC0917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II-3</w:t>
            </w:r>
          </w:p>
        </w:tc>
        <w:tc>
          <w:tcPr>
            <w:tcW w:w="3636" w:type="dxa"/>
            <w:vAlign w:val="center"/>
          </w:tcPr>
          <w:p w14:paraId="172588B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Proband's younger brother</w:t>
            </w:r>
          </w:p>
        </w:tc>
        <w:tc>
          <w:tcPr>
            <w:tcW w:w="3636" w:type="dxa"/>
            <w:vAlign w:val="center"/>
          </w:tcPr>
          <w:p w14:paraId="15FB2B74" w14:textId="77777777" w:rsidR="005363AC" w:rsidRDefault="005363AC" w:rsidP="00A9715A">
            <w:r>
              <w:t>Reported adult-onset heart failure; deceased</w:t>
            </w:r>
          </w:p>
        </w:tc>
        <w:tc>
          <w:tcPr>
            <w:tcW w:w="3636" w:type="dxa"/>
            <w:vAlign w:val="center"/>
          </w:tcPr>
          <w:p w14:paraId="5FBEB97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Genetic testing unavailable</w:t>
            </w:r>
          </w:p>
        </w:tc>
      </w:tr>
      <w:tr w:rsidR="005363AC" w14:paraId="768DD5B6" w14:textId="77777777" w:rsidTr="00A9715A">
        <w:trPr>
          <w:jc w:val="center"/>
        </w:trPr>
        <w:tc>
          <w:tcPr>
            <w:tcW w:w="3636" w:type="dxa"/>
            <w:vAlign w:val="center"/>
          </w:tcPr>
          <w:p w14:paraId="25ABE5D3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II-4</w:t>
            </w:r>
          </w:p>
        </w:tc>
        <w:tc>
          <w:tcPr>
            <w:tcW w:w="3636" w:type="dxa"/>
            <w:vAlign w:val="center"/>
          </w:tcPr>
          <w:p w14:paraId="4E9C8FDE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Younger brother's spouse</w:t>
            </w:r>
          </w:p>
        </w:tc>
        <w:tc>
          <w:tcPr>
            <w:tcW w:w="3636" w:type="dxa"/>
            <w:vAlign w:val="center"/>
          </w:tcPr>
          <w:p w14:paraId="674804AC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Clinical cardiac phenotype unavailable</w:t>
            </w:r>
          </w:p>
        </w:tc>
        <w:tc>
          <w:tcPr>
            <w:tcW w:w="3636" w:type="dxa"/>
            <w:vAlign w:val="center"/>
          </w:tcPr>
          <w:p w14:paraId="50E8303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Genetic testing not performed</w:t>
            </w:r>
          </w:p>
        </w:tc>
      </w:tr>
      <w:tr w:rsidR="005363AC" w14:paraId="3392FE03" w14:textId="77777777" w:rsidTr="00A9715A">
        <w:trPr>
          <w:jc w:val="center"/>
        </w:trPr>
        <w:tc>
          <w:tcPr>
            <w:tcW w:w="3636" w:type="dxa"/>
            <w:vAlign w:val="center"/>
          </w:tcPr>
          <w:p w14:paraId="3A4CA85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III-1</w:t>
            </w:r>
          </w:p>
        </w:tc>
        <w:tc>
          <w:tcPr>
            <w:tcW w:w="3636" w:type="dxa"/>
            <w:vAlign w:val="center"/>
          </w:tcPr>
          <w:p w14:paraId="29E404BA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Proband's son</w:t>
            </w:r>
          </w:p>
        </w:tc>
        <w:tc>
          <w:tcPr>
            <w:tcW w:w="3636" w:type="dxa"/>
            <w:vAlign w:val="center"/>
          </w:tcPr>
          <w:p w14:paraId="2B96209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 reported heart failure or DCM to date</w:t>
            </w:r>
          </w:p>
        </w:tc>
        <w:tc>
          <w:tcPr>
            <w:tcW w:w="3636" w:type="dxa"/>
            <w:vAlign w:val="center"/>
          </w:tcPr>
          <w:p w14:paraId="396D5CEF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BAG3-, FLNC-, MT-ND4+</w:t>
            </w:r>
          </w:p>
        </w:tc>
      </w:tr>
      <w:tr w:rsidR="005363AC" w14:paraId="274FAC0A" w14:textId="77777777" w:rsidTr="00A9715A">
        <w:trPr>
          <w:jc w:val="center"/>
        </w:trPr>
        <w:tc>
          <w:tcPr>
            <w:tcW w:w="3636" w:type="dxa"/>
            <w:vAlign w:val="center"/>
          </w:tcPr>
          <w:p w14:paraId="292793FB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III-2</w:t>
            </w:r>
          </w:p>
        </w:tc>
        <w:tc>
          <w:tcPr>
            <w:tcW w:w="3636" w:type="dxa"/>
            <w:vAlign w:val="center"/>
          </w:tcPr>
          <w:p w14:paraId="6E64C45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Proband's daughter</w:t>
            </w:r>
          </w:p>
        </w:tc>
        <w:tc>
          <w:tcPr>
            <w:tcW w:w="3636" w:type="dxa"/>
            <w:vAlign w:val="center"/>
          </w:tcPr>
          <w:p w14:paraId="2ACC6A3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No reported heart failure or DCM to date</w:t>
            </w:r>
          </w:p>
        </w:tc>
        <w:tc>
          <w:tcPr>
            <w:tcW w:w="3636" w:type="dxa"/>
            <w:vAlign w:val="center"/>
          </w:tcPr>
          <w:p w14:paraId="7F136D2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BAG3+, FLNC-, MT-ND4+</w:t>
            </w:r>
          </w:p>
        </w:tc>
      </w:tr>
      <w:tr w:rsidR="005363AC" w14:paraId="44C4006F" w14:textId="77777777" w:rsidTr="00A9715A">
        <w:trPr>
          <w:jc w:val="center"/>
        </w:trPr>
        <w:tc>
          <w:tcPr>
            <w:tcW w:w="3636" w:type="dxa"/>
            <w:vAlign w:val="center"/>
          </w:tcPr>
          <w:p w14:paraId="3687D612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III-3</w:t>
            </w:r>
          </w:p>
        </w:tc>
        <w:tc>
          <w:tcPr>
            <w:tcW w:w="3636" w:type="dxa"/>
            <w:vAlign w:val="center"/>
          </w:tcPr>
          <w:p w14:paraId="142C5399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Nephew (younger brother's son)</w:t>
            </w:r>
          </w:p>
        </w:tc>
        <w:tc>
          <w:tcPr>
            <w:tcW w:w="3636" w:type="dxa"/>
            <w:vAlign w:val="center"/>
          </w:tcPr>
          <w:p w14:paraId="038FCD02" w14:textId="77777777" w:rsidR="005363AC" w:rsidRDefault="005363AC" w:rsidP="00A9715A">
            <w:r>
              <w:t>Reported childhood-onset heart failure; deceased</w:t>
            </w:r>
          </w:p>
        </w:tc>
        <w:tc>
          <w:tcPr>
            <w:tcW w:w="3636" w:type="dxa"/>
            <w:vAlign w:val="center"/>
          </w:tcPr>
          <w:p w14:paraId="3EB87096" w14:textId="77777777" w:rsidR="005363AC" w:rsidRDefault="005363AC" w:rsidP="00A9715A">
            <w:pPr>
              <w:spacing w:after="0"/>
            </w:pPr>
            <w:r>
              <w:rPr>
                <w:sz w:val="14"/>
              </w:rPr>
              <w:t>Genetic testing unavailable</w:t>
            </w:r>
          </w:p>
        </w:tc>
      </w:tr>
    </w:tbl>
    <w:p w14:paraId="2E518947" w14:textId="77777777" w:rsidR="005363AC" w:rsidRPr="00FC2631" w:rsidRDefault="005363AC" w:rsidP="005363AC">
      <w:pPr>
        <w:spacing w:after="60"/>
        <w:ind w:left="360" w:hanging="360"/>
        <w:rPr>
          <w:rFonts w:eastAsia="SimSun"/>
          <w:lang w:eastAsia="zh-CN"/>
        </w:rPr>
      </w:pPr>
    </w:p>
    <w:p w14:paraId="78A44DCE" w14:textId="77777777" w:rsidR="00F553FF" w:rsidRDefault="00F553FF"/>
    <w:sectPr w:rsidR="00F553FF" w:rsidSect="005363AC">
      <w:headerReference w:type="default" r:id="rId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C324D" w14:textId="77777777" w:rsidR="005363AC" w:rsidRDefault="005363A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AC"/>
    <w:rsid w:val="003C2EF4"/>
    <w:rsid w:val="00433A1C"/>
    <w:rsid w:val="00446799"/>
    <w:rsid w:val="00471820"/>
    <w:rsid w:val="005363AC"/>
    <w:rsid w:val="006A7E07"/>
    <w:rsid w:val="00701021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9EEE9"/>
  <w15:chartTrackingRefBased/>
  <w15:docId w15:val="{C325D645-C1F5-4B08-9909-B42201FA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3AC"/>
    <w:pPr>
      <w:spacing w:after="120" w:line="276" w:lineRule="auto"/>
    </w:pPr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63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3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3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3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3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3A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3A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3A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3A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6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3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6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3AC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6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3AC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6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3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6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3AC"/>
    <w:rPr>
      <w:rFonts w:ascii="Times New Roman" w:eastAsia="Times New Roman" w:hAnsi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5363AC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900</Words>
  <Characters>5131</Characters>
  <Application>Microsoft Office Word</Application>
  <DocSecurity>0</DocSecurity>
  <Lines>42</Lines>
  <Paragraphs>12</Paragraphs>
  <ScaleCrop>false</ScaleCrop>
  <Company>Springer Nature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2026-08-20T12:34:00Z</dcterms:created>
  <dcterms:modified xsi:type="dcterms:W3CDTF">2026-08-20T12:34:00Z</dcterms:modified>
</cp:coreProperties>
</file>