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F90D" w14:textId="77777777" w:rsidR="00562948" w:rsidRDefault="00562948" w:rsidP="00562948">
      <w:pPr>
        <w:spacing w:after="120"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FIGURE LEGEND</w:t>
      </w:r>
    </w:p>
    <w:p w14:paraId="3FD9435C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</w:t>
      </w:r>
      <w:r w:rsidRPr="00F01C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Figure 1. </w:t>
      </w:r>
      <w:r>
        <w:rPr>
          <w:rFonts w:ascii="Arial" w:hAnsi="Arial" w:cs="Arial"/>
          <w:b/>
          <w:bCs/>
          <w:sz w:val="22"/>
          <w:szCs w:val="22"/>
        </w:rPr>
        <w:t>Transcriptional</w:t>
      </w:r>
      <w:r w:rsidRPr="00D21F4D">
        <w:rPr>
          <w:rFonts w:ascii="Arial" w:hAnsi="Arial" w:cs="Arial"/>
          <w:b/>
          <w:bCs/>
          <w:sz w:val="22"/>
          <w:szCs w:val="22"/>
        </w:rPr>
        <w:t xml:space="preserve"> profiling </w:t>
      </w:r>
      <w:r>
        <w:rPr>
          <w:rFonts w:ascii="Arial" w:hAnsi="Arial" w:cs="Arial"/>
          <w:b/>
          <w:bCs/>
          <w:sz w:val="22"/>
          <w:szCs w:val="22"/>
        </w:rPr>
        <w:t>reveals distinct tumor microenvironment</w:t>
      </w:r>
      <w:r w:rsidRPr="00D21F4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states with divergent cell fate trajectories.</w:t>
      </w:r>
      <w:r w:rsidRPr="00F01C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A. </w:t>
      </w:r>
      <w:r w:rsidRPr="00F01C6C">
        <w:rPr>
          <w:rFonts w:ascii="Arial" w:hAnsi="Arial" w:cs="Arial"/>
          <w:sz w:val="22"/>
          <w:szCs w:val="22"/>
        </w:rPr>
        <w:t xml:space="preserve">Heatmap </w:t>
      </w:r>
      <w:r>
        <w:rPr>
          <w:rFonts w:ascii="Arial" w:hAnsi="Arial" w:cs="Arial"/>
          <w:sz w:val="22"/>
          <w:szCs w:val="22"/>
        </w:rPr>
        <w:t>of</w:t>
      </w:r>
      <w:r w:rsidRPr="00F01C6C">
        <w:rPr>
          <w:rFonts w:ascii="Arial" w:hAnsi="Arial" w:cs="Arial"/>
          <w:sz w:val="22"/>
          <w:szCs w:val="22"/>
        </w:rPr>
        <w:t xml:space="preserve"> immune</w:t>
      </w:r>
      <w:r>
        <w:rPr>
          <w:rFonts w:ascii="Arial" w:hAnsi="Arial" w:cs="Arial"/>
          <w:sz w:val="22"/>
          <w:szCs w:val="22"/>
        </w:rPr>
        <w:t>-related gene</w:t>
      </w:r>
      <w:r w:rsidRPr="00F01C6C">
        <w:rPr>
          <w:rFonts w:ascii="Arial" w:hAnsi="Arial" w:cs="Arial"/>
          <w:sz w:val="22"/>
          <w:szCs w:val="22"/>
        </w:rPr>
        <w:t xml:space="preserve"> signatures </w:t>
      </w:r>
      <w:r>
        <w:rPr>
          <w:rFonts w:ascii="Arial" w:hAnsi="Arial" w:cs="Arial"/>
          <w:sz w:val="22"/>
          <w:szCs w:val="22"/>
        </w:rPr>
        <w:t>derived from</w:t>
      </w:r>
      <w:r w:rsidRPr="00F01C6C">
        <w:rPr>
          <w:rFonts w:ascii="Arial" w:hAnsi="Arial" w:cs="Arial"/>
          <w:sz w:val="22"/>
          <w:szCs w:val="22"/>
        </w:rPr>
        <w:t xml:space="preserve"> RNA-seq of newly diagnosed FL (n= 86)</w:t>
      </w:r>
      <w:r>
        <w:rPr>
          <w:rFonts w:ascii="Arial" w:hAnsi="Arial" w:cs="Arial"/>
          <w:sz w:val="22"/>
          <w:szCs w:val="22"/>
        </w:rPr>
        <w:t>,</w:t>
      </w:r>
      <w:r w:rsidRPr="00F01C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stratified</w:t>
      </w:r>
      <w:r w:rsidRPr="00F01C6C">
        <w:rPr>
          <w:rFonts w:ascii="Arial" w:hAnsi="Arial" w:cs="Arial"/>
          <w:sz w:val="22"/>
          <w:szCs w:val="22"/>
        </w:rPr>
        <w:t xml:space="preserve"> by TME status</w:t>
      </w:r>
      <w:r>
        <w:rPr>
          <w:rFonts w:ascii="Arial" w:hAnsi="Arial" w:cs="Arial"/>
          <w:sz w:val="22"/>
          <w:szCs w:val="22"/>
        </w:rPr>
        <w:t xml:space="preserve"> (</w:t>
      </w:r>
      <w:r w:rsidRPr="00F01C6C">
        <w:rPr>
          <w:rFonts w:ascii="Arial" w:hAnsi="Arial" w:cs="Arial"/>
          <w:sz w:val="22"/>
          <w:szCs w:val="22"/>
        </w:rPr>
        <w:t>TME</w:t>
      </w:r>
      <w:r w:rsidRPr="00F01C6C">
        <w:rPr>
          <w:rFonts w:ascii="Arial" w:hAnsi="Arial" w:cs="Arial"/>
          <w:sz w:val="22"/>
          <w:szCs w:val="22"/>
          <w:vertAlign w:val="superscript"/>
        </w:rPr>
        <w:t xml:space="preserve">hot </w:t>
      </w:r>
      <w:r>
        <w:rPr>
          <w:rFonts w:ascii="Arial" w:hAnsi="Arial" w:cs="Arial"/>
          <w:sz w:val="22"/>
          <w:szCs w:val="22"/>
        </w:rPr>
        <w:t>vs.</w:t>
      </w:r>
      <w:r w:rsidRPr="00F01C6C">
        <w:rPr>
          <w:rFonts w:ascii="Arial" w:hAnsi="Arial" w:cs="Arial"/>
          <w:sz w:val="22"/>
          <w:szCs w:val="22"/>
        </w:rPr>
        <w:t xml:space="preserve"> TME</w:t>
      </w:r>
      <w:r w:rsidRPr="00F01C6C">
        <w:rPr>
          <w:rFonts w:ascii="Arial" w:hAnsi="Arial" w:cs="Arial"/>
          <w:sz w:val="22"/>
          <w:szCs w:val="22"/>
          <w:vertAlign w:val="superscript"/>
        </w:rPr>
        <w:t>cold</w:t>
      </w:r>
      <w:r>
        <w:rPr>
          <w:rFonts w:ascii="Arial" w:hAnsi="Arial" w:cs="Arial"/>
          <w:sz w:val="22"/>
          <w:szCs w:val="22"/>
        </w:rPr>
        <w:t>)</w:t>
      </w:r>
      <w:r w:rsidRPr="00F01C6C">
        <w:rPr>
          <w:rFonts w:ascii="Arial" w:hAnsi="Arial" w:cs="Arial"/>
          <w:sz w:val="22"/>
          <w:szCs w:val="22"/>
        </w:rPr>
        <w:t>.</w:t>
      </w:r>
      <w:r w:rsidRPr="001A23E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F01C6C">
        <w:rPr>
          <w:rFonts w:ascii="Arial" w:hAnsi="Arial" w:cs="Arial"/>
          <w:b/>
          <w:bCs/>
          <w:sz w:val="22"/>
          <w:szCs w:val="22"/>
        </w:rPr>
        <w:t>.</w:t>
      </w:r>
      <w:r w:rsidRPr="00F01C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Prevalence of GCB signatures in </w:t>
      </w:r>
      <w:r w:rsidRPr="00F01C6C">
        <w:rPr>
          <w:rFonts w:ascii="Arial" w:hAnsi="Arial" w:cs="Arial"/>
          <w:sz w:val="22"/>
          <w:szCs w:val="22"/>
        </w:rPr>
        <w:t>TME</w:t>
      </w:r>
      <w:r w:rsidRPr="00F01C6C">
        <w:rPr>
          <w:rFonts w:ascii="Arial" w:hAnsi="Arial" w:cs="Arial"/>
          <w:sz w:val="22"/>
          <w:szCs w:val="22"/>
          <w:vertAlign w:val="superscript"/>
        </w:rPr>
        <w:t xml:space="preserve">hot </w:t>
      </w:r>
      <w:r w:rsidRPr="00F01C6C">
        <w:rPr>
          <w:rFonts w:ascii="Arial" w:hAnsi="Arial" w:cs="Arial"/>
          <w:sz w:val="22"/>
          <w:szCs w:val="22"/>
        </w:rPr>
        <w:t>and TME</w:t>
      </w:r>
      <w:r w:rsidRPr="00F01C6C">
        <w:rPr>
          <w:rFonts w:ascii="Arial" w:hAnsi="Arial" w:cs="Arial"/>
          <w:sz w:val="22"/>
          <w:szCs w:val="22"/>
          <w:vertAlign w:val="superscript"/>
        </w:rPr>
        <w:t>cold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FL subgroups</w:t>
      </w:r>
      <w:r w:rsidRPr="001A23E3">
        <w:rPr>
          <w:rFonts w:ascii="Arial" w:hAnsi="Arial" w:cs="Arial"/>
          <w:sz w:val="22"/>
          <w:szCs w:val="22"/>
        </w:rPr>
        <w:t>.</w:t>
      </w:r>
      <w:r w:rsidRPr="00F01C6C">
        <w:rPr>
          <w:rFonts w:ascii="Arial" w:hAnsi="Arial" w:cs="Arial"/>
          <w:sz w:val="22"/>
          <w:szCs w:val="22"/>
        </w:rPr>
        <w:t xml:space="preserve"> </w:t>
      </w:r>
      <w:r w:rsidRPr="00F01C6C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-E</w:t>
      </w:r>
      <w:r w:rsidRPr="00F01C6C">
        <w:rPr>
          <w:rFonts w:ascii="Arial" w:hAnsi="Arial" w:cs="Arial"/>
          <w:b/>
          <w:bCs/>
          <w:sz w:val="22"/>
          <w:szCs w:val="22"/>
        </w:rPr>
        <w:t>.</w:t>
      </w:r>
      <w:r w:rsidRPr="00F01C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Mass cytometry analysis showing the relative abundance of the indicated cell types across FL grades </w:t>
      </w:r>
      <w:r w:rsidRPr="00475A8B">
        <w:rPr>
          <w:rFonts w:ascii="Arial" w:hAnsi="Arial" w:cs="Arial"/>
          <w:color w:val="000000" w:themeColor="text1"/>
          <w:sz w:val="22"/>
          <w:szCs w:val="22"/>
        </w:rPr>
        <w:t>(FL1-2 n=62, FL3A n=14, FL3B n=14)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F</w:t>
      </w:r>
      <w:r w:rsidRPr="00F01C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Pr="00F01C6C">
        <w:rPr>
          <w:rFonts w:ascii="Arial" w:hAnsi="Arial" w:cs="Arial"/>
          <w:sz w:val="22"/>
          <w:szCs w:val="22"/>
        </w:rPr>
        <w:t xml:space="preserve">Heatmap </w:t>
      </w:r>
      <w:r>
        <w:rPr>
          <w:rFonts w:ascii="Arial" w:hAnsi="Arial" w:cs="Arial"/>
          <w:sz w:val="22"/>
          <w:szCs w:val="22"/>
        </w:rPr>
        <w:t>of</w:t>
      </w:r>
      <w:r w:rsidRPr="00F01C6C">
        <w:rPr>
          <w:rFonts w:ascii="Arial" w:hAnsi="Arial" w:cs="Arial"/>
          <w:sz w:val="22"/>
          <w:szCs w:val="22"/>
        </w:rPr>
        <w:t xml:space="preserve"> immune</w:t>
      </w:r>
      <w:r>
        <w:rPr>
          <w:rFonts w:ascii="Arial" w:hAnsi="Arial" w:cs="Arial"/>
          <w:sz w:val="22"/>
          <w:szCs w:val="22"/>
        </w:rPr>
        <w:t>-related gene</w:t>
      </w:r>
      <w:r w:rsidRPr="00F01C6C">
        <w:rPr>
          <w:rFonts w:ascii="Arial" w:hAnsi="Arial" w:cs="Arial"/>
          <w:sz w:val="22"/>
          <w:szCs w:val="22"/>
        </w:rPr>
        <w:t xml:space="preserve"> signatures </w:t>
      </w:r>
      <w:r>
        <w:rPr>
          <w:rFonts w:ascii="Arial" w:hAnsi="Arial" w:cs="Arial"/>
          <w:sz w:val="22"/>
          <w:szCs w:val="22"/>
        </w:rPr>
        <w:t>derived from</w:t>
      </w:r>
      <w:r w:rsidRPr="00F01C6C">
        <w:rPr>
          <w:rFonts w:ascii="Arial" w:hAnsi="Arial" w:cs="Arial"/>
          <w:sz w:val="22"/>
          <w:szCs w:val="22"/>
        </w:rPr>
        <w:t xml:space="preserve"> RNA-seq of newly diagnosed DLBCL (n= 304)</w:t>
      </w:r>
      <w:r>
        <w:rPr>
          <w:rFonts w:ascii="Arial" w:hAnsi="Arial" w:cs="Arial"/>
          <w:sz w:val="22"/>
          <w:szCs w:val="22"/>
        </w:rPr>
        <w:t>,</w:t>
      </w:r>
      <w:r w:rsidRPr="00F01C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stratified</w:t>
      </w:r>
      <w:r w:rsidRPr="00F01C6C">
        <w:rPr>
          <w:rFonts w:ascii="Arial" w:hAnsi="Arial" w:cs="Arial"/>
          <w:sz w:val="22"/>
          <w:szCs w:val="22"/>
        </w:rPr>
        <w:t xml:space="preserve"> by TME status</w:t>
      </w:r>
      <w:r>
        <w:rPr>
          <w:rFonts w:ascii="Arial" w:hAnsi="Arial" w:cs="Arial"/>
          <w:sz w:val="22"/>
          <w:szCs w:val="22"/>
        </w:rPr>
        <w:t xml:space="preserve"> (</w:t>
      </w:r>
      <w:r w:rsidRPr="00F01C6C">
        <w:rPr>
          <w:rFonts w:ascii="Arial" w:hAnsi="Arial" w:cs="Arial"/>
          <w:sz w:val="22"/>
          <w:szCs w:val="22"/>
        </w:rPr>
        <w:t>TME</w:t>
      </w:r>
      <w:r w:rsidRPr="00F01C6C">
        <w:rPr>
          <w:rFonts w:ascii="Arial" w:hAnsi="Arial" w:cs="Arial"/>
          <w:sz w:val="22"/>
          <w:szCs w:val="22"/>
          <w:vertAlign w:val="superscript"/>
        </w:rPr>
        <w:t xml:space="preserve">hot </w:t>
      </w:r>
      <w:r>
        <w:rPr>
          <w:rFonts w:ascii="Arial" w:hAnsi="Arial" w:cs="Arial"/>
          <w:sz w:val="22"/>
          <w:szCs w:val="22"/>
        </w:rPr>
        <w:t>vs.</w:t>
      </w:r>
      <w:r w:rsidRPr="00F01C6C">
        <w:rPr>
          <w:rFonts w:ascii="Arial" w:hAnsi="Arial" w:cs="Arial"/>
          <w:sz w:val="22"/>
          <w:szCs w:val="22"/>
        </w:rPr>
        <w:t xml:space="preserve"> TME</w:t>
      </w:r>
      <w:r w:rsidRPr="00F01C6C">
        <w:rPr>
          <w:rFonts w:ascii="Arial" w:hAnsi="Arial" w:cs="Arial"/>
          <w:sz w:val="22"/>
          <w:szCs w:val="22"/>
          <w:vertAlign w:val="superscript"/>
        </w:rPr>
        <w:t>cold</w:t>
      </w:r>
      <w:r>
        <w:rPr>
          <w:rFonts w:ascii="Arial" w:hAnsi="Arial" w:cs="Arial"/>
          <w:sz w:val="22"/>
          <w:szCs w:val="22"/>
        </w:rPr>
        <w:t>)</w:t>
      </w:r>
      <w:r w:rsidRPr="00F01C6C">
        <w:rPr>
          <w:rFonts w:ascii="Arial" w:hAnsi="Arial" w:cs="Arial"/>
          <w:sz w:val="22"/>
          <w:szCs w:val="22"/>
        </w:rPr>
        <w:t>.</w:t>
      </w:r>
      <w:r w:rsidRPr="001A23E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G</w:t>
      </w:r>
      <w:r w:rsidRPr="00F01C6C">
        <w:rPr>
          <w:rFonts w:ascii="Arial" w:hAnsi="Arial" w:cs="Arial"/>
          <w:b/>
          <w:bCs/>
          <w:sz w:val="22"/>
          <w:szCs w:val="22"/>
        </w:rPr>
        <w:t>.</w:t>
      </w:r>
      <w:r w:rsidRPr="00F01C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Prevalence of GCB signatures in </w:t>
      </w:r>
      <w:r w:rsidRPr="00F01C6C">
        <w:rPr>
          <w:rFonts w:ascii="Arial" w:hAnsi="Arial" w:cs="Arial"/>
          <w:sz w:val="22"/>
          <w:szCs w:val="22"/>
        </w:rPr>
        <w:t>TME</w:t>
      </w:r>
      <w:r w:rsidRPr="00F01C6C">
        <w:rPr>
          <w:rFonts w:ascii="Arial" w:hAnsi="Arial" w:cs="Arial"/>
          <w:sz w:val="22"/>
          <w:szCs w:val="22"/>
          <w:vertAlign w:val="superscript"/>
        </w:rPr>
        <w:t xml:space="preserve">hot </w:t>
      </w:r>
      <w:r w:rsidRPr="00F01C6C">
        <w:rPr>
          <w:rFonts w:ascii="Arial" w:hAnsi="Arial" w:cs="Arial"/>
          <w:sz w:val="22"/>
          <w:szCs w:val="22"/>
        </w:rPr>
        <w:t>and TME</w:t>
      </w:r>
      <w:r w:rsidRPr="00F01C6C">
        <w:rPr>
          <w:rFonts w:ascii="Arial" w:hAnsi="Arial" w:cs="Arial"/>
          <w:sz w:val="22"/>
          <w:szCs w:val="22"/>
          <w:vertAlign w:val="superscript"/>
        </w:rPr>
        <w:t>cold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DLBCL subgroups</w:t>
      </w:r>
      <w:r w:rsidRPr="001A23E3">
        <w:rPr>
          <w:rFonts w:ascii="Arial" w:hAnsi="Arial" w:cs="Arial"/>
          <w:sz w:val="22"/>
          <w:szCs w:val="22"/>
        </w:rPr>
        <w:t>.</w:t>
      </w:r>
    </w:p>
    <w:p w14:paraId="0CF9FFE2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DDA444F" w14:textId="77777777" w:rsidR="00562948" w:rsidRPr="006A244C" w:rsidRDefault="00562948" w:rsidP="00562948">
      <w:pPr>
        <w:spacing w:line="276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Figure 2.</w:t>
      </w:r>
      <w:r w:rsidRPr="006A244C">
        <w:rPr>
          <w:rFonts w:ascii="Arial" w:hAnsi="Arial" w:cs="Arial"/>
          <w:b/>
          <w:bCs/>
          <w:sz w:val="22"/>
          <w:szCs w:val="22"/>
        </w:rPr>
        <w:t xml:space="preserve"> Divergent TME states reflect memory b cell-like and dark zone-like 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programs with distinct genetic and clinical features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A.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Oncoplot of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genetic alterations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in </w:t>
      </w:r>
      <w:r w:rsidRPr="002C0E2D">
        <w:rPr>
          <w:rFonts w:ascii="Arial" w:hAnsi="Arial" w:cs="Arial"/>
          <w:color w:val="000000" w:themeColor="text1"/>
          <w:sz w:val="22"/>
          <w:szCs w:val="22"/>
        </w:rPr>
        <w:t xml:space="preserve">newly diagnosed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FL </w:t>
      </w:r>
      <w:r>
        <w:rPr>
          <w:rFonts w:ascii="Arial" w:hAnsi="Arial" w:cs="Arial"/>
          <w:color w:val="000000" w:themeColor="text1"/>
          <w:sz w:val="22"/>
          <w:szCs w:val="22"/>
        </w:rPr>
        <w:t>(n=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113</w:t>
      </w:r>
      <w:r>
        <w:rPr>
          <w:rFonts w:ascii="Arial" w:hAnsi="Arial" w:cs="Arial"/>
          <w:color w:val="000000" w:themeColor="text1"/>
          <w:sz w:val="22"/>
          <w:szCs w:val="22"/>
        </w:rPr>
        <w:t>), stratified by TME status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TME</w:t>
      </w:r>
      <w:r w:rsidRPr="006A244C">
        <w:rPr>
          <w:rFonts w:ascii="Arial" w:hAnsi="Arial" w:cs="Arial"/>
          <w:color w:val="000000" w:themeColor="text1"/>
          <w:sz w:val="22"/>
          <w:szCs w:val="22"/>
          <w:vertAlign w:val="superscript"/>
        </w:rPr>
        <w:t>hot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vs. TME</w:t>
      </w:r>
      <w:r w:rsidRPr="006A244C">
        <w:rPr>
          <w:rFonts w:ascii="Arial" w:hAnsi="Arial" w:cs="Arial"/>
          <w:color w:val="000000" w:themeColor="text1"/>
          <w:sz w:val="22"/>
          <w:szCs w:val="22"/>
          <w:vertAlign w:val="superscript"/>
        </w:rPr>
        <w:t>cold</w:t>
      </w:r>
      <w:r>
        <w:rPr>
          <w:rFonts w:ascii="Arial" w:hAnsi="Arial" w:cs="Arial"/>
          <w:color w:val="000000" w:themeColor="text1"/>
          <w:sz w:val="22"/>
          <w:szCs w:val="22"/>
        </w:rPr>
        <w:t>)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.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B.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Forest plot showing the enrichment of genetic alterations </w:t>
      </w:r>
      <w:r>
        <w:rPr>
          <w:rFonts w:ascii="Arial" w:hAnsi="Arial" w:cs="Arial"/>
          <w:color w:val="000000" w:themeColor="text1"/>
          <w:sz w:val="22"/>
          <w:szCs w:val="22"/>
        </w:rPr>
        <w:t>identified in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).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C.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Kaplan-Meier curves </w:t>
      </w:r>
      <w:r>
        <w:rPr>
          <w:rFonts w:ascii="Arial" w:hAnsi="Arial" w:cs="Arial"/>
          <w:color w:val="000000" w:themeColor="text1"/>
          <w:sz w:val="22"/>
          <w:szCs w:val="22"/>
        </w:rPr>
        <w:t>of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overall-survival in FL patients with TME</w:t>
      </w:r>
      <w:r w:rsidRPr="006A244C">
        <w:rPr>
          <w:rFonts w:ascii="Arial" w:hAnsi="Arial" w:cs="Arial"/>
          <w:color w:val="000000" w:themeColor="text1"/>
          <w:sz w:val="22"/>
          <w:szCs w:val="22"/>
          <w:vertAlign w:val="superscript"/>
        </w:rPr>
        <w:t>hot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(red) vs. TME</w:t>
      </w:r>
      <w:r w:rsidRPr="006A244C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cold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(blue)</w:t>
      </w:r>
      <w:r>
        <w:rPr>
          <w:rFonts w:ascii="Arial" w:hAnsi="Arial" w:cs="Arial"/>
          <w:color w:val="000000" w:themeColor="text1"/>
          <w:sz w:val="22"/>
          <w:szCs w:val="22"/>
        </w:rPr>
        <w:t>;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atients with intermediate TME signature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are </w:t>
      </w:r>
      <w:r>
        <w:rPr>
          <w:rFonts w:ascii="Arial" w:hAnsi="Arial" w:cs="Arial"/>
          <w:color w:val="000000" w:themeColor="text1"/>
          <w:sz w:val="22"/>
          <w:szCs w:val="22"/>
        </w:rPr>
        <w:t>shown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in gray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and annotated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as normal lymph node (NL)</w:t>
      </w:r>
      <w:r>
        <w:rPr>
          <w:rFonts w:ascii="Arial" w:hAnsi="Arial" w:cs="Arial"/>
          <w:color w:val="000000" w:themeColor="text1"/>
          <w:sz w:val="22"/>
          <w:szCs w:val="22"/>
        </w:rPr>
        <w:t>-like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D.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Oncoplot of </w:t>
      </w:r>
      <w:r>
        <w:rPr>
          <w:rFonts w:ascii="Arial" w:hAnsi="Arial" w:cs="Arial"/>
          <w:color w:val="000000" w:themeColor="text1"/>
          <w:sz w:val="22"/>
          <w:szCs w:val="22"/>
        </w:rPr>
        <w:t>genetic alterations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in </w:t>
      </w:r>
      <w:r w:rsidRPr="002C0E2D">
        <w:rPr>
          <w:rFonts w:ascii="Arial" w:hAnsi="Arial" w:cs="Arial"/>
          <w:color w:val="000000" w:themeColor="text1"/>
          <w:sz w:val="22"/>
          <w:szCs w:val="22"/>
        </w:rPr>
        <w:t xml:space="preserve">newly diagnosed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DLBCL patients </w:t>
      </w:r>
      <w:r>
        <w:rPr>
          <w:rFonts w:ascii="Arial" w:hAnsi="Arial" w:cs="Arial"/>
          <w:color w:val="000000" w:themeColor="text1"/>
          <w:sz w:val="22"/>
          <w:szCs w:val="22"/>
        </w:rPr>
        <w:t>(n=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267</w:t>
      </w:r>
      <w:r>
        <w:rPr>
          <w:rFonts w:ascii="Arial" w:hAnsi="Arial" w:cs="Arial"/>
          <w:color w:val="000000" w:themeColor="text1"/>
          <w:sz w:val="22"/>
          <w:szCs w:val="22"/>
        </w:rPr>
        <w:t>),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stratified by TME status</w:t>
      </w:r>
      <w:r w:rsidRPr="002C0E2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TME</w:t>
      </w:r>
      <w:r w:rsidRPr="006A244C">
        <w:rPr>
          <w:rFonts w:ascii="Arial" w:hAnsi="Arial" w:cs="Arial"/>
          <w:color w:val="000000" w:themeColor="text1"/>
          <w:sz w:val="22"/>
          <w:szCs w:val="22"/>
          <w:vertAlign w:val="superscript"/>
        </w:rPr>
        <w:t>hot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vs. TME</w:t>
      </w:r>
      <w:r w:rsidRPr="006A244C">
        <w:rPr>
          <w:rFonts w:ascii="Arial" w:hAnsi="Arial" w:cs="Arial"/>
          <w:color w:val="000000" w:themeColor="text1"/>
          <w:sz w:val="22"/>
          <w:szCs w:val="22"/>
          <w:vertAlign w:val="superscript"/>
        </w:rPr>
        <w:t>cold</w:t>
      </w:r>
      <w:r>
        <w:rPr>
          <w:rFonts w:ascii="Arial" w:hAnsi="Arial" w:cs="Arial"/>
          <w:color w:val="000000" w:themeColor="text1"/>
          <w:sz w:val="22"/>
          <w:szCs w:val="22"/>
        </w:rPr>
        <w:t>)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.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E.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Forest plot showing the enrichment of genetic alterations </w:t>
      </w:r>
      <w:r>
        <w:rPr>
          <w:rFonts w:ascii="Arial" w:hAnsi="Arial" w:cs="Arial"/>
          <w:color w:val="000000" w:themeColor="text1"/>
          <w:sz w:val="22"/>
          <w:szCs w:val="22"/>
        </w:rPr>
        <w:t>identified in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D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F-G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. Prevalence of DLB</w:t>
      </w:r>
      <w:r>
        <w:rPr>
          <w:rFonts w:ascii="Arial" w:hAnsi="Arial" w:cs="Arial"/>
          <w:color w:val="000000" w:themeColor="text1"/>
          <w:sz w:val="22"/>
          <w:szCs w:val="22"/>
        </w:rPr>
        <w:t>c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lass and LymphGen molecular </w:t>
      </w:r>
      <w:r>
        <w:rPr>
          <w:rFonts w:ascii="Arial" w:hAnsi="Arial" w:cs="Arial"/>
          <w:color w:val="000000" w:themeColor="text1"/>
          <w:sz w:val="22"/>
          <w:szCs w:val="22"/>
        </w:rPr>
        <w:t>subtypes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F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) and EcoTyper</w:t>
      </w:r>
      <w:r>
        <w:rPr>
          <w:rFonts w:ascii="Arial" w:hAnsi="Arial" w:cs="Arial"/>
          <w:color w:val="000000" w:themeColor="text1"/>
          <w:sz w:val="22"/>
          <w:szCs w:val="22"/>
        </w:rPr>
        <w:t>-defined states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G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>)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across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TME categor</w:t>
      </w:r>
      <w:r>
        <w:rPr>
          <w:rFonts w:ascii="Arial" w:hAnsi="Arial" w:cs="Arial"/>
          <w:color w:val="000000" w:themeColor="text1"/>
          <w:sz w:val="22"/>
          <w:szCs w:val="22"/>
        </w:rPr>
        <w:t>ies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relative to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their expected random distribution. The number of cases </w:t>
      </w:r>
      <w:r>
        <w:rPr>
          <w:rFonts w:ascii="Arial" w:hAnsi="Arial" w:cs="Arial"/>
          <w:color w:val="000000" w:themeColor="text1"/>
          <w:sz w:val="22"/>
          <w:szCs w:val="22"/>
        </w:rPr>
        <w:t>per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category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is shown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H-I.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Kaplan-Meier curves </w:t>
      </w:r>
      <w:r>
        <w:rPr>
          <w:rFonts w:ascii="Arial" w:hAnsi="Arial" w:cs="Arial"/>
          <w:color w:val="000000" w:themeColor="text1"/>
          <w:sz w:val="22"/>
          <w:szCs w:val="22"/>
        </w:rPr>
        <w:t>of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event-free survival and overall-survival in DLBCL patients </w:t>
      </w:r>
      <w:r>
        <w:rPr>
          <w:rFonts w:ascii="Arial" w:hAnsi="Arial" w:cs="Arial"/>
          <w:color w:val="000000" w:themeColor="text1"/>
          <w:sz w:val="22"/>
          <w:szCs w:val="22"/>
        </w:rPr>
        <w:t>stratified by TME status (</w:t>
      </w:r>
      <w:r w:rsidRPr="006A244C">
        <w:rPr>
          <w:rFonts w:ascii="Arial" w:hAnsi="Arial" w:cs="Arial"/>
          <w:sz w:val="22"/>
          <w:szCs w:val="22"/>
        </w:rPr>
        <w:t>TME</w:t>
      </w:r>
      <w:r w:rsidRPr="006A244C">
        <w:rPr>
          <w:rFonts w:ascii="Arial" w:hAnsi="Arial" w:cs="Arial"/>
          <w:sz w:val="22"/>
          <w:szCs w:val="22"/>
          <w:vertAlign w:val="superscript"/>
        </w:rPr>
        <w:t>hot</w:t>
      </w:r>
      <w:r>
        <w:rPr>
          <w:rFonts w:ascii="Arial" w:hAnsi="Arial" w:cs="Arial"/>
          <w:sz w:val="22"/>
          <w:szCs w:val="22"/>
        </w:rPr>
        <w:t xml:space="preserve">, </w:t>
      </w:r>
      <w:r w:rsidRPr="006A244C">
        <w:rPr>
          <w:rFonts w:ascii="Arial" w:hAnsi="Arial" w:cs="Arial"/>
          <w:sz w:val="22"/>
          <w:szCs w:val="22"/>
        </w:rPr>
        <w:t>red</w:t>
      </w:r>
      <w:r>
        <w:rPr>
          <w:rFonts w:ascii="Arial" w:hAnsi="Arial" w:cs="Arial"/>
          <w:sz w:val="22"/>
          <w:szCs w:val="22"/>
        </w:rPr>
        <w:t>;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A244C">
        <w:rPr>
          <w:rFonts w:ascii="Arial" w:hAnsi="Arial" w:cs="Arial"/>
          <w:sz w:val="22"/>
          <w:szCs w:val="22"/>
        </w:rPr>
        <w:t>TME</w:t>
      </w:r>
      <w:r w:rsidRPr="006A244C">
        <w:rPr>
          <w:rFonts w:ascii="Arial" w:hAnsi="Arial" w:cs="Arial"/>
          <w:sz w:val="22"/>
          <w:szCs w:val="22"/>
          <w:vertAlign w:val="superscript"/>
        </w:rPr>
        <w:t>cold</w:t>
      </w:r>
      <w:r>
        <w:rPr>
          <w:rFonts w:ascii="Arial" w:hAnsi="Arial" w:cs="Arial"/>
          <w:sz w:val="22"/>
          <w:szCs w:val="22"/>
        </w:rPr>
        <w:t xml:space="preserve">, </w:t>
      </w:r>
      <w:r w:rsidRPr="006A244C">
        <w:rPr>
          <w:rFonts w:ascii="Arial" w:hAnsi="Arial" w:cs="Arial"/>
          <w:sz w:val="22"/>
          <w:szCs w:val="22"/>
        </w:rPr>
        <w:t>blue) (</w:t>
      </w:r>
      <w:r w:rsidRPr="006A244C">
        <w:rPr>
          <w:rFonts w:ascii="Arial" w:hAnsi="Arial" w:cs="Arial"/>
          <w:b/>
          <w:bCs/>
          <w:sz w:val="22"/>
          <w:szCs w:val="22"/>
        </w:rPr>
        <w:t>H</w:t>
      </w:r>
      <w:r w:rsidRPr="006A244C">
        <w:rPr>
          <w:rFonts w:ascii="Arial" w:hAnsi="Arial" w:cs="Arial"/>
          <w:sz w:val="22"/>
          <w:szCs w:val="22"/>
        </w:rPr>
        <w:t>) or</w:t>
      </w:r>
      <w:r>
        <w:rPr>
          <w:rFonts w:ascii="Arial" w:hAnsi="Arial" w:cs="Arial"/>
          <w:sz w:val="22"/>
          <w:szCs w:val="22"/>
        </w:rPr>
        <w:t xml:space="preserve"> </w:t>
      </w:r>
      <w:r w:rsidRPr="006A244C">
        <w:rPr>
          <w:rFonts w:ascii="Arial" w:hAnsi="Arial" w:cs="Arial"/>
          <w:sz w:val="22"/>
          <w:szCs w:val="22"/>
        </w:rPr>
        <w:t xml:space="preserve">including </w:t>
      </w:r>
      <w:r>
        <w:rPr>
          <w:rFonts w:ascii="Arial" w:hAnsi="Arial" w:cs="Arial"/>
          <w:sz w:val="22"/>
          <w:szCs w:val="22"/>
        </w:rPr>
        <w:t xml:space="preserve">cases with </w:t>
      </w:r>
      <w:r w:rsidRPr="006A244C">
        <w:rPr>
          <w:rFonts w:ascii="Arial" w:hAnsi="Arial" w:cs="Arial"/>
          <w:sz w:val="22"/>
          <w:szCs w:val="22"/>
        </w:rPr>
        <w:t>intermediate NL</w:t>
      </w:r>
      <w:r>
        <w:rPr>
          <w:rFonts w:ascii="Arial" w:hAnsi="Arial" w:cs="Arial"/>
          <w:sz w:val="22"/>
          <w:szCs w:val="22"/>
        </w:rPr>
        <w:t>-like</w:t>
      </w:r>
      <w:r w:rsidRPr="006A244C">
        <w:rPr>
          <w:rFonts w:ascii="Arial" w:hAnsi="Arial" w:cs="Arial"/>
          <w:sz w:val="22"/>
          <w:szCs w:val="22"/>
        </w:rPr>
        <w:t xml:space="preserve"> signature (</w:t>
      </w:r>
      <w:r w:rsidRPr="006A244C">
        <w:rPr>
          <w:rFonts w:ascii="Arial" w:hAnsi="Arial" w:cs="Arial"/>
          <w:b/>
          <w:bCs/>
          <w:sz w:val="22"/>
          <w:szCs w:val="22"/>
        </w:rPr>
        <w:t>I</w:t>
      </w:r>
      <w:r w:rsidRPr="006A244C">
        <w:rPr>
          <w:rFonts w:ascii="Arial" w:hAnsi="Arial" w:cs="Arial"/>
          <w:sz w:val="22"/>
          <w:szCs w:val="22"/>
        </w:rPr>
        <w:t>).</w:t>
      </w:r>
    </w:p>
    <w:p w14:paraId="697B8847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327F61E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E97104">
        <w:rPr>
          <w:rFonts w:ascii="Arial" w:hAnsi="Arial" w:cs="Arial"/>
          <w:b/>
          <w:bCs/>
          <w:sz w:val="22"/>
          <w:szCs w:val="22"/>
        </w:rPr>
        <w:t>ntegrative single-cell mapping of clonal lineages and cell-fate trajectories in FL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Pr="00E97104">
        <w:rPr>
          <w:rFonts w:ascii="Arial" w:hAnsi="Arial" w:cs="Arial"/>
          <w:b/>
          <w:bCs/>
          <w:sz w:val="22"/>
          <w:szCs w:val="22"/>
        </w:rPr>
        <w:t xml:space="preserve">A. </w:t>
      </w:r>
      <w:r w:rsidRPr="00E97104">
        <w:rPr>
          <w:rFonts w:ascii="Arial" w:hAnsi="Arial" w:cs="Arial"/>
          <w:sz w:val="22"/>
          <w:szCs w:val="22"/>
        </w:rPr>
        <w:t>Uniform Manifold Approximation and Projection (UMAP)</w:t>
      </w:r>
      <w:r>
        <w:rPr>
          <w:rFonts w:ascii="Arial" w:hAnsi="Arial" w:cs="Arial"/>
          <w:sz w:val="22"/>
          <w:szCs w:val="22"/>
        </w:rPr>
        <w:t xml:space="preserve"> plot</w:t>
      </w:r>
      <w:r w:rsidRPr="00E97104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 xml:space="preserve">single </w:t>
      </w:r>
      <w:r w:rsidRPr="00E97104">
        <w:rPr>
          <w:rFonts w:ascii="Arial" w:hAnsi="Arial" w:cs="Arial"/>
          <w:sz w:val="22"/>
          <w:szCs w:val="22"/>
        </w:rPr>
        <w:t xml:space="preserve">cells from patients with FL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FL1-3A n=21, FL3B n=11) </w:t>
      </w:r>
      <w:r w:rsidRPr="00E97104">
        <w:rPr>
          <w:rFonts w:ascii="Arial" w:hAnsi="Arial" w:cs="Arial"/>
          <w:sz w:val="22"/>
          <w:szCs w:val="22"/>
        </w:rPr>
        <w:t>and DLBCL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(GCB n=8, ABC n=3, Unclassified n=2) tumors,</w:t>
      </w:r>
      <w:r w:rsidRPr="00885C4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alongside </w:t>
      </w:r>
      <w:r>
        <w:rPr>
          <w:rFonts w:ascii="Arial" w:hAnsi="Arial" w:cs="Arial"/>
          <w:sz w:val="22"/>
          <w:szCs w:val="22"/>
        </w:rPr>
        <w:t>tonsil tissues from healthy donors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(n=4)</w:t>
      </w:r>
      <w:r w:rsidRPr="00E97104">
        <w:rPr>
          <w:rFonts w:ascii="Arial" w:hAnsi="Arial" w:cs="Arial"/>
          <w:sz w:val="22"/>
          <w:szCs w:val="22"/>
        </w:rPr>
        <w:t>. Clusters are color</w:t>
      </w:r>
      <w:r>
        <w:rPr>
          <w:rFonts w:ascii="Arial" w:hAnsi="Arial" w:cs="Arial"/>
          <w:sz w:val="22"/>
          <w:szCs w:val="22"/>
        </w:rPr>
        <w:t>-coded</w:t>
      </w:r>
      <w:r w:rsidRPr="00E97104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>annotated by</w:t>
      </w:r>
      <w:r w:rsidRPr="00E971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Leiden clustering (left) and cell subtype (right)</w:t>
      </w:r>
      <w:r w:rsidRPr="00E9710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E97104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Bubble plot showing the expression of lineage-defining marker genes across Leiden clusters.</w:t>
      </w:r>
      <w:r w:rsidRPr="00A13B1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C</w:t>
      </w:r>
      <w:r w:rsidRPr="00E97104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Bar plot summarizing the proportions of benign (blue) and malignant B cells identified by VDJ clonality (green) or copy number variation (CNV; red), as well as immune cells (yellow), across samples shown in (</w:t>
      </w:r>
      <w:r w:rsidRPr="00285EFB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). </w:t>
      </w:r>
      <w:r>
        <w:rPr>
          <w:rFonts w:ascii="Arial" w:hAnsi="Arial" w:cs="Arial"/>
          <w:b/>
          <w:bCs/>
          <w:sz w:val="22"/>
          <w:szCs w:val="22"/>
        </w:rPr>
        <w:t xml:space="preserve">D-H. </w:t>
      </w:r>
      <w:r>
        <w:rPr>
          <w:rFonts w:ascii="Arial" w:hAnsi="Arial" w:cs="Arial"/>
          <w:sz w:val="22"/>
          <w:szCs w:val="22"/>
        </w:rPr>
        <w:t>UMAP projections of malignant B cells from FL1-2 (</w:t>
      </w:r>
      <w:r w:rsidRPr="00285EFB">
        <w:rPr>
          <w:rFonts w:ascii="Arial" w:hAnsi="Arial" w:cs="Arial"/>
          <w:b/>
          <w:bCs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), FL3B (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), GCB DLBCL (</w:t>
      </w:r>
      <w:r>
        <w:rPr>
          <w:rFonts w:ascii="Arial" w:hAnsi="Arial" w:cs="Arial"/>
          <w:b/>
          <w:bCs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), ABC DLBCL (</w:t>
      </w:r>
      <w:r>
        <w:rPr>
          <w:rFonts w:ascii="Arial" w:hAnsi="Arial" w:cs="Arial"/>
          <w:b/>
          <w:bCs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) and unclassified DLBCL (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). Clusters are color-coded and annotated by subtype.</w:t>
      </w:r>
      <w:r w:rsidRPr="004C39D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I. </w:t>
      </w:r>
      <w:r>
        <w:rPr>
          <w:rFonts w:ascii="Arial" w:hAnsi="Arial" w:cs="Arial"/>
          <w:sz w:val="22"/>
          <w:szCs w:val="22"/>
        </w:rPr>
        <w:t xml:space="preserve">UMAP showing CellRank-inferred fate probabilities of initial and terminal states in FL1-2. Cells are colored by their most probable macrostates; intermediate cells are shown in gray. </w:t>
      </w:r>
      <w:r>
        <w:rPr>
          <w:rFonts w:ascii="Arial" w:hAnsi="Arial" w:cs="Arial"/>
          <w:b/>
          <w:bCs/>
          <w:sz w:val="22"/>
          <w:szCs w:val="22"/>
        </w:rPr>
        <w:t xml:space="preserve">J. </w:t>
      </w:r>
      <w:r>
        <w:rPr>
          <w:rFonts w:ascii="Arial" w:hAnsi="Arial" w:cs="Arial"/>
          <w:sz w:val="22"/>
          <w:szCs w:val="22"/>
        </w:rPr>
        <w:t>UMAP depicting probabilities of reaching terminal fates in FL1-2. Cells are colored by their most probable terminal state, with transitioning state outlined in yellow.</w:t>
      </w:r>
      <w:r w:rsidRPr="0089063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K. </w:t>
      </w:r>
      <w:r w:rsidRPr="005C1B3E">
        <w:rPr>
          <w:rFonts w:ascii="Arial" w:hAnsi="Arial" w:cs="Arial"/>
          <w:sz w:val="22"/>
          <w:szCs w:val="22"/>
        </w:rPr>
        <w:t xml:space="preserve">Gene expression </w:t>
      </w:r>
      <w:r>
        <w:rPr>
          <w:rFonts w:ascii="Arial" w:hAnsi="Arial" w:cs="Arial"/>
          <w:sz w:val="22"/>
          <w:szCs w:val="22"/>
        </w:rPr>
        <w:t>dynamics</w:t>
      </w:r>
      <w:r w:rsidRPr="005C1B3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along pseudotime, with trends weighted by CellRank fate probabilities. </w:t>
      </w:r>
      <w:r>
        <w:rPr>
          <w:rFonts w:ascii="Arial" w:hAnsi="Arial" w:cs="Arial"/>
          <w:b/>
          <w:bCs/>
          <w:sz w:val="22"/>
          <w:szCs w:val="22"/>
        </w:rPr>
        <w:t xml:space="preserve">L. </w:t>
      </w:r>
      <w:r>
        <w:rPr>
          <w:rFonts w:ascii="Arial" w:hAnsi="Arial" w:cs="Arial"/>
          <w:sz w:val="22"/>
          <w:szCs w:val="22"/>
        </w:rPr>
        <w:t>Heatmap of inferred CNV profiles comparing tumor FL1-2 cells (top) with normal germinal center B cells (GCBs; bottom). Genes ordered by chromosomal positions; amplifications are shown in red and deletions in blu</w:t>
      </w:r>
      <w:r w:rsidRPr="008F4709">
        <w:rPr>
          <w:rFonts w:ascii="Arial" w:hAnsi="Arial" w:cs="Arial"/>
          <w:sz w:val="22"/>
          <w:szCs w:val="22"/>
        </w:rPr>
        <w:t xml:space="preserve">e. </w:t>
      </w:r>
      <w:r w:rsidRPr="002B3B07">
        <w:rPr>
          <w:rFonts w:ascii="Arial" w:hAnsi="Arial" w:cs="Arial"/>
          <w:b/>
          <w:bCs/>
          <w:sz w:val="22"/>
          <w:szCs w:val="22"/>
        </w:rPr>
        <w:t>M.</w:t>
      </w:r>
      <w:r w:rsidRPr="008F47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2B3B07">
        <w:rPr>
          <w:rFonts w:ascii="Arial" w:hAnsi="Arial" w:cs="Arial"/>
          <w:sz w:val="22"/>
          <w:szCs w:val="22"/>
        </w:rPr>
        <w:t xml:space="preserve">roportion of </w:t>
      </w:r>
      <w:r>
        <w:rPr>
          <w:rFonts w:ascii="Arial" w:hAnsi="Arial" w:cs="Arial"/>
          <w:sz w:val="22"/>
          <w:szCs w:val="22"/>
        </w:rPr>
        <w:t>immunoglobulin</w:t>
      </w:r>
      <w:r w:rsidRPr="002B3B07">
        <w:rPr>
          <w:rFonts w:ascii="Arial" w:hAnsi="Arial" w:cs="Arial"/>
          <w:sz w:val="22"/>
          <w:szCs w:val="22"/>
        </w:rPr>
        <w:t xml:space="preserve"> isotypes in </w:t>
      </w:r>
      <w:r w:rsidRPr="00E84DB4">
        <w:rPr>
          <w:rFonts w:ascii="Arial" w:hAnsi="Arial" w:cs="Arial"/>
          <w:sz w:val="22"/>
          <w:szCs w:val="22"/>
        </w:rPr>
        <w:t>malignant B cells</w:t>
      </w:r>
      <w:r w:rsidRPr="002B3B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from </w:t>
      </w:r>
      <w:r w:rsidRPr="002B3B07">
        <w:rPr>
          <w:rFonts w:ascii="Arial" w:hAnsi="Arial" w:cs="Arial"/>
          <w:sz w:val="22"/>
          <w:szCs w:val="22"/>
        </w:rPr>
        <w:t>FL1-2 (</w:t>
      </w:r>
      <w:r>
        <w:rPr>
          <w:rFonts w:ascii="Arial" w:hAnsi="Arial" w:cs="Arial"/>
          <w:sz w:val="22"/>
          <w:szCs w:val="22"/>
        </w:rPr>
        <w:t>red</w:t>
      </w:r>
      <w:r w:rsidRPr="002B3B07">
        <w:rPr>
          <w:rFonts w:ascii="Arial" w:hAnsi="Arial" w:cs="Arial"/>
          <w:sz w:val="22"/>
          <w:szCs w:val="22"/>
        </w:rPr>
        <w:t xml:space="preserve">) and FL3B (green). </w:t>
      </w:r>
      <w:r>
        <w:rPr>
          <w:rFonts w:ascii="Arial" w:hAnsi="Arial" w:cs="Arial"/>
          <w:sz w:val="22"/>
          <w:szCs w:val="22"/>
        </w:rPr>
        <w:t>Statistical d</w:t>
      </w:r>
      <w:r w:rsidRPr="002B3B07">
        <w:rPr>
          <w:rFonts w:ascii="Arial" w:hAnsi="Arial" w:cs="Arial"/>
          <w:sz w:val="22"/>
          <w:szCs w:val="22"/>
        </w:rPr>
        <w:t>ifferences</w:t>
      </w:r>
      <w:r>
        <w:rPr>
          <w:rFonts w:ascii="Arial" w:hAnsi="Arial" w:cs="Arial"/>
          <w:sz w:val="22"/>
          <w:szCs w:val="22"/>
        </w:rPr>
        <w:t xml:space="preserve"> </w:t>
      </w:r>
      <w:r w:rsidRPr="002B3B07">
        <w:rPr>
          <w:rFonts w:ascii="Arial" w:hAnsi="Arial" w:cs="Arial"/>
          <w:sz w:val="22"/>
          <w:szCs w:val="22"/>
        </w:rPr>
        <w:t xml:space="preserve">were </w:t>
      </w:r>
      <w:r>
        <w:rPr>
          <w:rFonts w:ascii="Arial" w:hAnsi="Arial" w:cs="Arial"/>
          <w:sz w:val="22"/>
          <w:szCs w:val="22"/>
        </w:rPr>
        <w:t>assessed</w:t>
      </w:r>
      <w:r w:rsidRPr="002B3B07">
        <w:rPr>
          <w:rFonts w:ascii="Arial" w:hAnsi="Arial" w:cs="Arial"/>
          <w:sz w:val="22"/>
          <w:szCs w:val="22"/>
        </w:rPr>
        <w:t xml:space="preserve"> using </w:t>
      </w:r>
      <w:r>
        <w:rPr>
          <w:rFonts w:ascii="Arial" w:hAnsi="Arial" w:cs="Arial"/>
          <w:sz w:val="22"/>
          <w:szCs w:val="22"/>
        </w:rPr>
        <w:t>a</w:t>
      </w:r>
      <w:r w:rsidRPr="002B3B07">
        <w:rPr>
          <w:rFonts w:ascii="Arial" w:hAnsi="Arial" w:cs="Arial"/>
          <w:sz w:val="22"/>
          <w:szCs w:val="22"/>
        </w:rPr>
        <w:t xml:space="preserve"> proportion test.</w:t>
      </w:r>
      <w:r w:rsidRPr="008F470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N-O</w:t>
      </w:r>
      <w:r w:rsidRPr="00E84DB4">
        <w:rPr>
          <w:rFonts w:ascii="Arial" w:hAnsi="Arial" w:cs="Arial"/>
          <w:b/>
          <w:bCs/>
          <w:sz w:val="22"/>
          <w:szCs w:val="22"/>
        </w:rPr>
        <w:t>.</w:t>
      </w:r>
      <w:r w:rsidRPr="008F47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UMAP showing CellRank-inferred fate probabilities of initial and terminal states in FL3B</w:t>
      </w:r>
      <w:r w:rsidRPr="005C1B3E">
        <w:rPr>
          <w:rFonts w:ascii="Arial" w:hAnsi="Arial" w:cs="Arial"/>
          <w:sz w:val="22"/>
          <w:szCs w:val="22"/>
          <w:vertAlign w:val="superscript"/>
        </w:rPr>
        <w:t>a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) and FL3B</w:t>
      </w:r>
      <w:r>
        <w:rPr>
          <w:rFonts w:ascii="Arial" w:hAnsi="Arial" w:cs="Arial"/>
          <w:sz w:val="22"/>
          <w:szCs w:val="22"/>
          <w:vertAlign w:val="superscript"/>
        </w:rPr>
        <w:t xml:space="preserve">b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). Cells are colored by their most probable macrostates; intermediate cells are shown in gray. </w:t>
      </w:r>
      <w:r>
        <w:rPr>
          <w:rFonts w:ascii="Arial" w:hAnsi="Arial" w:cs="Arial"/>
          <w:b/>
          <w:bCs/>
          <w:sz w:val="22"/>
          <w:szCs w:val="22"/>
        </w:rPr>
        <w:t>P-Q</w:t>
      </w:r>
      <w:r w:rsidRPr="00E84DB4">
        <w:rPr>
          <w:rFonts w:ascii="Arial" w:hAnsi="Arial" w:cs="Arial"/>
          <w:b/>
          <w:bCs/>
          <w:sz w:val="22"/>
          <w:szCs w:val="22"/>
        </w:rPr>
        <w:t>.</w:t>
      </w:r>
      <w:r w:rsidRPr="008F47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UMAP depicting probabilities of </w:t>
      </w:r>
      <w:r>
        <w:rPr>
          <w:rFonts w:ascii="Arial" w:hAnsi="Arial" w:cs="Arial"/>
          <w:sz w:val="22"/>
          <w:szCs w:val="22"/>
        </w:rPr>
        <w:lastRenderedPageBreak/>
        <w:t>reaching terminal fates in FL3B</w:t>
      </w:r>
      <w:r w:rsidRPr="00E84DB4">
        <w:rPr>
          <w:rFonts w:ascii="Arial" w:hAnsi="Arial" w:cs="Arial"/>
          <w:sz w:val="22"/>
          <w:szCs w:val="22"/>
          <w:vertAlign w:val="superscript"/>
        </w:rPr>
        <w:t>a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) and FL3B</w:t>
      </w:r>
      <w:r>
        <w:rPr>
          <w:rFonts w:ascii="Arial" w:hAnsi="Arial" w:cs="Arial"/>
          <w:sz w:val="22"/>
          <w:szCs w:val="22"/>
          <w:vertAlign w:val="superscript"/>
        </w:rPr>
        <w:t xml:space="preserve">b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>Q</w:t>
      </w:r>
      <w:r>
        <w:rPr>
          <w:rFonts w:ascii="Arial" w:hAnsi="Arial" w:cs="Arial"/>
          <w:sz w:val="22"/>
          <w:szCs w:val="22"/>
        </w:rPr>
        <w:t>). Cells are colored by their most probable terminal state, with MBC I and LZ I terminal states outlined in yellow.</w:t>
      </w:r>
      <w:r w:rsidRPr="008F470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R-S</w:t>
      </w:r>
      <w:r w:rsidRPr="00E84DB4">
        <w:rPr>
          <w:rFonts w:ascii="Arial" w:hAnsi="Arial" w:cs="Arial"/>
          <w:b/>
          <w:bCs/>
          <w:sz w:val="22"/>
          <w:szCs w:val="22"/>
        </w:rPr>
        <w:t>.</w:t>
      </w:r>
      <w:r w:rsidRPr="008F4709">
        <w:rPr>
          <w:rFonts w:ascii="Arial" w:hAnsi="Arial" w:cs="Arial"/>
          <w:sz w:val="22"/>
          <w:szCs w:val="22"/>
        </w:rPr>
        <w:t xml:space="preserve"> </w:t>
      </w:r>
      <w:r w:rsidRPr="00E97104">
        <w:rPr>
          <w:rFonts w:ascii="Arial" w:hAnsi="Arial" w:cs="Arial"/>
          <w:sz w:val="22"/>
          <w:szCs w:val="22"/>
        </w:rPr>
        <w:t xml:space="preserve">Smoothed expression </w:t>
      </w:r>
      <w:r>
        <w:rPr>
          <w:rFonts w:ascii="Arial" w:hAnsi="Arial" w:cs="Arial"/>
          <w:sz w:val="22"/>
          <w:szCs w:val="22"/>
        </w:rPr>
        <w:t>dynamics</w:t>
      </w:r>
      <w:r w:rsidRPr="00E97104">
        <w:rPr>
          <w:rFonts w:ascii="Arial" w:hAnsi="Arial" w:cs="Arial"/>
          <w:sz w:val="22"/>
          <w:szCs w:val="22"/>
        </w:rPr>
        <w:t xml:space="preserve"> of the top </w:t>
      </w:r>
      <w:r>
        <w:rPr>
          <w:rFonts w:ascii="Arial" w:hAnsi="Arial" w:cs="Arial"/>
          <w:sz w:val="22"/>
          <w:szCs w:val="22"/>
        </w:rPr>
        <w:t>5</w:t>
      </w:r>
      <w:r w:rsidRPr="00E97104">
        <w:rPr>
          <w:rFonts w:ascii="Arial" w:hAnsi="Arial" w:cs="Arial"/>
          <w:sz w:val="22"/>
          <w:szCs w:val="22"/>
        </w:rPr>
        <w:t xml:space="preserve">0 genes </w:t>
      </w:r>
      <w:r>
        <w:rPr>
          <w:rFonts w:ascii="Arial" w:hAnsi="Arial" w:cs="Arial"/>
          <w:sz w:val="22"/>
          <w:szCs w:val="22"/>
        </w:rPr>
        <w:t xml:space="preserve">most strongly correlated </w:t>
      </w:r>
      <w:r w:rsidRPr="00E97104">
        <w:rPr>
          <w:rFonts w:ascii="Arial" w:hAnsi="Arial" w:cs="Arial"/>
          <w:sz w:val="22"/>
          <w:szCs w:val="22"/>
        </w:rPr>
        <w:t xml:space="preserve">with </w:t>
      </w:r>
      <w:r>
        <w:rPr>
          <w:rFonts w:ascii="Arial" w:hAnsi="Arial" w:cs="Arial"/>
          <w:sz w:val="22"/>
          <w:szCs w:val="22"/>
        </w:rPr>
        <w:t>MBC</w:t>
      </w:r>
      <w:r w:rsidRPr="00E97104">
        <w:rPr>
          <w:rFonts w:ascii="Arial" w:hAnsi="Arial" w:cs="Arial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) and LZ I (</w:t>
      </w:r>
      <w:r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) fate </w:t>
      </w:r>
      <w:r w:rsidRPr="00E97104">
        <w:rPr>
          <w:rFonts w:ascii="Arial" w:hAnsi="Arial" w:cs="Arial"/>
          <w:sz w:val="22"/>
          <w:szCs w:val="22"/>
        </w:rPr>
        <w:t xml:space="preserve">probabilities, </w:t>
      </w:r>
      <w:r>
        <w:rPr>
          <w:rFonts w:ascii="Arial" w:hAnsi="Arial" w:cs="Arial"/>
          <w:sz w:val="22"/>
          <w:szCs w:val="22"/>
        </w:rPr>
        <w:t>ordered by</w:t>
      </w:r>
      <w:r w:rsidRPr="00E97104">
        <w:rPr>
          <w:rFonts w:ascii="Arial" w:hAnsi="Arial" w:cs="Arial"/>
          <w:sz w:val="22"/>
          <w:szCs w:val="22"/>
        </w:rPr>
        <w:t xml:space="preserve"> peak </w:t>
      </w:r>
      <w:r>
        <w:rPr>
          <w:rFonts w:ascii="Arial" w:hAnsi="Arial" w:cs="Arial"/>
          <w:sz w:val="22"/>
          <w:szCs w:val="22"/>
        </w:rPr>
        <w:t xml:space="preserve">expression along </w:t>
      </w:r>
      <w:r w:rsidRPr="00E97104">
        <w:rPr>
          <w:rFonts w:ascii="Arial" w:hAnsi="Arial" w:cs="Arial"/>
          <w:sz w:val="22"/>
          <w:szCs w:val="22"/>
        </w:rPr>
        <w:t>pseudotime.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T-U</w:t>
      </w:r>
      <w:r w:rsidRPr="00E84DB4">
        <w:rPr>
          <w:rFonts w:ascii="Arial" w:hAnsi="Arial" w:cs="Arial"/>
          <w:b/>
          <w:bCs/>
          <w:sz w:val="22"/>
          <w:szCs w:val="22"/>
        </w:rPr>
        <w:t>.</w:t>
      </w:r>
      <w:r w:rsidRPr="00D669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Heatmaps of inferred CNV profiles comparing tumor cells from FL3B</w:t>
      </w:r>
      <w:r w:rsidRPr="00E84DB4">
        <w:rPr>
          <w:rFonts w:ascii="Arial" w:hAnsi="Arial" w:cs="Arial"/>
          <w:sz w:val="22"/>
          <w:szCs w:val="22"/>
          <w:vertAlign w:val="superscript"/>
        </w:rPr>
        <w:t>a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) and FL3B</w:t>
      </w:r>
      <w:r>
        <w:rPr>
          <w:rFonts w:ascii="Arial" w:hAnsi="Arial" w:cs="Arial"/>
          <w:sz w:val="22"/>
          <w:szCs w:val="22"/>
          <w:vertAlign w:val="superscript"/>
        </w:rPr>
        <w:t>b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) (top) with normal GCB cells (bottom). Genes ordered by chromosomal positions; amplifications are shown in red and deletions in blu</w:t>
      </w:r>
      <w:r w:rsidRPr="008F4709">
        <w:rPr>
          <w:rFonts w:ascii="Arial" w:hAnsi="Arial" w:cs="Arial"/>
          <w:sz w:val="22"/>
          <w:szCs w:val="22"/>
        </w:rPr>
        <w:t>e.</w:t>
      </w:r>
    </w:p>
    <w:p w14:paraId="6F19AD12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7117304" w14:textId="77777777" w:rsidR="00562948" w:rsidRPr="008F4709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746565">
        <w:rPr>
          <w:rFonts w:ascii="Arial" w:hAnsi="Arial" w:cs="Arial"/>
          <w:b/>
          <w:bCs/>
          <w:sz w:val="22"/>
          <w:szCs w:val="22"/>
        </w:rPr>
        <w:t xml:space="preserve"> </w:t>
      </w:r>
      <w:r w:rsidRPr="00E97104">
        <w:rPr>
          <w:rFonts w:ascii="Arial" w:hAnsi="Arial" w:cs="Arial"/>
          <w:b/>
          <w:bCs/>
          <w:sz w:val="22"/>
          <w:szCs w:val="22"/>
        </w:rPr>
        <w:t xml:space="preserve">Integrative single-cell mapping of clonal lineages and cell-fate trajectories in </w:t>
      </w:r>
      <w:r>
        <w:rPr>
          <w:rFonts w:ascii="Arial" w:hAnsi="Arial" w:cs="Arial"/>
          <w:b/>
          <w:bCs/>
          <w:sz w:val="22"/>
          <w:szCs w:val="22"/>
        </w:rPr>
        <w:t>DLBCL.</w:t>
      </w:r>
      <w:r w:rsidRPr="0074656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A. </w:t>
      </w:r>
      <w:r w:rsidRPr="00E97104">
        <w:rPr>
          <w:rFonts w:ascii="Arial" w:hAnsi="Arial" w:cs="Arial"/>
          <w:sz w:val="22"/>
          <w:szCs w:val="22"/>
        </w:rPr>
        <w:t>Uniform Manifold Approximation and Projection (UMAP)</w:t>
      </w:r>
      <w:r>
        <w:rPr>
          <w:rFonts w:ascii="Arial" w:hAnsi="Arial" w:cs="Arial"/>
          <w:sz w:val="22"/>
          <w:szCs w:val="22"/>
        </w:rPr>
        <w:t xml:space="preserve"> plot</w:t>
      </w:r>
      <w:r w:rsidRPr="00E971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showing CellRank-inferred fate probabilities of initial and terminal states in GCB DLBCL. Cells are colored by their most probable macrostates; intermediate cells are shown in gray. </w:t>
      </w:r>
      <w:r>
        <w:rPr>
          <w:rFonts w:ascii="Arial" w:hAnsi="Arial" w:cs="Arial"/>
          <w:b/>
          <w:bCs/>
          <w:sz w:val="22"/>
          <w:szCs w:val="22"/>
        </w:rPr>
        <w:t xml:space="preserve">B. </w:t>
      </w:r>
      <w:r>
        <w:rPr>
          <w:rFonts w:ascii="Arial" w:hAnsi="Arial" w:cs="Arial"/>
          <w:sz w:val="22"/>
          <w:szCs w:val="22"/>
        </w:rPr>
        <w:t>UMAP depicting probabilities of reaching terminal fates in GCB DLBCL. Cells are colored by their most probable terminal state, with the DZ II state outlined in yellow.</w:t>
      </w:r>
      <w:r w:rsidRPr="0074656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C. </w:t>
      </w:r>
      <w:r w:rsidRPr="00E97104">
        <w:rPr>
          <w:rFonts w:ascii="Arial" w:hAnsi="Arial" w:cs="Arial"/>
          <w:sz w:val="22"/>
          <w:szCs w:val="22"/>
        </w:rPr>
        <w:t xml:space="preserve">UMAP </w:t>
      </w:r>
      <w:r>
        <w:rPr>
          <w:rFonts w:ascii="Arial" w:hAnsi="Arial" w:cs="Arial"/>
          <w:sz w:val="22"/>
          <w:szCs w:val="22"/>
        </w:rPr>
        <w:t xml:space="preserve">showing CellRank-inferred fate probabilities of initial and terminal states in ABC DLBCL. Cells are colored by their most probable macrostates; intermediate cells are shown in gray. </w:t>
      </w:r>
      <w:r>
        <w:rPr>
          <w:rFonts w:ascii="Arial" w:hAnsi="Arial" w:cs="Arial"/>
          <w:b/>
          <w:bCs/>
          <w:sz w:val="22"/>
          <w:szCs w:val="22"/>
        </w:rPr>
        <w:t xml:space="preserve">D. </w:t>
      </w:r>
      <w:r>
        <w:rPr>
          <w:rFonts w:ascii="Arial" w:hAnsi="Arial" w:cs="Arial"/>
          <w:sz w:val="22"/>
          <w:szCs w:val="22"/>
        </w:rPr>
        <w:t>UMAP depicting probabilities of reaching terminal fates in ABC DLBCL. Cells are colored by their most probable terminal state, with the preMBC III state outlined in yellow.</w:t>
      </w:r>
      <w:r w:rsidRPr="0074656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E.</w:t>
      </w:r>
      <w:r w:rsidRPr="007465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Heatmaps of inferred CNV profiles comparing tumor cells from GCB (</w:t>
      </w:r>
      <w:r w:rsidRPr="005C1B3E">
        <w:rPr>
          <w:rFonts w:ascii="Arial" w:hAnsi="Arial" w:cs="Arial"/>
          <w:sz w:val="22"/>
          <w:szCs w:val="22"/>
        </w:rPr>
        <w:t>left</w:t>
      </w:r>
      <w:r>
        <w:rPr>
          <w:rFonts w:ascii="Arial" w:hAnsi="Arial" w:cs="Arial"/>
          <w:sz w:val="22"/>
          <w:szCs w:val="22"/>
        </w:rPr>
        <w:t>) and ABC DLBCL (</w:t>
      </w:r>
      <w:r w:rsidRPr="005C1B3E">
        <w:rPr>
          <w:rFonts w:ascii="Arial" w:hAnsi="Arial" w:cs="Arial"/>
          <w:sz w:val="22"/>
          <w:szCs w:val="22"/>
        </w:rPr>
        <w:t>right</w:t>
      </w:r>
      <w:r>
        <w:rPr>
          <w:rFonts w:ascii="Arial" w:hAnsi="Arial" w:cs="Arial"/>
          <w:sz w:val="22"/>
          <w:szCs w:val="22"/>
        </w:rPr>
        <w:t>) (top) with germinal center B cells (GCBs; bottom). Genes ordered by chromosomal positions; amplifications are shown in red and deletions in blu</w:t>
      </w:r>
      <w:r w:rsidRPr="008F4709">
        <w:rPr>
          <w:rFonts w:ascii="Arial" w:hAnsi="Arial" w:cs="Arial"/>
          <w:sz w:val="22"/>
          <w:szCs w:val="22"/>
        </w:rPr>
        <w:t>e.</w:t>
      </w:r>
      <w:r w:rsidRPr="0055219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F. </w:t>
      </w:r>
      <w:r w:rsidRPr="00E97104">
        <w:rPr>
          <w:rFonts w:ascii="Arial" w:hAnsi="Arial" w:cs="Arial"/>
          <w:sz w:val="22"/>
          <w:szCs w:val="22"/>
        </w:rPr>
        <w:t xml:space="preserve">UMAP </w:t>
      </w:r>
      <w:r>
        <w:rPr>
          <w:rFonts w:ascii="Arial" w:hAnsi="Arial" w:cs="Arial"/>
          <w:sz w:val="22"/>
          <w:szCs w:val="22"/>
        </w:rPr>
        <w:t xml:space="preserve">showing CellRank-inferred fate probabilities of initial and terminal states in unclassified (UNCL) DLBCL. Cells are colored by their most probable macrostates; intermediate cells are shown in gray. </w:t>
      </w:r>
      <w:r>
        <w:rPr>
          <w:rFonts w:ascii="Arial" w:hAnsi="Arial" w:cs="Arial"/>
          <w:b/>
          <w:bCs/>
          <w:sz w:val="22"/>
          <w:szCs w:val="22"/>
        </w:rPr>
        <w:t xml:space="preserve">G. </w:t>
      </w:r>
      <w:r>
        <w:rPr>
          <w:rFonts w:ascii="Arial" w:hAnsi="Arial" w:cs="Arial"/>
          <w:sz w:val="22"/>
          <w:szCs w:val="22"/>
        </w:rPr>
        <w:t>UMAP depicting probabilities of reaching terminal fates in UNCL DLBCL. Cells are colored by their most probable terminal state, with MBC state outlined in yellow.</w:t>
      </w:r>
      <w:r w:rsidRPr="0055219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H</w:t>
      </w:r>
      <w:r w:rsidRPr="00E84DB4">
        <w:rPr>
          <w:rFonts w:ascii="Arial" w:hAnsi="Arial" w:cs="Arial"/>
          <w:b/>
          <w:bCs/>
          <w:sz w:val="22"/>
          <w:szCs w:val="22"/>
        </w:rPr>
        <w:t>.</w:t>
      </w:r>
      <w:r w:rsidRPr="008F4709">
        <w:rPr>
          <w:rFonts w:ascii="Arial" w:hAnsi="Arial" w:cs="Arial"/>
          <w:sz w:val="22"/>
          <w:szCs w:val="22"/>
        </w:rPr>
        <w:t xml:space="preserve"> </w:t>
      </w:r>
      <w:r w:rsidRPr="00E97104">
        <w:rPr>
          <w:rFonts w:ascii="Arial" w:hAnsi="Arial" w:cs="Arial"/>
          <w:sz w:val="22"/>
          <w:szCs w:val="22"/>
        </w:rPr>
        <w:t xml:space="preserve">Smoothed expression </w:t>
      </w:r>
      <w:r>
        <w:rPr>
          <w:rFonts w:ascii="Arial" w:hAnsi="Arial" w:cs="Arial"/>
          <w:sz w:val="22"/>
          <w:szCs w:val="22"/>
        </w:rPr>
        <w:t>dynamics</w:t>
      </w:r>
      <w:r w:rsidRPr="00E97104">
        <w:rPr>
          <w:rFonts w:ascii="Arial" w:hAnsi="Arial" w:cs="Arial"/>
          <w:sz w:val="22"/>
          <w:szCs w:val="22"/>
        </w:rPr>
        <w:t xml:space="preserve"> of the top </w:t>
      </w:r>
      <w:r>
        <w:rPr>
          <w:rFonts w:ascii="Arial" w:hAnsi="Arial" w:cs="Arial"/>
          <w:sz w:val="22"/>
          <w:szCs w:val="22"/>
        </w:rPr>
        <w:t>4</w:t>
      </w:r>
      <w:r w:rsidRPr="00E97104">
        <w:rPr>
          <w:rFonts w:ascii="Arial" w:hAnsi="Arial" w:cs="Arial"/>
          <w:sz w:val="22"/>
          <w:szCs w:val="22"/>
        </w:rPr>
        <w:t xml:space="preserve">0 genes </w:t>
      </w:r>
      <w:r>
        <w:rPr>
          <w:rFonts w:ascii="Arial" w:hAnsi="Arial" w:cs="Arial"/>
          <w:sz w:val="22"/>
          <w:szCs w:val="22"/>
        </w:rPr>
        <w:t xml:space="preserve">most strongly correlated </w:t>
      </w:r>
      <w:r w:rsidRPr="00E97104">
        <w:rPr>
          <w:rFonts w:ascii="Arial" w:hAnsi="Arial" w:cs="Arial"/>
          <w:sz w:val="22"/>
          <w:szCs w:val="22"/>
        </w:rPr>
        <w:t xml:space="preserve">with </w:t>
      </w:r>
      <w:r>
        <w:rPr>
          <w:rFonts w:ascii="Arial" w:hAnsi="Arial" w:cs="Arial"/>
          <w:sz w:val="22"/>
          <w:szCs w:val="22"/>
        </w:rPr>
        <w:t>MBC</w:t>
      </w:r>
      <w:r w:rsidRPr="00E971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fate </w:t>
      </w:r>
      <w:r w:rsidRPr="00E97104">
        <w:rPr>
          <w:rFonts w:ascii="Arial" w:hAnsi="Arial" w:cs="Arial"/>
          <w:sz w:val="22"/>
          <w:szCs w:val="22"/>
        </w:rPr>
        <w:t>probabilit</w:t>
      </w:r>
      <w:r>
        <w:rPr>
          <w:rFonts w:ascii="Arial" w:hAnsi="Arial" w:cs="Arial"/>
          <w:sz w:val="22"/>
          <w:szCs w:val="22"/>
        </w:rPr>
        <w:t>y</w:t>
      </w:r>
      <w:r w:rsidRPr="00E9710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ordered by</w:t>
      </w:r>
      <w:r w:rsidRPr="00E97104">
        <w:rPr>
          <w:rFonts w:ascii="Arial" w:hAnsi="Arial" w:cs="Arial"/>
          <w:sz w:val="22"/>
          <w:szCs w:val="22"/>
        </w:rPr>
        <w:t xml:space="preserve"> peak </w:t>
      </w:r>
      <w:r>
        <w:rPr>
          <w:rFonts w:ascii="Arial" w:hAnsi="Arial" w:cs="Arial"/>
          <w:sz w:val="22"/>
          <w:szCs w:val="22"/>
        </w:rPr>
        <w:t xml:space="preserve">expression along </w:t>
      </w:r>
      <w:r w:rsidRPr="00E97104">
        <w:rPr>
          <w:rFonts w:ascii="Arial" w:hAnsi="Arial" w:cs="Arial"/>
          <w:sz w:val="22"/>
          <w:szCs w:val="22"/>
        </w:rPr>
        <w:t>pseudotime.</w:t>
      </w:r>
      <w:r>
        <w:rPr>
          <w:rFonts w:ascii="Arial" w:hAnsi="Arial" w:cs="Arial"/>
          <w:sz w:val="22"/>
          <w:szCs w:val="22"/>
        </w:rPr>
        <w:t xml:space="preserve"> </w:t>
      </w:r>
      <w:r w:rsidRPr="00393A58">
        <w:rPr>
          <w:rFonts w:ascii="Arial" w:hAnsi="Arial" w:cs="Arial"/>
          <w:b/>
          <w:bCs/>
          <w:sz w:val="22"/>
          <w:szCs w:val="22"/>
        </w:rPr>
        <w:t>I.</w:t>
      </w:r>
      <w:r w:rsidRPr="005521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Heatmap of inferred CNV profiles comparing tumor cells from UNCL DLBCL (top) with normal GCB cells (bottom). Genes ordered by chromosomal positions; amplifications are shown in red and deletions in blu</w:t>
      </w:r>
      <w:r w:rsidRPr="008F4709">
        <w:rPr>
          <w:rFonts w:ascii="Arial" w:hAnsi="Arial" w:cs="Arial"/>
          <w:sz w:val="22"/>
          <w:szCs w:val="22"/>
        </w:rPr>
        <w:t>e.</w:t>
      </w:r>
    </w:p>
    <w:p w14:paraId="03763474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8C6EB01" w14:textId="77777777" w:rsidR="00562948" w:rsidRDefault="00562948" w:rsidP="0056294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Single-cell profiling reveals pervasive immune dysregulation and altered antigen presentation in the lymphoma TME.</w:t>
      </w:r>
      <w:r w:rsidRPr="002F1D3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E97104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Bubble plot showing the expression of lineage-defining marker genes across immune cell clusters.</w:t>
      </w:r>
      <w:r w:rsidRPr="00E92FB8">
        <w:rPr>
          <w:rFonts w:ascii="Arial" w:hAnsi="Arial" w:cs="Arial"/>
          <w:sz w:val="22"/>
          <w:szCs w:val="22"/>
        </w:rPr>
        <w:t xml:space="preserve"> </w:t>
      </w:r>
      <w:r w:rsidRPr="007F1BBA">
        <w:rPr>
          <w:rFonts w:ascii="Arial" w:hAnsi="Arial" w:cs="Arial"/>
          <w:b/>
          <w:bCs/>
          <w:sz w:val="22"/>
          <w:szCs w:val="22"/>
        </w:rPr>
        <w:t>B.</w:t>
      </w:r>
      <w:r>
        <w:rPr>
          <w:rFonts w:ascii="Arial" w:hAnsi="Arial" w:cs="Arial"/>
          <w:sz w:val="22"/>
          <w:szCs w:val="22"/>
        </w:rPr>
        <w:t xml:space="preserve"> </w:t>
      </w:r>
      <w:r w:rsidRPr="00E97104">
        <w:rPr>
          <w:rFonts w:ascii="Arial" w:hAnsi="Arial" w:cs="Arial"/>
          <w:sz w:val="22"/>
          <w:szCs w:val="22"/>
        </w:rPr>
        <w:t>Uniform Manifold Approximation and Projection (UMAP)</w:t>
      </w:r>
      <w:r>
        <w:rPr>
          <w:rFonts w:ascii="Arial" w:hAnsi="Arial" w:cs="Arial"/>
          <w:sz w:val="22"/>
          <w:szCs w:val="22"/>
        </w:rPr>
        <w:t xml:space="preserve"> plot</w:t>
      </w:r>
      <w:r w:rsidRPr="00E97104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 xml:space="preserve">immune </w:t>
      </w:r>
      <w:r w:rsidRPr="00E97104">
        <w:rPr>
          <w:rFonts w:ascii="Arial" w:hAnsi="Arial" w:cs="Arial"/>
          <w:sz w:val="22"/>
          <w:szCs w:val="22"/>
        </w:rPr>
        <w:t xml:space="preserve">cells from patients with FL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FL1-3A n=21, FL3B n=11) </w:t>
      </w:r>
      <w:r w:rsidRPr="00E97104">
        <w:rPr>
          <w:rFonts w:ascii="Arial" w:hAnsi="Arial" w:cs="Arial"/>
          <w:sz w:val="22"/>
          <w:szCs w:val="22"/>
        </w:rPr>
        <w:t>and DLBCL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(GCB n=8, ABC n=3, Unclassified n=2), alongside normal lymph node tissues from </w:t>
      </w:r>
      <w:r w:rsidRPr="00A71DCC">
        <w:rPr>
          <w:rFonts w:ascii="Arial" w:hAnsi="Arial" w:cs="Arial"/>
          <w:sz w:val="22"/>
          <w:szCs w:val="22"/>
        </w:rPr>
        <w:t>healthy donors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(n=4)</w:t>
      </w:r>
      <w:r w:rsidRPr="00E97104">
        <w:rPr>
          <w:rFonts w:ascii="Arial" w:hAnsi="Arial" w:cs="Arial"/>
          <w:sz w:val="22"/>
          <w:szCs w:val="22"/>
        </w:rPr>
        <w:t>. Clusters are color</w:t>
      </w:r>
      <w:r>
        <w:rPr>
          <w:rFonts w:ascii="Arial" w:hAnsi="Arial" w:cs="Arial"/>
          <w:sz w:val="22"/>
          <w:szCs w:val="22"/>
        </w:rPr>
        <w:t>-coded</w:t>
      </w:r>
      <w:r w:rsidRPr="00E97104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>annotated by</w:t>
      </w:r>
      <w:r w:rsidRPr="00E97104">
        <w:rPr>
          <w:rFonts w:ascii="Arial" w:hAnsi="Arial" w:cs="Arial"/>
          <w:sz w:val="22"/>
          <w:szCs w:val="22"/>
        </w:rPr>
        <w:t xml:space="preserve"> disease subtype.</w:t>
      </w:r>
      <w:r w:rsidRPr="00E92FB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C</w:t>
      </w:r>
      <w:r w:rsidRPr="00A71DCC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Relative abundance</w:t>
      </w:r>
      <w:r w:rsidRPr="00A71DCC">
        <w:rPr>
          <w:rFonts w:ascii="Arial" w:hAnsi="Arial" w:cs="Arial"/>
          <w:sz w:val="22"/>
          <w:szCs w:val="22"/>
        </w:rPr>
        <w:t xml:space="preserve"> of immune cell </w:t>
      </w:r>
      <w:r>
        <w:rPr>
          <w:rFonts w:ascii="Arial" w:hAnsi="Arial" w:cs="Arial"/>
          <w:sz w:val="22"/>
          <w:szCs w:val="22"/>
        </w:rPr>
        <w:t>populations</w:t>
      </w:r>
      <w:r w:rsidRPr="00A71DCC">
        <w:rPr>
          <w:rFonts w:ascii="Arial" w:hAnsi="Arial" w:cs="Arial"/>
          <w:sz w:val="22"/>
          <w:szCs w:val="22"/>
        </w:rPr>
        <w:t xml:space="preserve"> in</w:t>
      </w:r>
      <w:r>
        <w:rPr>
          <w:rFonts w:ascii="Arial" w:hAnsi="Arial" w:cs="Arial"/>
          <w:sz w:val="22"/>
          <w:szCs w:val="22"/>
        </w:rPr>
        <w:t xml:space="preserve"> FL3B subgroups</w:t>
      </w:r>
      <w:r w:rsidRPr="00A71D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A71DCC">
        <w:rPr>
          <w:rFonts w:ascii="Arial" w:hAnsi="Arial" w:cs="Arial"/>
          <w:sz w:val="22"/>
          <w:szCs w:val="22"/>
        </w:rPr>
        <w:t>FL</w:t>
      </w:r>
      <w:r>
        <w:rPr>
          <w:rFonts w:ascii="Arial" w:hAnsi="Arial" w:cs="Arial"/>
          <w:sz w:val="22"/>
          <w:szCs w:val="22"/>
        </w:rPr>
        <w:t>3B</w:t>
      </w:r>
      <w:r w:rsidRPr="007F1BBA">
        <w:rPr>
          <w:rFonts w:ascii="Arial" w:hAnsi="Arial" w:cs="Arial"/>
          <w:sz w:val="22"/>
          <w:szCs w:val="22"/>
          <w:vertAlign w:val="superscript"/>
        </w:rPr>
        <w:t>a</w:t>
      </w:r>
      <w:r w:rsidRPr="00A71DCC">
        <w:rPr>
          <w:rFonts w:ascii="Arial" w:hAnsi="Arial" w:cs="Arial"/>
          <w:sz w:val="22"/>
          <w:szCs w:val="22"/>
        </w:rPr>
        <w:t xml:space="preserve"> and FL</w:t>
      </w:r>
      <w:r>
        <w:rPr>
          <w:rFonts w:ascii="Arial" w:hAnsi="Arial" w:cs="Arial"/>
          <w:sz w:val="22"/>
          <w:szCs w:val="22"/>
        </w:rPr>
        <w:t>3B</w:t>
      </w:r>
      <w:r>
        <w:rPr>
          <w:rFonts w:ascii="Arial" w:hAnsi="Arial" w:cs="Arial"/>
          <w:sz w:val="22"/>
          <w:szCs w:val="22"/>
          <w:vertAlign w:val="superscript"/>
        </w:rPr>
        <w:t>b</w:t>
      </w:r>
      <w:r>
        <w:rPr>
          <w:rFonts w:ascii="Arial" w:hAnsi="Arial" w:cs="Arial"/>
          <w:sz w:val="22"/>
          <w:szCs w:val="22"/>
        </w:rPr>
        <w:t>; top</w:t>
      </w:r>
      <w:r w:rsidRPr="00A71DCC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and in ABC and unclassified (UNCL) DLBCL (bottom), </w:t>
      </w:r>
      <w:r w:rsidRPr="00A71DCC">
        <w:rPr>
          <w:rFonts w:ascii="Arial" w:hAnsi="Arial" w:cs="Arial"/>
          <w:sz w:val="22"/>
          <w:szCs w:val="22"/>
        </w:rPr>
        <w:t xml:space="preserve">relative to </w:t>
      </w:r>
      <w:r>
        <w:rPr>
          <w:rFonts w:ascii="Arial" w:hAnsi="Arial" w:cs="Arial"/>
          <w:sz w:val="22"/>
          <w:szCs w:val="22"/>
        </w:rPr>
        <w:t>lymph nodes</w:t>
      </w:r>
      <w:r w:rsidRPr="00A71D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from </w:t>
      </w:r>
      <w:r w:rsidRPr="00A71DCC">
        <w:rPr>
          <w:rFonts w:ascii="Arial" w:hAnsi="Arial" w:cs="Arial"/>
          <w:sz w:val="22"/>
          <w:szCs w:val="22"/>
        </w:rPr>
        <w:t>healthy donor</w:t>
      </w:r>
      <w:r>
        <w:rPr>
          <w:rFonts w:ascii="Arial" w:hAnsi="Arial" w:cs="Arial"/>
          <w:sz w:val="22"/>
          <w:szCs w:val="22"/>
        </w:rPr>
        <w:t>s</w:t>
      </w:r>
      <w:r w:rsidRPr="00A71DCC">
        <w:rPr>
          <w:rFonts w:ascii="Arial" w:hAnsi="Arial" w:cs="Arial"/>
          <w:sz w:val="22"/>
          <w:szCs w:val="22"/>
        </w:rPr>
        <w:t>.</w:t>
      </w:r>
      <w:r w:rsidRPr="00E92FB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</w:t>
      </w:r>
      <w:r w:rsidRPr="00A71DCC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71DCC">
        <w:rPr>
          <w:rFonts w:ascii="Arial" w:hAnsi="Arial" w:cs="Arial"/>
          <w:sz w:val="22"/>
          <w:szCs w:val="22"/>
        </w:rPr>
        <w:t>Bubble plot show</w:t>
      </w:r>
      <w:r>
        <w:rPr>
          <w:rFonts w:ascii="Arial" w:hAnsi="Arial" w:cs="Arial"/>
          <w:sz w:val="22"/>
          <w:szCs w:val="22"/>
        </w:rPr>
        <w:t>ing</w:t>
      </w:r>
      <w:r w:rsidRPr="00A71DCC">
        <w:rPr>
          <w:rFonts w:ascii="Arial" w:hAnsi="Arial" w:cs="Arial"/>
          <w:sz w:val="22"/>
          <w:szCs w:val="22"/>
        </w:rPr>
        <w:t xml:space="preserve"> differentially expressed genes </w:t>
      </w:r>
      <w:r>
        <w:rPr>
          <w:rFonts w:ascii="Arial" w:hAnsi="Arial" w:cs="Arial"/>
          <w:sz w:val="22"/>
          <w:szCs w:val="22"/>
        </w:rPr>
        <w:t xml:space="preserve">(DEG) </w:t>
      </w:r>
      <w:r w:rsidRPr="00A71DCC">
        <w:rPr>
          <w:rFonts w:ascii="Arial" w:hAnsi="Arial" w:cs="Arial"/>
          <w:sz w:val="22"/>
          <w:szCs w:val="22"/>
        </w:rPr>
        <w:t xml:space="preserve">between </w:t>
      </w:r>
      <w:r>
        <w:rPr>
          <w:rFonts w:ascii="Arial" w:hAnsi="Arial" w:cs="Arial"/>
          <w:sz w:val="22"/>
          <w:szCs w:val="22"/>
        </w:rPr>
        <w:t>Treg and NK</w:t>
      </w:r>
      <w:r w:rsidRPr="00A71D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cell </w:t>
      </w:r>
      <w:r w:rsidRPr="00A71DCC">
        <w:rPr>
          <w:rFonts w:ascii="Arial" w:hAnsi="Arial" w:cs="Arial"/>
          <w:sz w:val="22"/>
          <w:szCs w:val="22"/>
        </w:rPr>
        <w:t xml:space="preserve">clusters </w:t>
      </w:r>
      <w:r>
        <w:rPr>
          <w:rFonts w:ascii="Arial" w:hAnsi="Arial" w:cs="Arial"/>
          <w:sz w:val="22"/>
          <w:szCs w:val="22"/>
        </w:rPr>
        <w:t xml:space="preserve">in </w:t>
      </w:r>
      <w:r w:rsidRPr="00A71DCC">
        <w:rPr>
          <w:rFonts w:ascii="Arial" w:hAnsi="Arial" w:cs="Arial"/>
          <w:sz w:val="22"/>
          <w:szCs w:val="22"/>
        </w:rPr>
        <w:t xml:space="preserve">FL and DLBCL </w:t>
      </w:r>
      <w:r>
        <w:rPr>
          <w:rFonts w:ascii="Arial" w:hAnsi="Arial" w:cs="Arial"/>
          <w:sz w:val="22"/>
          <w:szCs w:val="22"/>
        </w:rPr>
        <w:t>tumors compared to</w:t>
      </w:r>
      <w:r w:rsidRPr="00A71DCC">
        <w:rPr>
          <w:rFonts w:ascii="Arial" w:hAnsi="Arial" w:cs="Arial"/>
          <w:sz w:val="22"/>
          <w:szCs w:val="22"/>
        </w:rPr>
        <w:t xml:space="preserve"> normal immune cells from healthy donors</w:t>
      </w:r>
      <w:r>
        <w:rPr>
          <w:rFonts w:ascii="Arial" w:hAnsi="Arial" w:cs="Arial"/>
          <w:sz w:val="22"/>
          <w:szCs w:val="22"/>
        </w:rPr>
        <w:t>.</w:t>
      </w:r>
      <w:r w:rsidRPr="00A71D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</w:t>
      </w:r>
      <w:r w:rsidRPr="00A71DCC">
        <w:rPr>
          <w:rFonts w:ascii="Arial" w:hAnsi="Arial" w:cs="Arial"/>
          <w:sz w:val="22"/>
          <w:szCs w:val="22"/>
        </w:rPr>
        <w:t xml:space="preserve">enes </w:t>
      </w:r>
      <w:r>
        <w:rPr>
          <w:rFonts w:ascii="Arial" w:hAnsi="Arial" w:cs="Arial"/>
          <w:sz w:val="22"/>
          <w:szCs w:val="22"/>
        </w:rPr>
        <w:t>associated with</w:t>
      </w:r>
      <w:r w:rsidRPr="00A71DCC">
        <w:rPr>
          <w:rFonts w:ascii="Arial" w:hAnsi="Arial" w:cs="Arial"/>
          <w:sz w:val="22"/>
          <w:szCs w:val="22"/>
        </w:rPr>
        <w:t xml:space="preserve"> immune </w:t>
      </w:r>
      <w:r>
        <w:rPr>
          <w:rFonts w:ascii="Arial" w:hAnsi="Arial" w:cs="Arial"/>
          <w:sz w:val="22"/>
          <w:szCs w:val="22"/>
        </w:rPr>
        <w:t xml:space="preserve">response and </w:t>
      </w:r>
      <w:r w:rsidRPr="00A71DCC">
        <w:rPr>
          <w:rFonts w:ascii="Arial" w:hAnsi="Arial" w:cs="Arial"/>
          <w:sz w:val="22"/>
          <w:szCs w:val="22"/>
        </w:rPr>
        <w:t xml:space="preserve">exhaustion </w:t>
      </w:r>
      <w:r>
        <w:rPr>
          <w:rFonts w:ascii="Arial" w:hAnsi="Arial" w:cs="Arial"/>
          <w:sz w:val="22"/>
          <w:szCs w:val="22"/>
        </w:rPr>
        <w:t xml:space="preserve">are </w:t>
      </w:r>
      <w:r w:rsidRPr="00A71DCC">
        <w:rPr>
          <w:rFonts w:ascii="Arial" w:hAnsi="Arial" w:cs="Arial"/>
          <w:sz w:val="22"/>
          <w:szCs w:val="22"/>
        </w:rPr>
        <w:t>annotated</w:t>
      </w:r>
      <w:r>
        <w:rPr>
          <w:rFonts w:ascii="Arial" w:hAnsi="Arial" w:cs="Arial"/>
          <w:sz w:val="22"/>
          <w:szCs w:val="22"/>
        </w:rPr>
        <w:t>;</w:t>
      </w:r>
      <w:r w:rsidRPr="00A71DCC">
        <w:rPr>
          <w:rFonts w:ascii="Arial" w:hAnsi="Arial" w:cs="Arial"/>
          <w:sz w:val="22"/>
          <w:szCs w:val="22"/>
        </w:rPr>
        <w:t xml:space="preserve"> circle</w:t>
      </w:r>
      <w:r>
        <w:rPr>
          <w:rFonts w:ascii="Arial" w:hAnsi="Arial" w:cs="Arial"/>
          <w:sz w:val="22"/>
          <w:szCs w:val="22"/>
        </w:rPr>
        <w:t xml:space="preserve"> color </w:t>
      </w:r>
      <w:r w:rsidRPr="00A71DCC">
        <w:rPr>
          <w:rFonts w:ascii="Arial" w:hAnsi="Arial" w:cs="Arial"/>
          <w:sz w:val="22"/>
          <w:szCs w:val="22"/>
        </w:rPr>
        <w:t>represents average expression</w:t>
      </w:r>
      <w:r>
        <w:rPr>
          <w:rFonts w:ascii="Arial" w:hAnsi="Arial" w:cs="Arial"/>
          <w:sz w:val="22"/>
          <w:szCs w:val="22"/>
        </w:rPr>
        <w:t xml:space="preserve">, </w:t>
      </w:r>
      <w:r w:rsidRPr="00A71DCC">
        <w:rPr>
          <w:rFonts w:ascii="Arial" w:hAnsi="Arial" w:cs="Arial"/>
          <w:sz w:val="22"/>
          <w:szCs w:val="22"/>
        </w:rPr>
        <w:t xml:space="preserve">and size </w:t>
      </w:r>
      <w:r>
        <w:rPr>
          <w:rFonts w:ascii="Arial" w:hAnsi="Arial" w:cs="Arial"/>
          <w:sz w:val="22"/>
          <w:szCs w:val="22"/>
        </w:rPr>
        <w:t>indicates</w:t>
      </w:r>
      <w:r w:rsidRPr="00A71D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statistical </w:t>
      </w:r>
      <w:r w:rsidRPr="00A71DCC">
        <w:rPr>
          <w:rFonts w:ascii="Arial" w:hAnsi="Arial" w:cs="Arial"/>
          <w:sz w:val="22"/>
          <w:szCs w:val="22"/>
        </w:rPr>
        <w:t>significance.</w:t>
      </w:r>
      <w:r w:rsidRPr="00E92FB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A71DCC">
        <w:rPr>
          <w:rFonts w:ascii="Arial" w:hAnsi="Arial" w:cs="Arial"/>
          <w:b/>
          <w:bCs/>
          <w:sz w:val="22"/>
          <w:szCs w:val="22"/>
        </w:rPr>
        <w:t>.</w:t>
      </w:r>
      <w:r w:rsidRPr="00A71D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Gene set enrichment analysis (</w:t>
      </w:r>
      <w:r w:rsidRPr="00A71DCC">
        <w:rPr>
          <w:rFonts w:ascii="Arial" w:hAnsi="Arial" w:cs="Arial"/>
          <w:sz w:val="22"/>
          <w:szCs w:val="22"/>
        </w:rPr>
        <w:t>GSEA</w:t>
      </w:r>
      <w:r>
        <w:rPr>
          <w:rFonts w:ascii="Arial" w:hAnsi="Arial" w:cs="Arial"/>
          <w:sz w:val="22"/>
          <w:szCs w:val="22"/>
        </w:rPr>
        <w:t>)</w:t>
      </w:r>
      <w:r w:rsidRPr="00A71DCC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DEG</w:t>
      </w:r>
      <w:r w:rsidRPr="00A71DCC">
        <w:rPr>
          <w:rFonts w:ascii="Arial" w:hAnsi="Arial" w:cs="Arial"/>
          <w:sz w:val="22"/>
          <w:szCs w:val="22"/>
        </w:rPr>
        <w:t xml:space="preserve"> (FC &gt;2, FDR &lt;0.05 in 20% cells) in immune cell clusters from FL and DLBCL </w:t>
      </w:r>
      <w:r>
        <w:rPr>
          <w:rFonts w:ascii="Arial" w:hAnsi="Arial" w:cs="Arial"/>
          <w:sz w:val="22"/>
          <w:szCs w:val="22"/>
        </w:rPr>
        <w:t>relative to</w:t>
      </w:r>
      <w:r w:rsidRPr="00A71DCC">
        <w:rPr>
          <w:rFonts w:ascii="Arial" w:hAnsi="Arial" w:cs="Arial"/>
          <w:sz w:val="22"/>
          <w:szCs w:val="22"/>
        </w:rPr>
        <w:t xml:space="preserve"> normal immune cells from healthy donors. </w:t>
      </w:r>
      <w:r>
        <w:rPr>
          <w:rFonts w:ascii="Arial" w:hAnsi="Arial" w:cs="Arial"/>
          <w:b/>
          <w:bCs/>
          <w:sz w:val="22"/>
          <w:szCs w:val="22"/>
        </w:rPr>
        <w:t>F-H</w:t>
      </w:r>
      <w:r w:rsidRPr="00A71DCC">
        <w:rPr>
          <w:rFonts w:ascii="Arial" w:hAnsi="Arial" w:cs="Arial"/>
          <w:b/>
          <w:bCs/>
          <w:sz w:val="22"/>
          <w:szCs w:val="22"/>
        </w:rPr>
        <w:t>.</w:t>
      </w:r>
      <w:r w:rsidRPr="00A71D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Dot plot</w:t>
      </w:r>
      <w:r w:rsidRPr="00A71D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508D9">
        <w:rPr>
          <w:rFonts w:ascii="Arial" w:hAnsi="Arial" w:cs="Arial"/>
          <w:sz w:val="22"/>
          <w:szCs w:val="22"/>
        </w:rPr>
        <w:t xml:space="preserve">of selected ligand/receptor interactions between T cell clusters and malignant </w:t>
      </w:r>
      <w:r>
        <w:rPr>
          <w:rFonts w:ascii="Arial" w:hAnsi="Arial" w:cs="Arial"/>
          <w:sz w:val="22"/>
          <w:szCs w:val="22"/>
        </w:rPr>
        <w:t xml:space="preserve">B cells </w:t>
      </w:r>
      <w:r w:rsidRPr="005508D9">
        <w:rPr>
          <w:rFonts w:ascii="Arial" w:hAnsi="Arial" w:cs="Arial"/>
          <w:sz w:val="22"/>
          <w:szCs w:val="22"/>
        </w:rPr>
        <w:t xml:space="preserve">in </w:t>
      </w:r>
      <w:r>
        <w:rPr>
          <w:rFonts w:ascii="Arial" w:hAnsi="Arial" w:cs="Arial"/>
          <w:sz w:val="22"/>
          <w:szCs w:val="22"/>
        </w:rPr>
        <w:t>FL1-2 (</w:t>
      </w:r>
      <w:r w:rsidRPr="00DC6BB6">
        <w:rPr>
          <w:rFonts w:ascii="Arial" w:hAnsi="Arial" w:cs="Arial"/>
          <w:b/>
          <w:bCs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), FL3B</w:t>
      </w:r>
      <w:r w:rsidRPr="00DC6BB6">
        <w:rPr>
          <w:rFonts w:ascii="Arial" w:hAnsi="Arial" w:cs="Arial"/>
          <w:sz w:val="22"/>
          <w:szCs w:val="22"/>
          <w:vertAlign w:val="superscript"/>
        </w:rPr>
        <w:t>a</w:t>
      </w:r>
      <w:r>
        <w:rPr>
          <w:rFonts w:ascii="Arial" w:hAnsi="Arial" w:cs="Arial"/>
          <w:sz w:val="22"/>
          <w:szCs w:val="22"/>
        </w:rPr>
        <w:t xml:space="preserve"> and FL3B</w:t>
      </w:r>
      <w:r w:rsidRPr="00DC6BB6">
        <w:rPr>
          <w:rFonts w:ascii="Arial" w:hAnsi="Arial" w:cs="Arial"/>
          <w:sz w:val="22"/>
          <w:szCs w:val="22"/>
          <w:vertAlign w:val="superscript"/>
        </w:rPr>
        <w:t>b</w:t>
      </w:r>
      <w:r>
        <w:rPr>
          <w:rFonts w:ascii="Arial" w:hAnsi="Arial" w:cs="Arial"/>
          <w:sz w:val="22"/>
          <w:szCs w:val="22"/>
        </w:rPr>
        <w:t xml:space="preserve"> (</w:t>
      </w:r>
      <w:r w:rsidRPr="00DC6BB6">
        <w:rPr>
          <w:rFonts w:ascii="Arial" w:hAnsi="Arial" w:cs="Arial"/>
          <w:b/>
          <w:bCs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), GCB, ABCL and Unclassified DLBCL (</w:t>
      </w:r>
      <w:r w:rsidRPr="00DC6BB6"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)</w:t>
      </w:r>
      <w:r w:rsidRPr="005508D9">
        <w:rPr>
          <w:rFonts w:ascii="Arial" w:hAnsi="Arial" w:cs="Arial"/>
          <w:sz w:val="22"/>
          <w:szCs w:val="22"/>
        </w:rPr>
        <w:t xml:space="preserve">. Interaction probability is indicated by color intensity; absence of interaction is represented by the absence of dot. </w:t>
      </w:r>
    </w:p>
    <w:p w14:paraId="32326D4A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3978740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3A641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Spatial immune profiling reveals divergent immune architectures and functional T cell states across FL and DLBCL subtypes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A.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Schematic model depicting cell type annotation based on </w:t>
      </w:r>
      <w:r>
        <w:rPr>
          <w:rFonts w:ascii="Arial" w:hAnsi="Arial" w:cs="Arial"/>
          <w:sz w:val="22"/>
          <w:szCs w:val="22"/>
        </w:rPr>
        <w:t xml:space="preserve">protein </w:t>
      </w:r>
      <w:r w:rsidRPr="002B60D5">
        <w:rPr>
          <w:rFonts w:ascii="Arial" w:hAnsi="Arial" w:cs="Arial"/>
          <w:sz w:val="22"/>
          <w:szCs w:val="22"/>
        </w:rPr>
        <w:t>marker expression</w:t>
      </w:r>
      <w:r>
        <w:rPr>
          <w:rFonts w:ascii="Arial" w:hAnsi="Arial" w:cs="Arial"/>
          <w:sz w:val="22"/>
          <w:szCs w:val="22"/>
        </w:rPr>
        <w:t xml:space="preserve"> in CODEX imaging of </w:t>
      </w:r>
      <w:r w:rsidRPr="00D21F4D">
        <w:rPr>
          <w:rFonts w:ascii="Arial" w:hAnsi="Arial" w:cs="Arial"/>
          <w:sz w:val="22"/>
          <w:szCs w:val="22"/>
        </w:rPr>
        <w:t>FL1</w:t>
      </w:r>
      <w:r>
        <w:rPr>
          <w:rFonts w:ascii="Arial" w:hAnsi="Arial" w:cs="Arial"/>
          <w:sz w:val="22"/>
          <w:szCs w:val="22"/>
        </w:rPr>
        <w:t>-</w:t>
      </w:r>
      <w:r w:rsidRPr="00D21F4D">
        <w:rPr>
          <w:rFonts w:ascii="Arial" w:hAnsi="Arial" w:cs="Arial"/>
          <w:sz w:val="22"/>
          <w:szCs w:val="22"/>
        </w:rPr>
        <w:t>3A (n=20), FL3B (n=9), and DLBCL (GCB n=7; ABC n=6)</w:t>
      </w:r>
      <w:r>
        <w:rPr>
          <w:rFonts w:ascii="Arial" w:hAnsi="Arial" w:cs="Arial"/>
          <w:sz w:val="22"/>
          <w:szCs w:val="22"/>
        </w:rPr>
        <w:t>.</w:t>
      </w:r>
      <w:r w:rsidRPr="00BF6CE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4805A2">
        <w:rPr>
          <w:rFonts w:ascii="Arial" w:hAnsi="Arial" w:cs="Arial"/>
          <w:b/>
          <w:bCs/>
          <w:color w:val="000000" w:themeColor="text1"/>
          <w:sz w:val="22"/>
          <w:szCs w:val="22"/>
        </w:rPr>
        <w:t>B.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Distribution of indicated cell subsets across 43 representative tissue microarray (TMA) cores.</w:t>
      </w:r>
      <w:r w:rsidRPr="004805A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 w:rsidRPr="00DB3C0D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Representative cell-type maps of FL (grades 1-2 and 3B) and DLBCL (GCB and ABC subtypes). </w:t>
      </w:r>
      <w:r w:rsidRPr="009204B9">
        <w:rPr>
          <w:rFonts w:ascii="Arial" w:hAnsi="Arial" w:cs="Arial"/>
          <w:b/>
          <w:bCs/>
          <w:color w:val="000000" w:themeColor="text1"/>
          <w:sz w:val="22"/>
          <w:szCs w:val="22"/>
        </w:rPr>
        <w:t>D-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O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9204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CODEX-based quantification of the relative abundance of indicated cell populations across FL1-3A, FL3B and </w:t>
      </w:r>
      <w:r>
        <w:rPr>
          <w:rFonts w:ascii="Arial" w:hAnsi="Arial" w:cs="Arial"/>
          <w:color w:val="000000" w:themeColor="text1"/>
          <w:sz w:val="22"/>
          <w:szCs w:val="22"/>
        </w:rPr>
        <w:t>DLBCL (GCB and ABC subtypes).</w:t>
      </w:r>
      <w:r w:rsidRPr="007B0D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Statistical significance was</w:t>
      </w:r>
      <w:r w:rsidRPr="002B60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assessed</w:t>
      </w:r>
      <w:r w:rsidRPr="002B60D5">
        <w:rPr>
          <w:rFonts w:ascii="Arial" w:hAnsi="Arial" w:cs="Arial"/>
          <w:sz w:val="22"/>
          <w:szCs w:val="22"/>
        </w:rPr>
        <w:t xml:space="preserve"> using the </w:t>
      </w:r>
      <w:r w:rsidRPr="002B60D5">
        <w:rPr>
          <w:rFonts w:ascii="Arial" w:hAnsi="Arial" w:cs="Arial"/>
          <w:color w:val="000000" w:themeColor="text1"/>
          <w:sz w:val="22"/>
          <w:szCs w:val="22"/>
        </w:rPr>
        <w:t xml:space="preserve">Kruskal-Wallis test followed by Dunn's </w:t>
      </w:r>
      <w:r>
        <w:rPr>
          <w:rFonts w:ascii="Arial" w:hAnsi="Arial" w:cs="Arial"/>
          <w:color w:val="000000" w:themeColor="text1"/>
          <w:sz w:val="22"/>
          <w:szCs w:val="22"/>
        </w:rPr>
        <w:t>multiple-comparison</w:t>
      </w:r>
      <w:r w:rsidRPr="002B60D5">
        <w:rPr>
          <w:rFonts w:ascii="Arial" w:hAnsi="Arial" w:cs="Arial"/>
          <w:color w:val="000000" w:themeColor="text1"/>
          <w:sz w:val="22"/>
          <w:szCs w:val="22"/>
        </w:rPr>
        <w:t xml:space="preserve"> test with Benjamini-Hochberg correction</w:t>
      </w:r>
      <w:r w:rsidRPr="002B60D5">
        <w:rPr>
          <w:rFonts w:ascii="Arial" w:hAnsi="Arial" w:cs="Arial"/>
          <w:sz w:val="22"/>
          <w:szCs w:val="22"/>
        </w:rPr>
        <w:t>. *, P &lt; 0.05; **, P &lt; 0.01</w:t>
      </w:r>
      <w:r>
        <w:rPr>
          <w:rFonts w:ascii="Arial" w:hAnsi="Arial" w:cs="Arial"/>
          <w:sz w:val="22"/>
          <w:szCs w:val="22"/>
        </w:rPr>
        <w:t xml:space="preserve">; </w:t>
      </w:r>
      <w:r w:rsidRPr="002B60D5">
        <w:rPr>
          <w:rFonts w:ascii="Arial" w:hAnsi="Arial" w:cs="Arial"/>
          <w:sz w:val="22"/>
          <w:szCs w:val="22"/>
        </w:rPr>
        <w:t>**</w:t>
      </w:r>
      <w:r>
        <w:rPr>
          <w:rFonts w:ascii="Arial" w:hAnsi="Arial" w:cs="Arial"/>
          <w:sz w:val="22"/>
          <w:szCs w:val="22"/>
        </w:rPr>
        <w:t>*</w:t>
      </w:r>
      <w:r w:rsidRPr="002B60D5">
        <w:rPr>
          <w:rFonts w:ascii="Arial" w:hAnsi="Arial" w:cs="Arial"/>
          <w:sz w:val="22"/>
          <w:szCs w:val="22"/>
        </w:rPr>
        <w:t>, P &lt; 0.0</w:t>
      </w:r>
      <w:r>
        <w:rPr>
          <w:rFonts w:ascii="Arial" w:hAnsi="Arial" w:cs="Arial"/>
          <w:sz w:val="22"/>
          <w:szCs w:val="22"/>
        </w:rPr>
        <w:t>0</w:t>
      </w:r>
      <w:r w:rsidRPr="002B60D5">
        <w:rPr>
          <w:rFonts w:ascii="Arial" w:hAnsi="Arial" w:cs="Arial"/>
          <w:sz w:val="22"/>
          <w:szCs w:val="22"/>
        </w:rPr>
        <w:t>1.</w:t>
      </w:r>
    </w:p>
    <w:p w14:paraId="772C7425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F709DBB" w14:textId="77777777" w:rsidR="00562948" w:rsidRDefault="00562948" w:rsidP="0056294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7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5151A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Distinct GC </w:t>
      </w:r>
      <w:r w:rsidRPr="00D21F4D">
        <w:rPr>
          <w:rFonts w:ascii="Arial" w:hAnsi="Arial" w:cs="Arial"/>
          <w:b/>
          <w:bCs/>
          <w:sz w:val="22"/>
          <w:szCs w:val="22"/>
        </w:rPr>
        <w:t xml:space="preserve">B cell </w:t>
      </w:r>
      <w:r>
        <w:rPr>
          <w:rFonts w:ascii="Arial" w:hAnsi="Arial" w:cs="Arial"/>
          <w:b/>
          <w:bCs/>
          <w:sz w:val="22"/>
          <w:szCs w:val="22"/>
        </w:rPr>
        <w:t>composition distinguishes FL from DLBCL. A-</w:t>
      </w:r>
      <w:r w:rsidRPr="009204B9">
        <w:rPr>
          <w:rFonts w:ascii="Arial" w:hAnsi="Arial" w:cs="Arial"/>
          <w:b/>
          <w:bCs/>
          <w:color w:val="000000" w:themeColor="text1"/>
          <w:sz w:val="22"/>
          <w:szCs w:val="22"/>
        </w:rPr>
        <w:t>D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9204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CODEX-based quantification of the relative abundance of indicated B cell populations across FL1-3A, FL3B and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DLBCL (GCB and ABC subtypes).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C94CCC">
        <w:rPr>
          <w:rFonts w:ascii="Arial" w:hAnsi="Arial" w:cs="Arial"/>
          <w:b/>
          <w:bCs/>
          <w:color w:val="000000" w:themeColor="text1"/>
          <w:sz w:val="22"/>
          <w:szCs w:val="22"/>
        </w:rPr>
        <w:t>-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G</w:t>
      </w:r>
      <w:r w:rsidRPr="00C94CCC">
        <w:rPr>
          <w:rFonts w:ascii="Arial" w:hAnsi="Arial" w:cs="Arial"/>
          <w:color w:val="000000" w:themeColor="text1"/>
          <w:sz w:val="22"/>
          <w:szCs w:val="22"/>
        </w:rPr>
        <w:t>. Quantification of the relative abundance of the indicated B cell populations (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C94CCC">
        <w:rPr>
          <w:rFonts w:ascii="Arial" w:hAnsi="Arial" w:cs="Arial"/>
          <w:b/>
          <w:bCs/>
          <w:color w:val="000000" w:themeColor="text1"/>
          <w:sz w:val="22"/>
          <w:szCs w:val="22"/>
        </w:rPr>
        <w:t>-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F</w:t>
      </w:r>
      <w:r w:rsidRPr="00C94CCC">
        <w:rPr>
          <w:rFonts w:ascii="Arial" w:hAnsi="Arial" w:cs="Arial"/>
          <w:color w:val="000000" w:themeColor="text1"/>
          <w:sz w:val="22"/>
          <w:szCs w:val="22"/>
        </w:rPr>
        <w:t>) and immune cell populations (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G</w:t>
      </w:r>
      <w:r w:rsidRPr="00C94CCC">
        <w:rPr>
          <w:rFonts w:ascii="Arial" w:hAnsi="Arial" w:cs="Arial"/>
          <w:color w:val="000000" w:themeColor="text1"/>
          <w:sz w:val="22"/>
          <w:szCs w:val="22"/>
        </w:rPr>
        <w:t>) in TME</w:t>
      </w:r>
      <w:r w:rsidRPr="00C94CCC">
        <w:rPr>
          <w:rFonts w:ascii="Arial" w:hAnsi="Arial" w:cs="Arial"/>
          <w:color w:val="000000" w:themeColor="text1"/>
          <w:sz w:val="22"/>
          <w:szCs w:val="22"/>
          <w:vertAlign w:val="superscript"/>
        </w:rPr>
        <w:t>hot</w:t>
      </w:r>
      <w:r w:rsidRPr="00C94CCC">
        <w:rPr>
          <w:rFonts w:ascii="Arial" w:hAnsi="Arial" w:cs="Arial"/>
          <w:color w:val="000000" w:themeColor="text1"/>
          <w:sz w:val="22"/>
          <w:szCs w:val="22"/>
        </w:rPr>
        <w:t xml:space="preserve"> vs</w:t>
      </w:r>
      <w:r w:rsidRPr="001828DC">
        <w:rPr>
          <w:rFonts w:ascii="Arial" w:hAnsi="Arial" w:cs="Arial"/>
          <w:color w:val="000000" w:themeColor="text1"/>
          <w:sz w:val="22"/>
          <w:szCs w:val="22"/>
        </w:rPr>
        <w:t>. TME</w:t>
      </w:r>
      <w:r w:rsidRPr="001828DC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cold </w:t>
      </w:r>
      <w:r w:rsidRPr="001828DC">
        <w:rPr>
          <w:rFonts w:ascii="Arial" w:hAnsi="Arial" w:cs="Arial"/>
          <w:color w:val="000000" w:themeColor="text1"/>
          <w:sz w:val="22"/>
          <w:szCs w:val="22"/>
        </w:rPr>
        <w:t>states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Statistical significance was</w:t>
      </w:r>
      <w:r w:rsidRPr="002B60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assessed</w:t>
      </w:r>
      <w:r w:rsidRPr="002B60D5">
        <w:rPr>
          <w:rFonts w:ascii="Arial" w:hAnsi="Arial" w:cs="Arial"/>
          <w:sz w:val="22"/>
          <w:szCs w:val="22"/>
        </w:rPr>
        <w:t xml:space="preserve"> using the </w:t>
      </w:r>
      <w:r w:rsidRPr="002B60D5">
        <w:rPr>
          <w:rFonts w:ascii="Arial" w:hAnsi="Arial" w:cs="Arial"/>
          <w:color w:val="000000" w:themeColor="text1"/>
          <w:sz w:val="22"/>
          <w:szCs w:val="22"/>
        </w:rPr>
        <w:t xml:space="preserve">Kruskal-Wallis test followed by Dunn's </w:t>
      </w:r>
      <w:r>
        <w:rPr>
          <w:rFonts w:ascii="Arial" w:hAnsi="Arial" w:cs="Arial"/>
          <w:color w:val="000000" w:themeColor="text1"/>
          <w:sz w:val="22"/>
          <w:szCs w:val="22"/>
        </w:rPr>
        <w:t>multiple-comparison</w:t>
      </w:r>
      <w:r w:rsidRPr="002B60D5">
        <w:rPr>
          <w:rFonts w:ascii="Arial" w:hAnsi="Arial" w:cs="Arial"/>
          <w:color w:val="000000" w:themeColor="text1"/>
          <w:sz w:val="22"/>
          <w:szCs w:val="22"/>
        </w:rPr>
        <w:t xml:space="preserve"> test with Benjamini-Hochberg correction</w:t>
      </w:r>
      <w:r w:rsidRPr="002B60D5">
        <w:rPr>
          <w:rFonts w:ascii="Arial" w:hAnsi="Arial" w:cs="Arial"/>
          <w:sz w:val="22"/>
          <w:szCs w:val="22"/>
        </w:rPr>
        <w:t>. *, P &lt; 0.05; **, P &lt; 0.01</w:t>
      </w:r>
      <w:r>
        <w:rPr>
          <w:rFonts w:ascii="Arial" w:hAnsi="Arial" w:cs="Arial"/>
          <w:sz w:val="22"/>
          <w:szCs w:val="22"/>
        </w:rPr>
        <w:t xml:space="preserve">; </w:t>
      </w:r>
      <w:r w:rsidRPr="002B60D5">
        <w:rPr>
          <w:rFonts w:ascii="Arial" w:hAnsi="Arial" w:cs="Arial"/>
          <w:sz w:val="22"/>
          <w:szCs w:val="22"/>
        </w:rPr>
        <w:t>**</w:t>
      </w:r>
      <w:r>
        <w:rPr>
          <w:rFonts w:ascii="Arial" w:hAnsi="Arial" w:cs="Arial"/>
          <w:sz w:val="22"/>
          <w:szCs w:val="22"/>
        </w:rPr>
        <w:t>*</w:t>
      </w:r>
      <w:r w:rsidRPr="002B60D5">
        <w:rPr>
          <w:rFonts w:ascii="Arial" w:hAnsi="Arial" w:cs="Arial"/>
          <w:sz w:val="22"/>
          <w:szCs w:val="22"/>
        </w:rPr>
        <w:t>, P &lt; 0.0</w:t>
      </w:r>
      <w:r>
        <w:rPr>
          <w:rFonts w:ascii="Arial" w:hAnsi="Arial" w:cs="Arial"/>
          <w:sz w:val="22"/>
          <w:szCs w:val="22"/>
        </w:rPr>
        <w:t>0</w:t>
      </w:r>
      <w:r w:rsidRPr="002B60D5">
        <w:rPr>
          <w:rFonts w:ascii="Arial" w:hAnsi="Arial" w:cs="Arial"/>
          <w:sz w:val="22"/>
          <w:szCs w:val="22"/>
        </w:rPr>
        <w:t>1.</w:t>
      </w:r>
      <w:r w:rsidRPr="00C94C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H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Kaplan-Meier </w:t>
      </w:r>
      <w:r>
        <w:rPr>
          <w:rFonts w:ascii="Arial" w:hAnsi="Arial" w:cs="Arial"/>
          <w:color w:val="000000" w:themeColor="text1"/>
          <w:sz w:val="22"/>
          <w:szCs w:val="22"/>
        </w:rPr>
        <w:t>curves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of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 event-free survival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(EFS)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in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FL and </w:t>
      </w:r>
      <w:r w:rsidRPr="006A244C">
        <w:rPr>
          <w:rFonts w:ascii="Arial" w:hAnsi="Arial" w:cs="Arial"/>
          <w:color w:val="000000" w:themeColor="text1"/>
          <w:sz w:val="22"/>
          <w:szCs w:val="22"/>
        </w:rPr>
        <w:t xml:space="preserve">DLBCL patients </w:t>
      </w:r>
      <w:r>
        <w:rPr>
          <w:rFonts w:ascii="Arial" w:hAnsi="Arial" w:cs="Arial"/>
          <w:color w:val="000000" w:themeColor="text1"/>
          <w:sz w:val="22"/>
          <w:szCs w:val="22"/>
        </w:rPr>
        <w:t>stratified by the abundance of normal (Bcl2</w:t>
      </w:r>
      <w:r w:rsidRPr="002C0E2D">
        <w:rPr>
          <w:rFonts w:ascii="Arial" w:hAnsi="Arial" w:cs="Arial"/>
          <w:color w:val="000000" w:themeColor="text1"/>
          <w:sz w:val="22"/>
          <w:szCs w:val="22"/>
          <w:vertAlign w:val="superscript"/>
        </w:rPr>
        <w:t>-</w:t>
      </w:r>
      <w:r>
        <w:rPr>
          <w:rFonts w:ascii="Arial" w:hAnsi="Arial" w:cs="Arial"/>
          <w:color w:val="000000" w:themeColor="text1"/>
          <w:sz w:val="22"/>
          <w:szCs w:val="22"/>
        </w:rPr>
        <w:t>) B cells, M1 and M2 macrophages.</w:t>
      </w:r>
      <w:r w:rsidRPr="00401E4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I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26FE8">
        <w:rPr>
          <w:rFonts w:ascii="Arial" w:hAnsi="Arial" w:cs="Arial"/>
          <w:color w:val="000000" w:themeColor="text1"/>
          <w:sz w:val="22"/>
          <w:szCs w:val="22"/>
        </w:rPr>
        <w:t>Bar plot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depicting EFS24 achievement vs. failure according to the proportion of </w:t>
      </w:r>
      <w:r w:rsidRPr="00D21F4D">
        <w:rPr>
          <w:rFonts w:ascii="Arial" w:hAnsi="Arial" w:cs="Arial"/>
          <w:sz w:val="22"/>
          <w:szCs w:val="22"/>
        </w:rPr>
        <w:t>CD8</w:t>
      </w:r>
      <w:r w:rsidRPr="00D21F4D">
        <w:rPr>
          <w:rFonts w:ascii="Arial" w:hAnsi="Arial" w:cs="Arial"/>
          <w:sz w:val="22"/>
          <w:szCs w:val="22"/>
          <w:vertAlign w:val="superscript"/>
        </w:rPr>
        <w:t>+</w:t>
      </w:r>
      <w:r w:rsidRPr="00D21F4D">
        <w:rPr>
          <w:rFonts w:ascii="Arial" w:hAnsi="Arial" w:cs="Arial"/>
          <w:sz w:val="22"/>
          <w:szCs w:val="22"/>
        </w:rPr>
        <w:t xml:space="preserve"> naïve-like T cells (CD8</w:t>
      </w:r>
      <w:r w:rsidRPr="00D21F4D">
        <w:rPr>
          <w:rFonts w:ascii="Arial" w:hAnsi="Arial" w:cs="Arial"/>
          <w:sz w:val="22"/>
          <w:szCs w:val="22"/>
          <w:vertAlign w:val="superscript"/>
        </w:rPr>
        <w:t>+</w:t>
      </w:r>
      <w:r w:rsidRPr="00D21F4D">
        <w:rPr>
          <w:rFonts w:ascii="Arial" w:hAnsi="Arial" w:cs="Arial"/>
          <w:sz w:val="22"/>
          <w:szCs w:val="22"/>
        </w:rPr>
        <w:t>FOXP3</w:t>
      </w:r>
      <w:r w:rsidRPr="00D21F4D">
        <w:rPr>
          <w:rFonts w:ascii="Arial" w:hAnsi="Arial" w:cs="Arial"/>
          <w:sz w:val="22"/>
          <w:szCs w:val="22"/>
          <w:vertAlign w:val="superscript"/>
        </w:rPr>
        <w:t>-</w:t>
      </w:r>
      <w:r w:rsidRPr="00D21F4D">
        <w:rPr>
          <w:rFonts w:ascii="Arial" w:hAnsi="Arial" w:cs="Arial"/>
          <w:sz w:val="22"/>
          <w:szCs w:val="22"/>
        </w:rPr>
        <w:t>TCF1</w:t>
      </w:r>
      <w:r w:rsidRPr="00D21F4D">
        <w:rPr>
          <w:rFonts w:ascii="Arial" w:hAnsi="Arial" w:cs="Arial"/>
          <w:sz w:val="22"/>
          <w:szCs w:val="22"/>
          <w:vertAlign w:val="superscript"/>
        </w:rPr>
        <w:t>-</w:t>
      </w:r>
      <w:r w:rsidRPr="00D21F4D">
        <w:rPr>
          <w:rFonts w:ascii="Arial" w:hAnsi="Arial" w:cs="Arial"/>
          <w:sz w:val="22"/>
          <w:szCs w:val="22"/>
        </w:rPr>
        <w:t>CD45RO</w:t>
      </w:r>
      <w:r w:rsidRPr="00D21F4D">
        <w:rPr>
          <w:rFonts w:ascii="Arial" w:hAnsi="Arial" w:cs="Arial"/>
          <w:sz w:val="22"/>
          <w:szCs w:val="22"/>
          <w:vertAlign w:val="superscript"/>
        </w:rPr>
        <w:t>-</w:t>
      </w:r>
      <w:r w:rsidRPr="00D21F4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infiltrating lymphoma tissue.</w:t>
      </w:r>
    </w:p>
    <w:p w14:paraId="1E601D86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8596AA1" w14:textId="77777777" w:rsidR="00562948" w:rsidRPr="000D67A2" w:rsidRDefault="00562948" w:rsidP="0056294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</w:t>
      </w:r>
      <w:r w:rsidRPr="00F01C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8</w:t>
      </w:r>
      <w:r w:rsidRPr="00F01C6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B30AB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Cell-cell</w:t>
      </w:r>
      <w:r w:rsidRPr="00D21F4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interaction </w:t>
      </w:r>
      <w:r w:rsidRPr="00D21F4D">
        <w:rPr>
          <w:rFonts w:ascii="Arial" w:hAnsi="Arial" w:cs="Arial"/>
          <w:b/>
          <w:bCs/>
          <w:sz w:val="22"/>
          <w:szCs w:val="22"/>
        </w:rPr>
        <w:t>analysis</w:t>
      </w:r>
      <w:r>
        <w:rPr>
          <w:rFonts w:ascii="Arial" w:hAnsi="Arial" w:cs="Arial"/>
          <w:b/>
          <w:bCs/>
          <w:sz w:val="22"/>
          <w:szCs w:val="22"/>
        </w:rPr>
        <w:t xml:space="preserve"> reveals subtype-specific immune architectures in FL and DLBCL. A. </w:t>
      </w:r>
      <w:r w:rsidRPr="00985169">
        <w:rPr>
          <w:rFonts w:ascii="Arial" w:hAnsi="Arial" w:cs="Arial"/>
          <w:sz w:val="22"/>
          <w:szCs w:val="22"/>
        </w:rPr>
        <w:t xml:space="preserve">Schematic </w:t>
      </w:r>
      <w:r>
        <w:rPr>
          <w:rFonts w:ascii="Arial" w:hAnsi="Arial" w:cs="Arial"/>
          <w:sz w:val="22"/>
          <w:szCs w:val="22"/>
        </w:rPr>
        <w:t>overview of spatial</w:t>
      </w:r>
      <w:r w:rsidRPr="00985169">
        <w:rPr>
          <w:rFonts w:ascii="Arial" w:hAnsi="Arial" w:cs="Arial"/>
          <w:sz w:val="22"/>
          <w:szCs w:val="22"/>
        </w:rPr>
        <w:t xml:space="preserve"> co-occurrence analysis</w:t>
      </w:r>
      <w:r>
        <w:rPr>
          <w:rFonts w:ascii="Arial" w:hAnsi="Arial" w:cs="Arial"/>
          <w:sz w:val="22"/>
          <w:szCs w:val="22"/>
        </w:rPr>
        <w:t xml:space="preserve"> used to quantify cell-cell proximity relationships</w:t>
      </w:r>
      <w:r w:rsidRPr="009851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B-C. </w:t>
      </w:r>
      <w:r w:rsidRPr="00985169">
        <w:rPr>
          <w:rFonts w:ascii="Arial" w:hAnsi="Arial" w:cs="Arial"/>
          <w:sz w:val="22"/>
          <w:szCs w:val="22"/>
        </w:rPr>
        <w:t>Quantification of</w:t>
      </w:r>
      <w:r>
        <w:rPr>
          <w:rFonts w:ascii="Arial" w:hAnsi="Arial" w:cs="Arial"/>
          <w:sz w:val="22"/>
          <w:szCs w:val="22"/>
        </w:rPr>
        <w:t xml:space="preserve"> </w:t>
      </w:r>
      <w:r w:rsidRPr="00D21F4D">
        <w:rPr>
          <w:rFonts w:ascii="Arial" w:hAnsi="Arial" w:cs="Arial"/>
          <w:sz w:val="22"/>
          <w:szCs w:val="22"/>
        </w:rPr>
        <w:t xml:space="preserve">B cell </w:t>
      </w:r>
      <w:r>
        <w:rPr>
          <w:rFonts w:ascii="Arial" w:hAnsi="Arial" w:cs="Arial"/>
          <w:sz w:val="22"/>
          <w:szCs w:val="22"/>
        </w:rPr>
        <w:t>proximity</w:t>
      </w:r>
      <w:r w:rsidRPr="00D21F4D">
        <w:rPr>
          <w:rFonts w:ascii="Arial" w:hAnsi="Arial" w:cs="Arial"/>
          <w:sz w:val="22"/>
          <w:szCs w:val="22"/>
        </w:rPr>
        <w:t xml:space="preserve"> to CD</w:t>
      </w:r>
      <w:r>
        <w:rPr>
          <w:rFonts w:ascii="Arial" w:hAnsi="Arial" w:cs="Arial"/>
          <w:sz w:val="22"/>
          <w:szCs w:val="22"/>
        </w:rPr>
        <w:t>4</w:t>
      </w:r>
      <w:r w:rsidRPr="00D21F4D">
        <w:rPr>
          <w:rFonts w:ascii="Arial" w:hAnsi="Arial" w:cs="Arial"/>
          <w:sz w:val="22"/>
          <w:szCs w:val="22"/>
          <w:vertAlign w:val="superscript"/>
        </w:rPr>
        <w:t>+</w:t>
      </w:r>
      <w:r w:rsidRPr="00D21F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memory T cells (Tm) (</w:t>
      </w:r>
      <w:r w:rsidRPr="00985169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) and </w:t>
      </w:r>
      <w:r w:rsidRPr="00D21F4D">
        <w:rPr>
          <w:rFonts w:ascii="Arial" w:hAnsi="Arial" w:cs="Arial"/>
          <w:sz w:val="22"/>
          <w:szCs w:val="22"/>
        </w:rPr>
        <w:t>CD</w:t>
      </w:r>
      <w:r>
        <w:rPr>
          <w:rFonts w:ascii="Arial" w:hAnsi="Arial" w:cs="Arial"/>
          <w:sz w:val="22"/>
          <w:szCs w:val="22"/>
        </w:rPr>
        <w:t>4</w:t>
      </w:r>
      <w:r w:rsidRPr="00D21F4D">
        <w:rPr>
          <w:rFonts w:ascii="Arial" w:hAnsi="Arial" w:cs="Arial"/>
          <w:sz w:val="22"/>
          <w:szCs w:val="22"/>
          <w:vertAlign w:val="superscript"/>
        </w:rPr>
        <w:t>+</w:t>
      </w:r>
      <w:r w:rsidRPr="00D21F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regulatory</w:t>
      </w:r>
      <w:r w:rsidRPr="00D21F4D">
        <w:rPr>
          <w:rFonts w:ascii="Arial" w:hAnsi="Arial" w:cs="Arial"/>
          <w:sz w:val="22"/>
          <w:szCs w:val="22"/>
        </w:rPr>
        <w:t xml:space="preserve"> T cells (</w:t>
      </w:r>
      <w:r>
        <w:rPr>
          <w:rFonts w:ascii="Arial" w:hAnsi="Arial" w:cs="Arial"/>
          <w:sz w:val="22"/>
          <w:szCs w:val="22"/>
        </w:rPr>
        <w:t>Tregs</w:t>
      </w:r>
      <w:r w:rsidRPr="00D21F4D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D21F4D">
        <w:rPr>
          <w:rFonts w:ascii="Arial" w:hAnsi="Arial" w:cs="Arial"/>
          <w:sz w:val="22"/>
          <w:szCs w:val="22"/>
        </w:rPr>
        <w:t xml:space="preserve">within </w:t>
      </w:r>
      <w:r>
        <w:rPr>
          <w:rFonts w:ascii="Arial" w:hAnsi="Arial" w:cs="Arial"/>
          <w:sz w:val="22"/>
          <w:szCs w:val="22"/>
        </w:rPr>
        <w:t xml:space="preserve">a radial distance of </w:t>
      </w:r>
      <w:r w:rsidRPr="00D21F4D">
        <w:rPr>
          <w:rFonts w:ascii="Arial" w:hAnsi="Arial" w:cs="Arial"/>
          <w:sz w:val="22"/>
          <w:szCs w:val="22"/>
        </w:rPr>
        <w:t xml:space="preserve">10-250 </w:t>
      </w:r>
      <m:oMath>
        <m:r>
          <w:rPr>
            <w:rFonts w:ascii="Cambria Math" w:hAnsi="Cambria Math" w:cs="Arial"/>
            <w:sz w:val="22"/>
            <w:szCs w:val="22"/>
          </w:rPr>
          <m:t>μ</m:t>
        </m:r>
      </m:oMath>
      <w:r w:rsidRPr="00D21F4D">
        <w:rPr>
          <w:rFonts w:ascii="Arial" w:eastAsiaTheme="minorEastAsia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in </w:t>
      </w:r>
      <w:r w:rsidRPr="002B60D5">
        <w:rPr>
          <w:rFonts w:ascii="Arial" w:hAnsi="Arial" w:cs="Arial"/>
          <w:sz w:val="22"/>
          <w:szCs w:val="22"/>
        </w:rPr>
        <w:t>FL1-2, FL3B, GCB and ABC DLBCL</w:t>
      </w:r>
      <w:r>
        <w:rPr>
          <w:rFonts w:ascii="Arial" w:hAnsi="Arial" w:cs="Arial"/>
          <w:sz w:val="22"/>
          <w:szCs w:val="22"/>
        </w:rPr>
        <w:t xml:space="preserve">. </w:t>
      </w:r>
      <w:r w:rsidRPr="00985169">
        <w:rPr>
          <w:rFonts w:ascii="Arial" w:hAnsi="Arial" w:cs="Arial"/>
          <w:b/>
          <w:bCs/>
          <w:sz w:val="22"/>
          <w:szCs w:val="22"/>
        </w:rPr>
        <w:t>D.</w:t>
      </w:r>
      <w:r>
        <w:rPr>
          <w:rFonts w:ascii="Arial" w:hAnsi="Arial" w:cs="Arial"/>
          <w:sz w:val="22"/>
          <w:szCs w:val="22"/>
        </w:rPr>
        <w:t xml:space="preserve"> Distance-resolved co-occurrence analysis of B cells and macrophages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 w:rsidRPr="00F82FED">
        <w:rPr>
          <w:rFonts w:ascii="Arial" w:hAnsi="Arial" w:cs="Arial"/>
          <w:color w:val="000000" w:themeColor="text1"/>
          <w:sz w:val="22"/>
          <w:szCs w:val="22"/>
        </w:rPr>
        <w:t>10</w:t>
      </w:r>
      <w:r>
        <w:rPr>
          <w:rFonts w:ascii="Arial" w:hAnsi="Arial" w:cs="Arial"/>
          <w:color w:val="000000" w:themeColor="text1"/>
          <w:sz w:val="22"/>
          <w:szCs w:val="22"/>
        </w:rPr>
        <w:t>-500</w:t>
      </w:r>
      <w:r w:rsidRPr="00F82FED">
        <w:rPr>
          <w:rFonts w:ascii="Arial" w:hAnsi="Arial" w:cs="Arial"/>
          <w:color w:val="000000" w:themeColor="text1"/>
          <w:sz w:val="22"/>
          <w:szCs w:val="22"/>
        </w:rPr>
        <w:t xml:space="preserve"> µm</w:t>
      </w:r>
      <w:r>
        <w:rPr>
          <w:rFonts w:ascii="Arial" w:hAnsi="Arial" w:cs="Arial"/>
          <w:color w:val="000000" w:themeColor="text1"/>
          <w:sz w:val="22"/>
          <w:szCs w:val="22"/>
        </w:rPr>
        <w:t>)</w:t>
      </w:r>
      <w:r w:rsidRPr="00F82F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across lymphoma subtypes. </w:t>
      </w:r>
      <w:r w:rsidRPr="00DB3C0D">
        <w:rPr>
          <w:rFonts w:ascii="Arial" w:hAnsi="Arial" w:cs="Arial"/>
          <w:b/>
          <w:bCs/>
          <w:color w:val="000000" w:themeColor="text1"/>
          <w:sz w:val="22"/>
          <w:szCs w:val="22"/>
        </w:rPr>
        <w:t>E-H.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Representative multiplexed CODEX images of selected markers and corresponding quantitative co-occurrence analyses, illustrating subtype-specific spatial interactions between B cells and indicated immune cell populations.</w:t>
      </w:r>
      <w:r w:rsidRPr="00DB3C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Statistical significance was</w:t>
      </w:r>
      <w:r w:rsidRPr="002B60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assessed</w:t>
      </w:r>
      <w:r w:rsidRPr="002B60D5">
        <w:rPr>
          <w:rFonts w:ascii="Arial" w:hAnsi="Arial" w:cs="Arial"/>
          <w:sz w:val="22"/>
          <w:szCs w:val="22"/>
        </w:rPr>
        <w:t xml:space="preserve"> using the </w:t>
      </w:r>
      <w:r w:rsidRPr="002B60D5">
        <w:rPr>
          <w:rFonts w:ascii="Arial" w:hAnsi="Arial" w:cs="Arial"/>
          <w:color w:val="000000" w:themeColor="text1"/>
          <w:sz w:val="22"/>
          <w:szCs w:val="22"/>
        </w:rPr>
        <w:t xml:space="preserve">Kruskal-Wallis test followed by Dunn's </w:t>
      </w:r>
      <w:r>
        <w:rPr>
          <w:rFonts w:ascii="Arial" w:hAnsi="Arial" w:cs="Arial"/>
          <w:color w:val="000000" w:themeColor="text1"/>
          <w:sz w:val="22"/>
          <w:szCs w:val="22"/>
        </w:rPr>
        <w:t>multiple-comparison</w:t>
      </w:r>
      <w:r w:rsidRPr="002B60D5">
        <w:rPr>
          <w:rFonts w:ascii="Arial" w:hAnsi="Arial" w:cs="Arial"/>
          <w:color w:val="000000" w:themeColor="text1"/>
          <w:sz w:val="22"/>
          <w:szCs w:val="22"/>
        </w:rPr>
        <w:t xml:space="preserve"> test with Benjamini-Hochberg correction</w:t>
      </w:r>
      <w:r w:rsidRPr="002B60D5">
        <w:rPr>
          <w:rFonts w:ascii="Arial" w:hAnsi="Arial" w:cs="Arial"/>
          <w:sz w:val="22"/>
          <w:szCs w:val="22"/>
        </w:rPr>
        <w:t>. *, P &lt; 0.05; **, P &lt; 0.01.</w:t>
      </w:r>
    </w:p>
    <w:p w14:paraId="495C913B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F3C701A" w14:textId="77777777" w:rsidR="00562948" w:rsidRPr="00ED3AEF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9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Spatially resolved cellular communities define Tumor Microenvironment States</w:t>
      </w:r>
      <w:r w:rsidRPr="00D21F4D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A. </w:t>
      </w:r>
      <w:r w:rsidRPr="002B60D5">
        <w:rPr>
          <w:rFonts w:ascii="Arial" w:hAnsi="Arial" w:cs="Arial"/>
          <w:sz w:val="22"/>
          <w:szCs w:val="22"/>
        </w:rPr>
        <w:t xml:space="preserve">Heatmap of normalized mean </w:t>
      </w:r>
      <w:r>
        <w:rPr>
          <w:rFonts w:ascii="Arial" w:hAnsi="Arial" w:cs="Arial"/>
          <w:sz w:val="22"/>
          <w:szCs w:val="22"/>
        </w:rPr>
        <w:t xml:space="preserve">protein </w:t>
      </w:r>
      <w:r w:rsidRPr="002B60D5">
        <w:rPr>
          <w:rFonts w:ascii="Arial" w:hAnsi="Arial" w:cs="Arial"/>
          <w:sz w:val="22"/>
          <w:szCs w:val="22"/>
        </w:rPr>
        <w:t xml:space="preserve">marker expression </w:t>
      </w:r>
      <w:r>
        <w:rPr>
          <w:rFonts w:ascii="Arial" w:hAnsi="Arial" w:cs="Arial"/>
          <w:sz w:val="22"/>
          <w:szCs w:val="22"/>
        </w:rPr>
        <w:t>across</w:t>
      </w:r>
      <w:r w:rsidRPr="002B60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27</w:t>
      </w:r>
      <w:r w:rsidRPr="002B60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spatially defined cellular communities. </w:t>
      </w:r>
      <w:r>
        <w:rPr>
          <w:rFonts w:ascii="Arial" w:hAnsi="Arial" w:cs="Arial"/>
          <w:b/>
          <w:bCs/>
          <w:sz w:val="22"/>
          <w:szCs w:val="22"/>
        </w:rPr>
        <w:t xml:space="preserve">B. </w:t>
      </w:r>
      <w:r>
        <w:rPr>
          <w:rFonts w:ascii="Arial" w:hAnsi="Arial" w:cs="Arial"/>
          <w:color w:val="000000" w:themeColor="text1"/>
          <w:sz w:val="22"/>
          <w:szCs w:val="22"/>
        </w:rPr>
        <w:t>Distribution of cell subtypes across the 27 identified cellular communities.</w:t>
      </w:r>
      <w:r w:rsidRPr="005958A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C. </w:t>
      </w:r>
      <w:r w:rsidRPr="002B60D5">
        <w:rPr>
          <w:rFonts w:ascii="Arial" w:hAnsi="Arial" w:cs="Arial"/>
          <w:sz w:val="22"/>
          <w:szCs w:val="22"/>
        </w:rPr>
        <w:t xml:space="preserve">Heatmap of normalized mean </w:t>
      </w:r>
      <w:r>
        <w:rPr>
          <w:rFonts w:ascii="Arial" w:hAnsi="Arial" w:cs="Arial"/>
          <w:sz w:val="22"/>
          <w:szCs w:val="22"/>
        </w:rPr>
        <w:t xml:space="preserve">protein </w:t>
      </w:r>
      <w:r w:rsidRPr="002B60D5">
        <w:rPr>
          <w:rFonts w:ascii="Arial" w:hAnsi="Arial" w:cs="Arial"/>
          <w:sz w:val="22"/>
          <w:szCs w:val="22"/>
        </w:rPr>
        <w:t>marker expression</w:t>
      </w:r>
      <w:r>
        <w:rPr>
          <w:rFonts w:ascii="Arial" w:hAnsi="Arial" w:cs="Arial"/>
          <w:sz w:val="22"/>
          <w:szCs w:val="22"/>
        </w:rPr>
        <w:t xml:space="preserve"> of T cell subsets within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cellular communities containing at least 1,000 CD4</w:t>
      </w:r>
      <w:r w:rsidRPr="00D75EBF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and 500 CD8</w:t>
      </w:r>
      <w:r w:rsidRPr="002C0E2D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T cells (n=19). </w:t>
      </w:r>
      <w:r>
        <w:rPr>
          <w:rFonts w:ascii="Arial" w:hAnsi="Arial" w:cs="Arial"/>
          <w:b/>
          <w:bCs/>
          <w:sz w:val="22"/>
          <w:szCs w:val="22"/>
        </w:rPr>
        <w:t xml:space="preserve">D. </w:t>
      </w:r>
      <w:r w:rsidRPr="00D75EBF">
        <w:rPr>
          <w:rFonts w:ascii="Arial" w:hAnsi="Arial" w:cs="Arial"/>
          <w:sz w:val="22"/>
          <w:szCs w:val="22"/>
        </w:rPr>
        <w:t xml:space="preserve">Representative </w:t>
      </w:r>
      <w:r>
        <w:rPr>
          <w:rFonts w:ascii="Arial" w:hAnsi="Arial" w:cs="Arial"/>
          <w:sz w:val="22"/>
          <w:szCs w:val="22"/>
        </w:rPr>
        <w:t xml:space="preserve">community maps from FL1-3A, pseudo-colored as indicated; scale bar 100 </w:t>
      </w:r>
      <m:oMath>
        <m:r>
          <w:rPr>
            <w:rFonts w:ascii="Cambria Math" w:hAnsi="Cambria Math" w:cs="Arial"/>
            <w:sz w:val="22"/>
            <w:szCs w:val="22"/>
          </w:rPr>
          <m:t>μ</m:t>
        </m:r>
      </m:oMath>
      <w:r>
        <w:rPr>
          <w:rFonts w:ascii="Arial" w:eastAsiaTheme="minorEastAsia" w:hAnsi="Arial" w:cs="Arial"/>
          <w:sz w:val="22"/>
          <w:szCs w:val="22"/>
        </w:rPr>
        <w:t xml:space="preserve">m. </w:t>
      </w:r>
      <w:r>
        <w:rPr>
          <w:rFonts w:ascii="Arial" w:hAnsi="Arial" w:cs="Arial"/>
          <w:b/>
          <w:bCs/>
          <w:sz w:val="22"/>
          <w:szCs w:val="22"/>
        </w:rPr>
        <w:t xml:space="preserve">E. </w:t>
      </w:r>
      <w:r>
        <w:rPr>
          <w:rFonts w:ascii="Arial" w:hAnsi="Arial" w:cs="Arial"/>
          <w:sz w:val="22"/>
          <w:szCs w:val="22"/>
        </w:rPr>
        <w:t>Representative tonsil tissue with corresponding community maps,</w:t>
      </w:r>
      <w:r w:rsidRPr="00FA10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pseudo-colored as indicated; scale bar 100 </w:t>
      </w:r>
      <m:oMath>
        <m:r>
          <w:rPr>
            <w:rFonts w:ascii="Cambria Math" w:hAnsi="Cambria Math" w:cs="Arial"/>
            <w:sz w:val="22"/>
            <w:szCs w:val="22"/>
          </w:rPr>
          <m:t>μ</m:t>
        </m:r>
      </m:oMath>
      <w:r>
        <w:rPr>
          <w:rFonts w:ascii="Arial" w:eastAsiaTheme="minorEastAsia" w:hAnsi="Arial" w:cs="Arial"/>
          <w:sz w:val="22"/>
          <w:szCs w:val="22"/>
        </w:rPr>
        <w:t>m.</w:t>
      </w:r>
      <w:r w:rsidRPr="00FA10E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F-G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9204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Quantification of the indicated follicular (</w:t>
      </w:r>
      <w:r w:rsidRPr="00550576">
        <w:rPr>
          <w:rFonts w:ascii="Arial" w:hAnsi="Arial" w:cs="Arial"/>
          <w:b/>
          <w:bCs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) and perifollicular (</w:t>
      </w:r>
      <w:r w:rsidRPr="00550576">
        <w:rPr>
          <w:rFonts w:ascii="Arial" w:hAnsi="Arial" w:cs="Arial"/>
          <w:b/>
          <w:bCs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)</w:t>
      </w:r>
      <w:r w:rsidRPr="00D21F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cellular communities</w:t>
      </w:r>
      <w:r>
        <w:rPr>
          <w:rFonts w:ascii="Arial" w:hAnsi="Arial" w:cs="Arial"/>
          <w:sz w:val="22"/>
          <w:szCs w:val="22"/>
        </w:rPr>
        <w:t xml:space="preserve"> across FL1-3A, FL3B,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DLBCL (GCB and ABC subtypes) and tonsil samples.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H-I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2C0E2D">
        <w:rPr>
          <w:rFonts w:ascii="Arial" w:hAnsi="Arial" w:cs="Arial"/>
          <w:sz w:val="22"/>
          <w:szCs w:val="22"/>
        </w:rPr>
        <w:t xml:space="preserve">Representative </w:t>
      </w:r>
      <w:r>
        <w:rPr>
          <w:rFonts w:ascii="Arial" w:hAnsi="Arial" w:cs="Arial"/>
          <w:sz w:val="22"/>
          <w:szCs w:val="22"/>
        </w:rPr>
        <w:t>community maps from FL3B (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) and GCB DLBCL (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), pseudo-colored as indicated; scale bar 100 </w:t>
      </w:r>
      <m:oMath>
        <m:r>
          <w:rPr>
            <w:rFonts w:ascii="Cambria Math" w:hAnsi="Cambria Math" w:cs="Arial"/>
            <w:sz w:val="22"/>
            <w:szCs w:val="22"/>
          </w:rPr>
          <m:t>μ</m:t>
        </m:r>
      </m:oMath>
      <w:r>
        <w:rPr>
          <w:rFonts w:ascii="Arial" w:eastAsiaTheme="minorEastAsia" w:hAnsi="Arial" w:cs="Arial"/>
          <w:sz w:val="22"/>
          <w:szCs w:val="22"/>
        </w:rPr>
        <w:t xml:space="preserve">m.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J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9204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Quantification of the indicated extrafollicular </w:t>
      </w:r>
      <w:r>
        <w:rPr>
          <w:rFonts w:ascii="Arial" w:hAnsi="Arial" w:cs="Arial"/>
          <w:color w:val="000000" w:themeColor="text1"/>
          <w:sz w:val="22"/>
          <w:szCs w:val="22"/>
        </w:rPr>
        <w:t>cellular communities</w:t>
      </w:r>
      <w:r>
        <w:rPr>
          <w:rFonts w:ascii="Arial" w:hAnsi="Arial" w:cs="Arial"/>
          <w:sz w:val="22"/>
          <w:szCs w:val="22"/>
        </w:rPr>
        <w:t xml:space="preserve"> across FL1-3A, FL3B,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DLBCL (GCB and ABC subtypes) and tonsil samples.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K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2C0E2D">
        <w:rPr>
          <w:rFonts w:ascii="Arial" w:hAnsi="Arial" w:cs="Arial"/>
          <w:sz w:val="22"/>
          <w:szCs w:val="22"/>
        </w:rPr>
        <w:t xml:space="preserve">Representative </w:t>
      </w:r>
      <w:r>
        <w:rPr>
          <w:rFonts w:ascii="Arial" w:hAnsi="Arial" w:cs="Arial"/>
          <w:sz w:val="22"/>
          <w:szCs w:val="22"/>
        </w:rPr>
        <w:t xml:space="preserve">community maps from ABC DLBCL, pseudo-colored as indicated, </w:t>
      </w:r>
      <w:r>
        <w:rPr>
          <w:rFonts w:ascii="Arial" w:hAnsi="Arial" w:cs="Arial"/>
          <w:sz w:val="22"/>
          <w:szCs w:val="22"/>
        </w:rPr>
        <w:lastRenderedPageBreak/>
        <w:t xml:space="preserve">scale bar 100 </w:t>
      </w:r>
      <m:oMath>
        <m:r>
          <w:rPr>
            <w:rFonts w:ascii="Cambria Math" w:hAnsi="Cambria Math" w:cs="Arial"/>
            <w:sz w:val="22"/>
            <w:szCs w:val="22"/>
          </w:rPr>
          <m:t>μ</m:t>
        </m:r>
      </m:oMath>
      <w:r>
        <w:rPr>
          <w:rFonts w:ascii="Arial" w:eastAsiaTheme="minorEastAsia" w:hAnsi="Arial" w:cs="Arial"/>
          <w:sz w:val="22"/>
          <w:szCs w:val="22"/>
        </w:rPr>
        <w:t xml:space="preserve">m. </w:t>
      </w:r>
      <w:r w:rsidRPr="00ED3AE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L-M. </w:t>
      </w:r>
      <w:r w:rsidRPr="00ED3AEF">
        <w:rPr>
          <w:rFonts w:ascii="Arial" w:hAnsi="Arial" w:cs="Arial"/>
          <w:color w:val="000000" w:themeColor="text1"/>
          <w:sz w:val="22"/>
          <w:szCs w:val="22"/>
        </w:rPr>
        <w:t>Kaplan-Meier curves of EFS (</w:t>
      </w:r>
      <w:r w:rsidRPr="00ED3AEF">
        <w:rPr>
          <w:rFonts w:ascii="Arial" w:hAnsi="Arial" w:cs="Arial"/>
          <w:b/>
          <w:bCs/>
          <w:color w:val="000000" w:themeColor="text1"/>
          <w:sz w:val="22"/>
          <w:szCs w:val="22"/>
        </w:rPr>
        <w:t>L</w:t>
      </w:r>
      <w:r w:rsidRPr="00ED3AEF">
        <w:rPr>
          <w:rFonts w:ascii="Arial" w:hAnsi="Arial" w:cs="Arial"/>
          <w:color w:val="000000" w:themeColor="text1"/>
          <w:sz w:val="22"/>
          <w:szCs w:val="22"/>
        </w:rPr>
        <w:t>) and OS (</w:t>
      </w:r>
      <w:r w:rsidRPr="00ED3AEF">
        <w:rPr>
          <w:rFonts w:ascii="Arial" w:hAnsi="Arial" w:cs="Arial"/>
          <w:b/>
          <w:bCs/>
          <w:color w:val="000000" w:themeColor="text1"/>
          <w:sz w:val="22"/>
          <w:szCs w:val="22"/>
        </w:rPr>
        <w:t>M</w:t>
      </w:r>
      <w:r w:rsidRPr="00ED3AEF">
        <w:rPr>
          <w:rFonts w:ascii="Arial" w:hAnsi="Arial" w:cs="Arial"/>
          <w:color w:val="000000" w:themeColor="text1"/>
          <w:sz w:val="22"/>
          <w:szCs w:val="22"/>
        </w:rPr>
        <w:t>) in FL and DLBCL patients stratified by the indicated cellular communities.</w:t>
      </w:r>
    </w:p>
    <w:p w14:paraId="4CA59652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784B1D1" w14:textId="77777777" w:rsidR="00562948" w:rsidRPr="002D26D5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Figure 10. Malignant B-cell differentiation states shape the lymphoma microenvironment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02102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in vivo</w:t>
      </w: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A. 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>Experimental schema and lymphomagenesis timeline for panels (</w:t>
      </w: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>B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>) to (</w:t>
      </w: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>N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>B.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 xml:space="preserve"> Representative flow cytometry (FC) plots and quantification of plasma cells (PCs) and memory B cells (MBCs) in lymphoma-bearing mice and controls with intact or deleted IRF4 from (</w:t>
      </w: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>. Bar graph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 xml:space="preserve"> showing B-cell VDJ clonality in IRF4-deficient </w:t>
      </w:r>
      <w:r w:rsidRPr="002D26D5">
        <w:rPr>
          <w:rFonts w:ascii="Arial" w:hAnsi="Arial" w:cs="Arial"/>
          <w:sz w:val="22"/>
          <w:szCs w:val="22"/>
        </w:rPr>
        <w:t xml:space="preserve">vs wild-type 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 xml:space="preserve">(WT) mice. </w:t>
      </w: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>D.</w:t>
      </w:r>
      <w:r w:rsidRPr="002D26D5">
        <w:rPr>
          <w:rFonts w:ascii="Arial" w:hAnsi="Arial" w:cs="Arial"/>
          <w:sz w:val="22"/>
          <w:szCs w:val="22"/>
        </w:rPr>
        <w:t xml:space="preserve"> Comparison of malignant B-cell subset composition between 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 xml:space="preserve">IRF4-deficient </w:t>
      </w:r>
      <w:r w:rsidRPr="002D26D5">
        <w:rPr>
          <w:rFonts w:ascii="Arial" w:hAnsi="Arial" w:cs="Arial"/>
          <w:sz w:val="22"/>
          <w:szCs w:val="22"/>
        </w:rPr>
        <w:t xml:space="preserve">and WT 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>mice</w:t>
      </w:r>
      <w:r w:rsidRPr="002D26D5">
        <w:rPr>
          <w:rFonts w:ascii="Arial" w:hAnsi="Arial" w:cs="Arial"/>
          <w:sz w:val="22"/>
          <w:szCs w:val="22"/>
        </w:rPr>
        <w:t xml:space="preserve">. </w:t>
      </w:r>
      <w:r w:rsidRPr="002D26D5">
        <w:rPr>
          <w:rFonts w:ascii="Arial" w:hAnsi="Arial" w:cs="Arial"/>
          <w:b/>
          <w:bCs/>
          <w:sz w:val="22"/>
          <w:szCs w:val="22"/>
        </w:rPr>
        <w:t>E.</w:t>
      </w:r>
      <w:r w:rsidRPr="002D26D5">
        <w:rPr>
          <w:rFonts w:ascii="Arial" w:hAnsi="Arial" w:cs="Arial"/>
          <w:sz w:val="22"/>
          <w:szCs w:val="22"/>
        </w:rPr>
        <w:t xml:space="preserve"> Bubble plot showing gene set enrichment analysis (GSEA) of malignant B-cell clusters in 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 xml:space="preserve">IRF4-deficient </w:t>
      </w:r>
      <w:r w:rsidRPr="002D26D5">
        <w:rPr>
          <w:rFonts w:ascii="Arial" w:hAnsi="Arial" w:cs="Arial"/>
          <w:sz w:val="22"/>
          <w:szCs w:val="22"/>
        </w:rPr>
        <w:t xml:space="preserve">vs 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>WT mice</w:t>
      </w:r>
      <w:r w:rsidRPr="002D26D5">
        <w:rPr>
          <w:rFonts w:ascii="Arial" w:hAnsi="Arial" w:cs="Arial"/>
          <w:sz w:val="22"/>
          <w:szCs w:val="22"/>
        </w:rPr>
        <w:t>. Circle color indicates average expression level; circle size reflects statistical significance.</w:t>
      </w: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F-G.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 xml:space="preserve"> Representative FC plots (</w:t>
      </w: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>F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>) and quantification (</w:t>
      </w: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>G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 xml:space="preserve">) of indicated immune cell populations in IRF4-deficient </w:t>
      </w:r>
      <w:r w:rsidRPr="002D26D5">
        <w:rPr>
          <w:rFonts w:ascii="Arial" w:hAnsi="Arial" w:cs="Arial"/>
          <w:sz w:val="22"/>
          <w:szCs w:val="22"/>
        </w:rPr>
        <w:t xml:space="preserve">vs 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>WT mice from (</w:t>
      </w: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  <w:r w:rsidRPr="002D26D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H. 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>Bubble plot showing the proportion of immune clusters expressing marker genes (circle size) and their average expression levels (circle color).</w:t>
      </w:r>
      <w:r w:rsidRPr="002D26D5">
        <w:rPr>
          <w:rFonts w:ascii="Arial" w:hAnsi="Arial" w:cs="Arial"/>
          <w:b/>
          <w:bCs/>
          <w:sz w:val="22"/>
          <w:szCs w:val="22"/>
        </w:rPr>
        <w:t xml:space="preserve"> I.</w:t>
      </w:r>
      <w:r w:rsidRPr="002D26D5">
        <w:rPr>
          <w:rFonts w:ascii="Arial" w:hAnsi="Arial" w:cs="Arial"/>
          <w:sz w:val="22"/>
          <w:szCs w:val="22"/>
        </w:rPr>
        <w:t xml:space="preserve"> Ligand</w:t>
      </w:r>
      <w:r>
        <w:rPr>
          <w:rFonts w:ascii="Arial" w:hAnsi="Arial" w:cs="Arial"/>
          <w:sz w:val="22"/>
          <w:szCs w:val="22"/>
        </w:rPr>
        <w:t>-</w:t>
      </w:r>
      <w:r w:rsidRPr="002D26D5">
        <w:rPr>
          <w:rFonts w:ascii="Arial" w:hAnsi="Arial" w:cs="Arial"/>
          <w:sz w:val="22"/>
          <w:szCs w:val="22"/>
        </w:rPr>
        <w:t>receptor interaction analysis between immune clusters and malignant MBCs; dot color indicates interaction probability, and absence of dot indicates no detectable interaction.</w:t>
      </w:r>
      <w:r w:rsidRPr="002D26D5">
        <w:rPr>
          <w:rFonts w:ascii="Arial" w:hAnsi="Arial" w:cs="Arial"/>
          <w:b/>
          <w:bCs/>
          <w:sz w:val="22"/>
          <w:szCs w:val="22"/>
        </w:rPr>
        <w:t xml:space="preserve"> L.</w:t>
      </w:r>
      <w:r w:rsidRPr="002D26D5">
        <w:rPr>
          <w:rFonts w:ascii="Arial" w:hAnsi="Arial" w:cs="Arial"/>
          <w:sz w:val="22"/>
          <w:szCs w:val="22"/>
        </w:rPr>
        <w:t xml:space="preserve"> Cell-cell interaction strength (top) and number (bottom) between immune clusters and malignant dark zone (DZ) cells in 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 xml:space="preserve">IRF4-deficient </w:t>
      </w:r>
      <w:r w:rsidRPr="002D26D5">
        <w:rPr>
          <w:rFonts w:ascii="Arial" w:hAnsi="Arial" w:cs="Arial"/>
          <w:sz w:val="22"/>
          <w:szCs w:val="22"/>
        </w:rPr>
        <w:t>(red) and WT (blue) mice.</w:t>
      </w:r>
      <w:r w:rsidRPr="002D26D5">
        <w:rPr>
          <w:rFonts w:ascii="Arial" w:hAnsi="Arial" w:cs="Arial"/>
          <w:b/>
          <w:bCs/>
          <w:sz w:val="22"/>
          <w:szCs w:val="22"/>
        </w:rPr>
        <w:t xml:space="preserve"> M.</w:t>
      </w:r>
      <w:r w:rsidRPr="002D26D5">
        <w:rPr>
          <w:rFonts w:ascii="Arial" w:hAnsi="Arial" w:cs="Arial"/>
          <w:sz w:val="22"/>
          <w:szCs w:val="22"/>
        </w:rPr>
        <w:t xml:space="preserve"> Ligand-receptor interaction analysis between immune clusters and malignant DZ cells; dot color indicates interaction probability, and absence of dot indicates no detectable interaction.</w:t>
      </w:r>
      <w:r w:rsidRPr="002D26D5">
        <w:rPr>
          <w:rFonts w:ascii="Arial" w:hAnsi="Arial" w:cs="Arial"/>
          <w:b/>
          <w:bCs/>
          <w:sz w:val="22"/>
          <w:szCs w:val="22"/>
        </w:rPr>
        <w:t xml:space="preserve"> N.</w:t>
      </w:r>
      <w:r w:rsidRPr="002D26D5">
        <w:rPr>
          <w:rFonts w:ascii="Arial" w:hAnsi="Arial" w:cs="Arial"/>
          <w:sz w:val="22"/>
          <w:szCs w:val="22"/>
        </w:rPr>
        <w:t xml:space="preserve"> Inferred incoming (left) and outgoing (right) signaling activity of selected pathways across immune clusters and malignant DZ cells in 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 xml:space="preserve">IRF4-deficient </w:t>
      </w:r>
      <w:r w:rsidRPr="002D26D5">
        <w:rPr>
          <w:rFonts w:ascii="Arial" w:hAnsi="Arial" w:cs="Arial"/>
          <w:sz w:val="22"/>
          <w:szCs w:val="22"/>
        </w:rPr>
        <w:t xml:space="preserve">(right) and WT (left) mice. </w:t>
      </w:r>
      <w:r w:rsidRPr="002D26D5">
        <w:rPr>
          <w:rFonts w:ascii="Arial" w:hAnsi="Arial" w:cs="Arial"/>
          <w:color w:val="000000" w:themeColor="text1"/>
          <w:sz w:val="22"/>
          <w:szCs w:val="22"/>
        </w:rPr>
        <w:t>Statistical significance was assessed using the Kruskal-Wallis test followed by Dunn's multiple-comparison test with Benjamini-Hochberg correction. *, P &lt; 0.05; **, P &lt; 0.05</w:t>
      </w:r>
      <w:r w:rsidRPr="002D26D5">
        <w:rPr>
          <w:rFonts w:ascii="Arial" w:hAnsi="Arial" w:cs="Arial"/>
          <w:sz w:val="22"/>
          <w:szCs w:val="22"/>
        </w:rPr>
        <w:t>.</w:t>
      </w:r>
    </w:p>
    <w:p w14:paraId="08A6533B" w14:textId="77777777" w:rsidR="00562948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FD3A9AA" w14:textId="77777777" w:rsidR="00562948" w:rsidRPr="00390D0D" w:rsidRDefault="00562948" w:rsidP="00562948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11</w:t>
      </w:r>
      <w:r w:rsidRPr="006A244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Schematic model of TME evolution. </w:t>
      </w:r>
      <w:r>
        <w:rPr>
          <w:rFonts w:ascii="Arial" w:hAnsi="Arial" w:cs="Arial"/>
          <w:color w:val="000000" w:themeColor="text1"/>
          <w:sz w:val="22"/>
          <w:szCs w:val="22"/>
        </w:rPr>
        <w:t>Conceptual model</w:t>
      </w:r>
      <w:r w:rsidRPr="005C1B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illustrating</w:t>
      </w:r>
      <w:r w:rsidRPr="005C1B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tumor microenvironment (TME) evolution </w:t>
      </w:r>
      <w:r w:rsidRPr="005C1B3E">
        <w:rPr>
          <w:rFonts w:ascii="Arial" w:hAnsi="Arial" w:cs="Arial"/>
          <w:color w:val="000000" w:themeColor="text1"/>
          <w:sz w:val="22"/>
          <w:szCs w:val="22"/>
        </w:rPr>
        <w:t xml:space="preserve">based on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Pr="005C1B3E">
        <w:rPr>
          <w:rFonts w:ascii="Arial" w:hAnsi="Arial" w:cs="Arial"/>
          <w:color w:val="000000" w:themeColor="text1"/>
          <w:sz w:val="22"/>
          <w:szCs w:val="22"/>
        </w:rPr>
        <w:t xml:space="preserve">germinal center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B </w:t>
      </w:r>
      <w:r w:rsidRPr="005C1B3E">
        <w:rPr>
          <w:rFonts w:ascii="Arial" w:hAnsi="Arial" w:cs="Arial"/>
          <w:color w:val="000000" w:themeColor="text1"/>
          <w:sz w:val="22"/>
          <w:szCs w:val="22"/>
        </w:rPr>
        <w:t>cell</w:t>
      </w:r>
      <w:r>
        <w:rPr>
          <w:rFonts w:ascii="Arial" w:hAnsi="Arial" w:cs="Arial"/>
          <w:color w:val="000000" w:themeColor="text1"/>
          <w:sz w:val="22"/>
          <w:szCs w:val="22"/>
        </w:rPr>
        <w:t>-</w:t>
      </w:r>
      <w:r w:rsidRPr="005C1B3E">
        <w:rPr>
          <w:rFonts w:ascii="Arial" w:hAnsi="Arial" w:cs="Arial"/>
          <w:color w:val="000000" w:themeColor="text1"/>
          <w:sz w:val="22"/>
          <w:szCs w:val="22"/>
        </w:rPr>
        <w:t>of</w:t>
      </w:r>
      <w:r>
        <w:rPr>
          <w:rFonts w:ascii="Arial" w:hAnsi="Arial" w:cs="Arial"/>
          <w:color w:val="000000" w:themeColor="text1"/>
          <w:sz w:val="22"/>
          <w:szCs w:val="22"/>
        </w:rPr>
        <w:t>-</w:t>
      </w:r>
      <w:r w:rsidRPr="005C1B3E">
        <w:rPr>
          <w:rFonts w:ascii="Arial" w:hAnsi="Arial" w:cs="Arial"/>
          <w:color w:val="000000" w:themeColor="text1"/>
          <w:sz w:val="22"/>
          <w:szCs w:val="22"/>
        </w:rPr>
        <w:t>origin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Memory B cells (MBC)-like states are associated with the development of an </w:t>
      </w:r>
      <w:r w:rsidRPr="00D21F4D">
        <w:rPr>
          <w:rFonts w:ascii="Arial" w:hAnsi="Arial" w:cs="Arial"/>
          <w:color w:val="000000" w:themeColor="text1"/>
          <w:sz w:val="22"/>
          <w:szCs w:val="22"/>
        </w:rPr>
        <w:t>immune-enriched</w:t>
      </w:r>
      <w:r>
        <w:rPr>
          <w:rFonts w:ascii="Arial" w:hAnsi="Arial" w:cs="Arial"/>
          <w:color w:val="000000" w:themeColor="text1"/>
          <w:sz w:val="22"/>
          <w:szCs w:val="22"/>
        </w:rPr>
        <w:t>, exhausted microenvironment (TME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h</w:t>
      </w:r>
      <w:r w:rsidRPr="005C1B3E">
        <w:rPr>
          <w:rFonts w:ascii="Arial" w:hAnsi="Arial" w:cs="Arial"/>
          <w:color w:val="000000" w:themeColor="text1"/>
          <w:sz w:val="22"/>
          <w:szCs w:val="22"/>
          <w:vertAlign w:val="superscript"/>
        </w:rPr>
        <w:t>o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), whereas dark zone (DZ)-like B cell states preferentially give rise to an </w:t>
      </w:r>
      <w:r w:rsidRPr="00D21F4D">
        <w:rPr>
          <w:rFonts w:ascii="Arial" w:hAnsi="Arial" w:cs="Arial"/>
          <w:color w:val="000000" w:themeColor="text1"/>
          <w:sz w:val="22"/>
          <w:szCs w:val="22"/>
        </w:rPr>
        <w:t>immune</w:t>
      </w:r>
      <w:r>
        <w:rPr>
          <w:rFonts w:ascii="Arial" w:hAnsi="Arial" w:cs="Arial"/>
          <w:color w:val="000000" w:themeColor="text1"/>
          <w:sz w:val="22"/>
          <w:szCs w:val="22"/>
        </w:rPr>
        <w:t>-</w:t>
      </w:r>
      <w:r w:rsidRPr="00D21F4D">
        <w:rPr>
          <w:rFonts w:ascii="Arial" w:hAnsi="Arial" w:cs="Arial"/>
          <w:color w:val="000000" w:themeColor="text1"/>
          <w:sz w:val="22"/>
          <w:szCs w:val="22"/>
        </w:rPr>
        <w:t>depleted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microenvironment (TME</w:t>
      </w:r>
      <w:r w:rsidRPr="00E84DB4">
        <w:rPr>
          <w:rFonts w:ascii="Arial" w:hAnsi="Arial" w:cs="Arial"/>
          <w:color w:val="000000" w:themeColor="text1"/>
          <w:sz w:val="22"/>
          <w:szCs w:val="22"/>
          <w:vertAlign w:val="superscript"/>
        </w:rPr>
        <w:t>cold</w:t>
      </w:r>
      <w:r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2620D78B" w14:textId="77777777" w:rsidR="00562948" w:rsidRDefault="00562948" w:rsidP="0056294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4F9C1D7" w14:textId="77777777" w:rsidR="00562948" w:rsidRDefault="00562948" w:rsidP="0056294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C8E46D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48"/>
    <w:rsid w:val="0008427B"/>
    <w:rsid w:val="000C4033"/>
    <w:rsid w:val="00173ED8"/>
    <w:rsid w:val="002F50B1"/>
    <w:rsid w:val="004B42CB"/>
    <w:rsid w:val="00562948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25260"/>
  <w15:chartTrackingRefBased/>
  <w15:docId w15:val="{AFEF547C-3B26-4B54-ADB5-9D9FD865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948"/>
    <w:pPr>
      <w:spacing w:after="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29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9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94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94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94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94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94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94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94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9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9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9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2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94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2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94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2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948"/>
    <w:pPr>
      <w:spacing w:after="160"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29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9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9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2110</Words>
  <Characters>12027</Characters>
  <Application>Microsoft Office Word</Application>
  <DocSecurity>0</DocSecurity>
  <Lines>100</Lines>
  <Paragraphs>28</Paragraphs>
  <ScaleCrop>false</ScaleCrop>
  <Company/>
  <LinksUpToDate>false</LinksUpToDate>
  <CharactersWithSpaces>14109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2026-08-03T05:36:00Z</dcterms:created>
  <dcterms:modified xsi:type="dcterms:W3CDTF">2026-08-03T05:36:00Z</dcterms:modified>
</cp:coreProperties>
</file>