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1CA79" w14:textId="77777777" w:rsidR="00721761" w:rsidRDefault="00721761" w:rsidP="00721761">
      <w:pPr>
        <w:pStyle w:val="Heading1"/>
      </w:pPr>
      <w:r>
        <w:rPr>
          <w:color w:val="000000"/>
        </w:rPr>
        <w:t>9 Supplementary information</w:t>
      </w:r>
    </w:p>
    <w:p w14:paraId="1D914F56" w14:textId="77777777" w:rsidR="00721761" w:rsidRDefault="00721761" w:rsidP="00721761">
      <w:pPr>
        <w:jc w:val="both"/>
      </w:pPr>
      <w:r>
        <w:rPr>
          <w:color w:val="000000"/>
        </w:rPr>
        <w:t>Online Resource 1 Supplementary figures S1–S10 (PDF)</w:t>
      </w:r>
    </w:p>
    <w:p w14:paraId="6A9D65BD" w14:textId="77777777" w:rsidR="00721761" w:rsidRDefault="00721761" w:rsidP="00721761">
      <w:pPr>
        <w:jc w:val="both"/>
      </w:pPr>
      <w:r>
        <w:rPr>
          <w:color w:val="000000"/>
        </w:rPr>
        <w:t>Online Resource 2 Supplementary Tables S1–S25 (Excel workbook)</w:t>
      </w:r>
    </w:p>
    <w:p w14:paraId="3354F926" w14:textId="77777777" w:rsidR="00721761" w:rsidRDefault="00721761" w:rsidP="00721761">
      <w:pPr>
        <w:jc w:val="both"/>
      </w:pPr>
      <w:r>
        <w:rPr>
          <w:color w:val="000000"/>
        </w:rPr>
        <w:t>Online Resource 3 Macrophage RcppML NMF source data (Excel workbook)</w:t>
      </w:r>
    </w:p>
    <w:p w14:paraId="5DE6F973" w14:textId="77777777" w:rsidR="00721761" w:rsidRDefault="00721761" w:rsidP="00721761">
      <w:pPr>
        <w:jc w:val="both"/>
      </w:pPr>
      <w:r>
        <w:rPr>
          <w:color w:val="000000"/>
        </w:rPr>
        <w:t>Online Resource 4 Spatial-transcriptomic statistics and source data (Excel workbook)</w:t>
      </w:r>
    </w:p>
    <w:p w14:paraId="00FC9808" w14:textId="77777777" w:rsidR="00721761" w:rsidRDefault="00721761" w:rsidP="00721761">
      <w:pPr>
        <w:pStyle w:val="Heading1"/>
        <w:pageBreakBefore/>
      </w:pPr>
      <w:r>
        <w:rPr>
          <w:color w:val="000000"/>
        </w:rPr>
        <w:lastRenderedPageBreak/>
        <w:t>10 Supplementary table captions</w:t>
      </w:r>
    </w:p>
    <w:p w14:paraId="756129EB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S1. Cohort quality control. </w:t>
      </w:r>
      <w:r>
        <w:rPr>
          <w:color w:val="000000"/>
        </w:rPr>
        <w:t>Cell counts retained across the GSE225857 quality-control workflow.</w:t>
      </w:r>
    </w:p>
    <w:p w14:paraId="2B92135C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S2. Major-cell composition. </w:t>
      </w:r>
      <w:r>
        <w:rPr>
          <w:color w:val="000000"/>
        </w:rPr>
        <w:t>Major-cell counts and proportions for every biological sample unit, including zero-filled compartments.</w:t>
      </w:r>
    </w:p>
    <w:p w14:paraId="1DFD8086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S3. Major-cell statistical comparisons. </w:t>
      </w:r>
      <w:r>
        <w:rPr>
          <w:color w:val="000000"/>
        </w:rPr>
        <w:t>Sample-level group comparisons with multiple-testing correction.</w:t>
      </w:r>
    </w:p>
    <w:p w14:paraId="21384ED4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S4. CopyKAT summary. </w:t>
      </w:r>
      <w:r>
        <w:rPr>
          <w:color w:val="000000"/>
        </w:rPr>
        <w:t>Per-sample CopyKAT run status and epithelial-cell prediction counts.</w:t>
      </w:r>
    </w:p>
    <w:p w14:paraId="0834CCB2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S5. cNMF rank selection. </w:t>
      </w:r>
      <w:r>
        <w:rPr>
          <w:color w:val="000000"/>
        </w:rPr>
        <w:t>Consensus stability and reconstruction diagnostics across cNMF ranks.</w:t>
      </w:r>
    </w:p>
    <w:p w14:paraId="6C9D8C8C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S6. cNMF sample composition. </w:t>
      </w:r>
      <w:r>
        <w:rPr>
          <w:color w:val="000000"/>
        </w:rPr>
        <w:t>Three-state cNMF composition for each malignant epithelial sample.</w:t>
      </w:r>
    </w:p>
    <w:p w14:paraId="7325C66D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S7. Program 8 sensitivity analysis. </w:t>
      </w:r>
      <w:r>
        <w:rPr>
          <w:color w:val="000000"/>
        </w:rPr>
        <w:t>Integrated evidence for the sample-restricted tuft/chemosensory component of program 8.</w:t>
      </w:r>
    </w:p>
    <w:p w14:paraId="0B3A2F46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S8. cNMF functional enrichment. </w:t>
      </w:r>
      <w:r>
        <w:rPr>
          <w:color w:val="000000"/>
        </w:rPr>
        <w:t>Representative enrichment terms used to name and interpret C1-C3.</w:t>
      </w:r>
    </w:p>
    <w:p w14:paraId="523444A7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S9. SCENIC regulons. </w:t>
      </w:r>
      <w:r>
        <w:rPr>
          <w:color w:val="000000"/>
        </w:rPr>
        <w:t>Top regulons per cNMF state with cell-level statistics and sample-support annotations.</w:t>
      </w:r>
    </w:p>
    <w:p w14:paraId="3A3AABA9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S10. SCENIC sensitivity analysis. </w:t>
      </w:r>
      <w:r>
        <w:rPr>
          <w:color w:val="000000"/>
        </w:rPr>
        <w:t>Top-regulon overlap between de novo and legacy SCENIC networks.</w:t>
      </w:r>
    </w:p>
    <w:p w14:paraId="77D848EF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S11. Pseudotime distribution. </w:t>
      </w:r>
      <w:r>
        <w:rPr>
          <w:color w:val="000000"/>
        </w:rPr>
        <w:t>Patient-aligned Monocle3 pseudotime distribution for C1-C3.</w:t>
      </w:r>
    </w:p>
    <w:p w14:paraId="3F72F129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S12. GeneSwitches results. </w:t>
      </w:r>
      <w:r>
        <w:rPr>
          <w:color w:val="000000"/>
        </w:rPr>
        <w:t>High-confidence dynamic genes identified along patient-aligned pseudotime.</w:t>
      </w:r>
    </w:p>
    <w:p w14:paraId="379A80F2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S13. Malignant-state RFS analysis. </w:t>
      </w:r>
      <w:r>
        <w:rPr>
          <w:color w:val="000000"/>
        </w:rPr>
        <w:t>TCGA recurrence-free-survival associations for the three malignant epithelial state signatures.</w:t>
      </w:r>
    </w:p>
    <w:p w14:paraId="3D518F98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S14. Fibroblast sample composition. </w:t>
      </w:r>
      <w:r>
        <w:rPr>
          <w:color w:val="000000"/>
        </w:rPr>
        <w:t>Fibroblast subtype composition per biological sample.</w:t>
      </w:r>
    </w:p>
    <w:p w14:paraId="7CFE7F39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S15. Endothelial sample composition. </w:t>
      </w:r>
      <w:r>
        <w:rPr>
          <w:color w:val="000000"/>
        </w:rPr>
        <w:t>Endothelial subtype composition per biological sample.</w:t>
      </w:r>
    </w:p>
    <w:p w14:paraId="4A63B913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S16. CellChat C3-stromal interactions. </w:t>
      </w:r>
      <w:r>
        <w:rPr>
          <w:color w:val="000000"/>
        </w:rPr>
        <w:t>Direction-resolved CellChat ligand-receptor records linking C3, Fib-</w:t>
      </w:r>
      <w:r>
        <w:rPr>
          <w:i/>
          <w:color w:val="000000"/>
        </w:rPr>
        <w:t>COL10A1</w:t>
      </w:r>
      <w:r>
        <w:rPr>
          <w:color w:val="000000"/>
        </w:rPr>
        <w:t xml:space="preserve"> and Endo-</w:t>
      </w:r>
      <w:r>
        <w:rPr>
          <w:i/>
          <w:color w:val="000000"/>
        </w:rPr>
        <w:t>GJA5</w:t>
      </w:r>
      <w:r>
        <w:rPr>
          <w:color w:val="000000"/>
        </w:rPr>
        <w:t>.</w:t>
      </w:r>
    </w:p>
    <w:p w14:paraId="6EBFE20B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>Table S17. CellChat C3-</w:t>
      </w:r>
      <w:r>
        <w:rPr>
          <w:b/>
          <w:i/>
          <w:color w:val="000000"/>
        </w:rPr>
        <w:t>CTSL</w:t>
      </w:r>
      <w:r>
        <w:rPr>
          <w:b/>
          <w:color w:val="000000"/>
        </w:rPr>
        <w:t xml:space="preserve"> interactions. </w:t>
      </w:r>
      <w:r>
        <w:rPr>
          <w:color w:val="000000"/>
        </w:rPr>
        <w:t xml:space="preserve">Direction-resolved CellChat ligand-receptor records between C3 and the </w:t>
      </w:r>
      <w:r>
        <w:rPr>
          <w:i/>
          <w:color w:val="000000"/>
        </w:rPr>
        <w:t>CTSL</w:t>
      </w:r>
      <w:r>
        <w:rPr>
          <w:color w:val="000000"/>
        </w:rPr>
        <w:t xml:space="preserve"> macrophage program.</w:t>
      </w:r>
    </w:p>
    <w:p w14:paraId="524FBF86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S18. NicheNet target overlap. </w:t>
      </w:r>
      <w:r>
        <w:rPr>
          <w:color w:val="000000"/>
        </w:rPr>
        <w:t>Shared fibroblast- and endothelial-predicted C3 target program.</w:t>
      </w:r>
    </w:p>
    <w:p w14:paraId="58735783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S19. TCGA RFS Cox model. </w:t>
      </w:r>
      <w:r>
        <w:rPr>
          <w:color w:val="000000"/>
        </w:rPr>
        <w:t>Multivariable TCGA RFS model including the four-gene risk group and clinical covariates.</w:t>
      </w:r>
    </w:p>
    <w:p w14:paraId="5BF122A4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S20. External RFS validation. </w:t>
      </w:r>
      <w:r>
        <w:rPr>
          <w:color w:val="000000"/>
        </w:rPr>
        <w:t>Locked four-gene RFS validation in GSE39582, including sensitivity analyses.</w:t>
      </w:r>
    </w:p>
    <w:p w14:paraId="4CCAD68D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S21. Virtual-knockout overlap. </w:t>
      </w:r>
      <w:r>
        <w:rPr>
          <w:color w:val="000000"/>
        </w:rPr>
        <w:t xml:space="preserve">Cross-target consensus overlap and reproducibility summary for virtual </w:t>
      </w:r>
      <w:r>
        <w:rPr>
          <w:i/>
          <w:color w:val="000000"/>
        </w:rPr>
        <w:t>CST6</w:t>
      </w:r>
      <w:r>
        <w:rPr>
          <w:color w:val="000000"/>
        </w:rPr>
        <w:t xml:space="preserve"> and </w:t>
      </w:r>
      <w:r>
        <w:rPr>
          <w:i/>
          <w:color w:val="000000"/>
        </w:rPr>
        <w:t>LBH</w:t>
      </w:r>
      <w:r>
        <w:rPr>
          <w:color w:val="000000"/>
        </w:rPr>
        <w:t xml:space="preserve"> knockout.</w:t>
      </w:r>
    </w:p>
    <w:p w14:paraId="1C95CB6C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S22. LINCS compound summary. </w:t>
      </w:r>
      <w:r>
        <w:rPr>
          <w:color w:val="000000"/>
        </w:rPr>
        <w:t>Compound-level LINCS L1000 reversal summary for 219 candidates with at least one FDR-supported profile.</w:t>
      </w:r>
    </w:p>
    <w:p w14:paraId="39A9ACCD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S23. LINCS HT29 profiles. </w:t>
      </w:r>
      <w:r>
        <w:rPr>
          <w:color w:val="000000"/>
        </w:rPr>
        <w:t>HT29 profile-level LINCS L1000 reversal results supporting colorectal-context prioritization.</w:t>
      </w:r>
    </w:p>
    <w:p w14:paraId="3D5701A6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lastRenderedPageBreak/>
        <w:t xml:space="preserve">Table S24. Docking summary. </w:t>
      </w:r>
      <w:r>
        <w:rPr>
          <w:color w:val="000000"/>
        </w:rPr>
        <w:t xml:space="preserve">AutoDock Vina score, pose convergence and receptor-confidence summary for </w:t>
      </w:r>
      <w:r>
        <w:rPr>
          <w:i/>
          <w:color w:val="000000"/>
        </w:rPr>
        <w:t>CST6</w:t>
      </w:r>
      <w:r>
        <w:rPr>
          <w:color w:val="000000"/>
        </w:rPr>
        <w:t xml:space="preserve"> and </w:t>
      </w:r>
      <w:r>
        <w:rPr>
          <w:i/>
          <w:color w:val="000000"/>
        </w:rPr>
        <w:t>LBH</w:t>
      </w:r>
      <w:r>
        <w:rPr>
          <w:color w:val="000000"/>
        </w:rPr>
        <w:t>.</w:t>
      </w:r>
    </w:p>
    <w:p w14:paraId="4DE71A97" w14:textId="77777777" w:rsidR="00721761" w:rsidRDefault="00721761" w:rsidP="00721761">
      <w:pPr>
        <w:keepLines/>
        <w:spacing w:after="80"/>
        <w:jc w:val="both"/>
      </w:pPr>
      <w:r>
        <w:rPr>
          <w:b/>
          <w:color w:val="000000"/>
        </w:rPr>
        <w:t xml:space="preserve">Table S25. Docking validation. </w:t>
      </w:r>
      <w:r>
        <w:rPr>
          <w:color w:val="000000"/>
        </w:rPr>
        <w:t>Prespecified docking validation and quality-control checks.</w:t>
      </w:r>
    </w:p>
    <w:p w14:paraId="1E0E2A4A" w14:textId="77777777" w:rsidR="00F553FF" w:rsidRDefault="00F553FF"/>
    <w:sectPr w:rsidR="00F553FF" w:rsidSect="00721761">
      <w:headerReference w:type="default" r:id="rId4"/>
      <w:footerReference w:type="default" r:id="rId5"/>
      <w:pgSz w:w="12240" w:h="15840"/>
      <w:pgMar w:top="1080" w:right="1296" w:bottom="1080" w:left="1296" w:header="720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B00A6" w14:textId="77777777" w:rsidR="00721761" w:rsidRDefault="00721761">
    <w:pPr>
      <w:pStyle w:val="Footer"/>
      <w:jc w:val="center"/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F22A" w14:textId="77777777" w:rsidR="00721761" w:rsidRDefault="0072176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61"/>
    <w:rsid w:val="003C2EF4"/>
    <w:rsid w:val="00446799"/>
    <w:rsid w:val="00471820"/>
    <w:rsid w:val="006A7E07"/>
    <w:rsid w:val="00701021"/>
    <w:rsid w:val="00721761"/>
    <w:rsid w:val="00866E40"/>
    <w:rsid w:val="00B74216"/>
    <w:rsid w:val="00CB0D13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3280E"/>
  <w15:chartTrackingRefBased/>
  <w15:docId w15:val="{1A6D2FD7-0427-4124-BE78-BAE0EFD7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761"/>
    <w:pPr>
      <w:spacing w:after="60" w:line="360" w:lineRule="auto"/>
    </w:pPr>
    <w:rPr>
      <w:rFonts w:ascii="Times New Roman" w:eastAsia="Times New Roman" w:hAnsi="Times New Roman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17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7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7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7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7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76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76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76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76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7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7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7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7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7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7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7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7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7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7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1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7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17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761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17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761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17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7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7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76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21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761"/>
    <w:rPr>
      <w:rFonts w:ascii="Times New Roman" w:eastAsia="Times New Roman" w:hAnsi="Times New Roman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2704</Characters>
  <Application>Microsoft Office Word</Application>
  <DocSecurity>0</DocSecurity>
  <Lines>22</Lines>
  <Paragraphs>6</Paragraphs>
  <ScaleCrop>false</ScaleCrop>
  <Company>Springer Nature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2026-08-03T10:07:00Z</dcterms:created>
  <dcterms:modified xsi:type="dcterms:W3CDTF">2026-08-03T10:07:00Z</dcterms:modified>
</cp:coreProperties>
</file>