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22CE" w14:textId="77777777" w:rsidR="00410168" w:rsidRDefault="00410168" w:rsidP="00410168">
      <w:pPr>
        <w:pStyle w:val="Heading1"/>
      </w:pPr>
      <w:r>
        <w:t>Additional files</w:t>
      </w:r>
    </w:p>
    <w:p w14:paraId="27DD0F88" w14:textId="77777777" w:rsidR="00410168" w:rsidRDefault="00410168" w:rsidP="00410168">
      <w:r>
        <w:t>Additional file 1 (.docx): Supplementary Tables S1-S4. Operational CKM staging, incremental predictive value, exploratory reclassification metrics, and proportional-hazards/lag-analysis feasibility.</w:t>
      </w:r>
    </w:p>
    <w:p w14:paraId="66A98DF3" w14:textId="77777777" w:rsidR="00410168" w:rsidRDefault="00410168" w:rsidP="00410168">
      <w:r>
        <w:t>Additional file 2 (.pdf): Supplementary Figure S1. Restricted cubic spline analysis of 2011-2015 Δln(CysC/HDL-C) and incident heart disease.</w:t>
      </w:r>
    </w:p>
    <w:p w14:paraId="186754FC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168"/>
    <w:rsid w:val="00195413"/>
    <w:rsid w:val="003A03A7"/>
    <w:rsid w:val="003D0186"/>
    <w:rsid w:val="00410168"/>
    <w:rsid w:val="00655076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EFC07"/>
  <w15:chartTrackingRefBased/>
  <w15:docId w15:val="{139AE085-3132-4549-A84D-D5338C8C2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168"/>
    <w:pPr>
      <w:spacing w:after="0" w:line="480" w:lineRule="auto"/>
    </w:pPr>
    <w:rPr>
      <w:rFonts w:ascii="Times New Roman" w:eastAsia="Times New Roman" w:hAnsi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016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16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16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16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16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16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16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16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16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1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1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1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1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1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1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1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1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1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1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0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16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0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168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01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168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01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1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1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1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>Springer Nature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2026-08-06T07:00:00Z</dcterms:created>
  <dcterms:modified xsi:type="dcterms:W3CDTF">2026-08-06T07:01:00Z</dcterms:modified>
</cp:coreProperties>
</file>