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  <w:jc w:val="left"/>
      </w:pPr>
      <w:r>
        <w:rPr>
          <w:rFonts w:ascii="Times New Roman" w:hAnsi="Times New Roman" w:eastAsia="Times New Roman"/>
          <w:b/>
          <w:sz w:val="20"/>
        </w:rPr>
        <w:t xml:space="preserve">Supplementary Table S2. </w:t>
      </w:r>
      <w:r>
        <w:rPr>
          <w:rFonts w:ascii="Times New Roman" w:hAnsi="Times New Roman" w:eastAsia="Times New Roman"/>
          <w:sz w:val="20"/>
        </w:rPr>
        <w:t>Incremental predictive value analysis.</w:t>
      </w:r>
    </w:p>
    <w:tbl>
      <w:tblPr>
        <w:tblW w:type="pct" w:w="5000"/>
        <w:jc w:val="center"/>
        <w:tblLayout w:type="autofit"/>
        <w:tblLook w:firstColumn="1" w:firstRow="1" w:lastColumn="0" w:lastRow="0" w:noHBand="0" w:noVBand="1" w:val="04A0"/>
      </w:tblPr>
      <w:tblGrid>
        <w:gridCol w:w="2179"/>
        <w:gridCol w:w="2179"/>
        <w:gridCol w:w="2179"/>
        <w:gridCol w:w="2179"/>
        <w:gridCol w:w="2179"/>
        <w:gridCol w:w="2179"/>
        <w:gridCol w:w="2179"/>
      </w:tblGrid>
      <w:tr>
        <w:trPr>
          <w:tblHeader w:val="true"/>
        </w:trP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Analysis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Events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C-statistic (95% CI)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ΔC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LRT P</w:t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Primary clinical 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Base 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3109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0.609 (0.574-0.644)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Primary clinical 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Base model + Δln(CysC/HDL-C)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3109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0.620 (0.585-0.654)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0.0104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0.018</w:t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Clinical model plus eGFR/CRP/glycemia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Base 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3105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0.620 (0.586-0.655)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Clinical model plus eGFR/CRP/glycemia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Base model + Δln(CysC/HDL-C)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3105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0.633 (0.598-0.667)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0.0125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0.01</w:t>
            </w:r>
          </w:p>
        </w:tc>
      </w:tr>
    </w:tbl>
    <w:p>
      <w:pPr>
        <w:spacing w:before="60" w:after="0"/>
        <w:jc w:val="left"/>
      </w:pPr>
      <w:r>
        <w:rPr>
          <w:rFonts w:ascii="Times New Roman" w:hAnsi="Times New Roman" w:eastAsia="Times New Roman"/>
          <w:b/>
          <w:sz w:val="16"/>
        </w:rPr>
        <w:t xml:space="preserve">Note: </w:t>
      </w:r>
      <w:r>
        <w:rPr>
          <w:rFonts w:ascii="Times New Roman" w:hAnsi="Times New Roman" w:eastAsia="Times New Roman"/>
          <w:sz w:val="16"/>
        </w:rPr>
        <w:t>The extended model added Δln(CysC/HDL-C) to the base model. C-statistic improvement was modest.</w:t>
      </w:r>
    </w:p>
    <w:sectPr w:rsidR="00FC693F" w:rsidRPr="0006063C" w:rsidSect="00034616">
      <w:pgSz w:w="16838" w:h="11906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