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 w:before="0"/>
        <w:jc w:val="left"/>
      </w:pPr>
      <w:r>
        <w:rPr>
          <w:rFonts w:ascii="Times New Roman" w:hAnsi="Times New Roman" w:eastAsia="Times New Roman"/>
          <w:b/>
          <w:sz w:val="20"/>
        </w:rPr>
        <w:t xml:space="preserve">Supplementary Table S1. </w:t>
      </w:r>
      <w:r>
        <w:rPr>
          <w:rFonts w:ascii="Times New Roman" w:hAnsi="Times New Roman" w:eastAsia="Times New Roman"/>
          <w:sz w:val="20"/>
        </w:rPr>
        <w:t>Operational definition of adapted CKM stages in CHARLS.</w:t>
      </w:r>
    </w:p>
    <w:tbl>
      <w:tblPr>
        <w:tblW w:type="pct" w:w="5000"/>
        <w:jc w:val="center"/>
        <w:tblLayout w:type="autofit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tblHeader w:val="true"/>
        </w:trPr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10" w:color="000000"/>
              <w:bottom w:val="single" w:sz="6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7"/>
              </w:rPr>
              <w:t>Stage</w:t>
            </w:r>
          </w:p>
        </w:tc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10" w:color="000000"/>
              <w:bottom w:val="single" w:sz="6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7"/>
              </w:rPr>
              <w:t>Operational_definition_in_this_CHARLS_analysis</w:t>
            </w:r>
          </w:p>
        </w:tc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10" w:color="000000"/>
              <w:bottom w:val="single" w:sz="6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7"/>
              </w:rPr>
              <w:t>Rationale</w:t>
            </w:r>
          </w:p>
        </w:tc>
      </w:tr>
      <w:tr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Stage 0</w:t>
            </w:r>
          </w:p>
        </w:tc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No identified adiposity, prediabetes, hypertension, dyslipidemia, CKD, or clinical cardiovascular disease before or at the 2015 landmark.</w:t>
            </w:r>
          </w:p>
        </w:tc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Reference group with no available CKM abnormalities.</w:t>
            </w:r>
          </w:p>
        </w:tc>
      </w:tr>
      <w:tr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Stage 1</w:t>
            </w:r>
          </w:p>
        </w:tc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Adiposity or prediabetes without stage 2/3/4 criteria. Adiposity was defined using BMI and/or waist circumference according to available CHARLS measurements; prediabetes was defined using HbA1c and/or fasting glucose below the diabetes threshold.</w:t>
            </w:r>
          </w:p>
        </w:tc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Early metabolic risk before advanced CKM burden.</w:t>
            </w:r>
          </w:p>
        </w:tc>
      </w:tr>
      <w:tr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Stage 2</w:t>
            </w:r>
          </w:p>
        </w:tc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Metabolic risk factors, including hypertension and/or dyslipidemia. Diabetes was not used because individuals with diabetes at the 2015 landmark were excluded from the primary analysis.</w:t>
            </w:r>
          </w:p>
        </w:tc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Metabolic disease stage while avoiding diabetes overlap in a non-diabetic cohort.</w:t>
            </w:r>
          </w:p>
        </w:tc>
      </w:tr>
      <w:tr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Stage 3</w:t>
            </w:r>
          </w:p>
        </w:tc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CKD based on creatinine-derived eGFR and/or self-reported kidney disease, without prior clinical cardiovascular disease.</w:t>
            </w:r>
          </w:p>
        </w:tc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Kidney disease stage defined without using cystatin C.</w:t>
            </w:r>
          </w:p>
        </w:tc>
      </w:tr>
      <w:tr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Stage 4</w:t>
            </w:r>
          </w:p>
        </w:tc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Clinical cardiovascular disease before or at the 2015 landmark, including self-reported heart disease or stroke. Stage 4 individuals were excluded from the incident heart disease analysis.</w:t>
            </w:r>
          </w:p>
        </w:tc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Represents established cardiovascular disease and was excluded to reduce reverse causation.</w:t>
            </w:r>
          </w:p>
        </w:tc>
      </w:tr>
      <w:tr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Analytic restriction</w:t>
            </w:r>
          </w:p>
        </w:tc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The primary analysis was restricted to non-diabetic adults with early CKM stages 0-3 at the 2015 landmark.</w:t>
            </w:r>
          </w:p>
        </w:tc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Focuses on risk stratification before overt diabetes or prevalent cardiovascular disease.</w:t>
            </w:r>
          </w:p>
        </w:tc>
      </w:tr>
      <w:tr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single" w:sz="10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Circularity prevention</w:t>
            </w:r>
          </w:p>
        </w:tc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single" w:sz="10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Low HDL-C was not used as a dyslipidemia criterion and cystatin C was not used to define CKD, to avoid circularity with the exposure CysC/HDL-C.</w:t>
            </w:r>
          </w:p>
        </w:tc>
        <w:tc>
          <w:tcPr>
            <w:tcW w:type="dxa" w:w="328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single" w:sz="10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7"/>
              </w:rPr>
              <w:t>Prevents the exposure components from mechanically determining CKM stage.</w:t>
            </w:r>
          </w:p>
        </w:tc>
      </w:tr>
    </w:tbl>
    <w:p>
      <w:pPr>
        <w:spacing w:before="60" w:after="0"/>
        <w:jc w:val="left"/>
      </w:pPr>
      <w:r>
        <w:rPr>
          <w:rFonts w:ascii="Times New Roman" w:hAnsi="Times New Roman" w:eastAsia="Times New Roman"/>
          <w:b/>
          <w:sz w:val="16"/>
        </w:rPr>
        <w:t xml:space="preserve">Note: </w:t>
      </w:r>
      <w:r>
        <w:rPr>
          <w:rFonts w:ascii="Times New Roman" w:hAnsi="Times New Roman" w:eastAsia="Times New Roman"/>
          <w:sz w:val="16"/>
        </w:rPr>
        <w:t>The primary analysis excluded diabetes and prevalent heart disease and used modified CKM staging to avoid circularity with CysC/HDL-C.</w:t>
      </w:r>
    </w:p>
    <w:sectPr w:rsidR="00FC693F" w:rsidRPr="0006063C" w:rsidSect="00034616"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