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 w:before="0"/>
        <w:jc w:val="left"/>
      </w:pPr>
      <w:r>
        <w:rPr>
          <w:rFonts w:ascii="Times New Roman" w:hAnsi="Times New Roman" w:eastAsia="Times New Roman"/>
          <w:b/>
          <w:sz w:val="20"/>
        </w:rPr>
        <w:t xml:space="preserve">Supplementary Table S4. </w:t>
      </w:r>
      <w:r>
        <w:rPr>
          <w:rFonts w:ascii="Times New Roman" w:hAnsi="Times New Roman" w:eastAsia="Times New Roman"/>
          <w:sz w:val="20"/>
        </w:rPr>
        <w:t>PH and lag-analysis feasibility.</w:t>
      </w:r>
    </w:p>
    <w:tbl>
      <w:tblPr>
        <w:tblW w:type="pct" w:w="5000"/>
        <w:jc w:val="center"/>
        <w:tblLayout w:type="autofit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7"/>
              </w:rPr>
              <w:t>Domain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7"/>
              </w:rPr>
              <w:t>Item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7"/>
              </w:rPr>
              <w:t>Finding</w:t>
            </w:r>
          </w:p>
        </w:tc>
      </w:tr>
      <w:tr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PH feasibility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Unique follow-up values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2</w:t>
            </w:r>
          </w:p>
        </w:tc>
      </w:tr>
      <w:tr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PH feasibility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Follow-up SD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0.083516</w:t>
            </w:r>
          </w:p>
        </w:tc>
      </w:tr>
      <w:tr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PH feasibility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Schoenfeld residual testing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Not emphasized because exact event dates were unavailable and testing was numerically unstable.</w:t>
            </w:r>
          </w:p>
        </w:tc>
      </w:tr>
      <w:tr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Lag feasibility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Exact event timing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No candidate event date/year variable detected.</w:t>
            </w:r>
          </w:p>
        </w:tc>
      </w:tr>
      <w:tr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Lag feasibility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Lag exclusion analysis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Formal 1- or 2-year lag exclusion could not be reliably conducted.</w:t>
            </w:r>
          </w:p>
        </w:tc>
      </w:tr>
    </w:tbl>
    <w:p>
      <w:pPr>
        <w:spacing w:before="60" w:after="0"/>
        <w:jc w:val="left"/>
      </w:pPr>
      <w:r>
        <w:rPr>
          <w:rFonts w:ascii="Times New Roman" w:hAnsi="Times New Roman" w:eastAsia="Times New Roman"/>
          <w:b/>
          <w:sz w:val="16"/>
        </w:rPr>
        <w:t xml:space="preserve">Note: </w:t>
      </w:r>
      <w:r>
        <w:rPr>
          <w:rFonts w:ascii="Times New Roman" w:hAnsi="Times New Roman" w:eastAsia="Times New Roman"/>
          <w:sz w:val="16"/>
        </w:rPr>
        <w:t>These limitations were incorporated into the Methods and Discussion.</w:t>
      </w:r>
    </w:p>
    <w:sectPr w:rsidR="00FC693F" w:rsidRPr="0006063C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