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/>
        <w:jc w:val="left"/>
      </w:pPr>
      <w:r>
        <w:rPr>
          <w:rFonts w:ascii="Times New Roman" w:hAnsi="Times New Roman" w:eastAsia="Times New Roman"/>
          <w:b/>
          <w:sz w:val="20"/>
        </w:rPr>
        <w:t xml:space="preserve">Supplementary Table S3. </w:t>
      </w:r>
      <w:r>
        <w:rPr>
          <w:rFonts w:ascii="Times New Roman" w:hAnsi="Times New Roman" w:eastAsia="Times New Roman"/>
          <w:sz w:val="20"/>
        </w:rPr>
        <w:t>Exploratory continuous NRI and IDI.</w:t>
      </w:r>
    </w:p>
    <w:tbl>
      <w:tblPr>
        <w:tblW w:type="pct" w:w="5000"/>
        <w:jc w:val="center"/>
        <w:tblLayout w:type="autofit"/>
        <w:tblLook w:firstColumn="1" w:firstRow="1" w:lastColumn="0" w:lastRow="0" w:noHBand="0" w:noVBand="1" w:val="04A0"/>
      </w:tblPr>
      <w:tblGrid>
        <w:gridCol w:w="2179"/>
        <w:gridCol w:w="2179"/>
        <w:gridCol w:w="2179"/>
        <w:gridCol w:w="2179"/>
        <w:gridCol w:w="2179"/>
        <w:gridCol w:w="2179"/>
        <w:gridCol w:w="2179"/>
      </w:tblGrid>
      <w:tr>
        <w:trPr>
          <w:tblHeader w:val="true"/>
        </w:trP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analysis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events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nri_event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nri_nonevent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nri_continuous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single" w:sz="10" w:color="000000"/>
              <w:bottom w:val="single" w:sz="6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14"/>
              </w:rPr>
              <w:t>idi</w:t>
            </w:r>
          </w:p>
        </w:tc>
      </w:tr>
      <w:t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Primary clinical model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3109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272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0.9412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-0.9429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&lt;0.00117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0.0009</w:t>
            </w:r>
          </w:p>
        </w:tc>
      </w:tr>
      <w:tr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Clinical model plus eGFR/CRP/glycemia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3105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272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-0.2059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0.3350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0.1291</w:t>
            </w:r>
          </w:p>
        </w:tc>
        <w:tc>
          <w:tcPr>
            <w:tcW w:type="dxa" w:w="2179"/>
            <w:vAlign w:val="center"/>
            <w:tcMar>
              <w:top w:w="45" w:type="dxa"/>
              <w:start w:w="45" w:type="dxa"/>
              <w:bottom w:w="45" w:type="dxa"/>
              <w:end w:w="45" w:type="dxa"/>
            </w:tcMar>
            <w:tcBorders>
              <w:top w:val="nil"/>
              <w:bottom w:val="single" w:sz="10" w:color="000000"/>
              <w:left w:val="nil"/>
              <w:right w:val="nil"/>
              <w:insideH w:val="nil"/>
              <w:insideV w:val="nil"/>
            </w:tcBorders>
            <w:shd w:fill="FFFFFF"/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sz w:val="14"/>
              </w:rPr>
              <w:t>0.0002</w:t>
            </w:r>
          </w:p>
        </w:tc>
      </w:tr>
    </w:tbl>
    <w:p>
      <w:pPr>
        <w:spacing w:before="60" w:after="0"/>
        <w:jc w:val="left"/>
      </w:pPr>
      <w:r>
        <w:rPr>
          <w:rFonts w:ascii="Times New Roman" w:hAnsi="Times New Roman" w:eastAsia="Times New Roman"/>
          <w:b/>
          <w:sz w:val="16"/>
        </w:rPr>
        <w:t xml:space="preserve">Note: </w:t>
      </w:r>
      <w:r>
        <w:rPr>
          <w:rFonts w:ascii="Times New Roman" w:hAnsi="Times New Roman" w:eastAsia="Times New Roman"/>
          <w:sz w:val="16"/>
        </w:rPr>
        <w:t>NRI and IDI were exploratory and should not be used to claim clinical prediction model readiness.</w:t>
      </w:r>
    </w:p>
    <w:sectPr w:rsidR="00FC693F" w:rsidRPr="0006063C" w:rsidSect="00034616">
      <w:pgSz w:w="16838" w:h="11906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