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28"/>
          <w:szCs w:val="28"/>
        </w:rPr>
        <w:t xml:space="preserve">Supplementary Material</w:t>
      </w:r>
    </w:p>
    <w:p>
      <w:pPr>
        <w:spacing w:after="200"/>
      </w:pPr>
      <w:r>
        <w:rPr>
          <w:i/>
          <w:iCs/>
          <w:sz w:val="20"/>
          <w:szCs w:val="20"/>
        </w:rPr>
        <w:t xml:space="preserve">Social determinants and disparities of past-year panic attacks in US young adults: a nationally representative NHANES analysis</w:t>
      </w:r>
    </w:p>
    <w:p>
      <w:pPr>
        <w:spacing w:after="120"/>
      </w:pPr>
      <w:r>
        <w:rPr>
          <w:sz w:val="20"/>
          <w:szCs w:val="20"/>
        </w:rPr>
        <w:t xml:space="preserve">This file contains supplementary tables reporting sensitivity analyses and additional model diagnostics referenced in the main text, and a STROBE reporting checklist. All estimates derive from NHANES 1999–2004 (adults aged 20–39, n=2,222); code to reproduce every result is available at https://github.com/frpcarvalho/panicprediction.</w:t>
      </w:r>
    </w:p>
    <w:p>
      <w:pPr>
        <w:spacing w:after="80" w:before="240"/>
      </w:pPr>
      <w:r>
        <w:rPr>
          <w:b/>
          <w:bCs/>
          <w:sz w:val="22"/>
          <w:szCs w:val="22"/>
        </w:rPr>
        <w:t xml:space="preserve">Table S1. Weighted prevalence of past-year panic attacks by demographic and socioeconomic subgroup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Design-based (Taylor-linearised) weighted prevalence with 95% confidence intervals.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200"/>
        <w:gridCol w:w="1800"/>
        <w:gridCol w:w="2400"/>
      </w:tblGrid>
      <w:tr>
        <w:trPr>
          <w:tblHeader/>
        </w:trPr>
        <w:tc>
          <w:tcPr>
            <w:tcW w:type="dxa" w:w="42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Subgroup</w:t>
            </w:r>
          </w:p>
        </w:tc>
        <w:tc>
          <w:tcPr>
            <w:tcW w:type="dxa" w:w="18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Prevalence (%)</w:t>
            </w:r>
          </w:p>
        </w:tc>
        <w:tc>
          <w:tcPr>
            <w:tcW w:type="dxa" w:w="24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95% CI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Overall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14.1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12.2–16.1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Sex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Men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10.5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8.4–12.5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Women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17.8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14.9–20.6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Income (PIR tertile)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18.6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14.5–22.8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Middle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13.0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9.7–16.2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12.8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9.3–16.4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Education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&lt;9th grade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10.9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5.1–16.7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9–11th grade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16.8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12.4–21.3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High school/GED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16.7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12.3–21.1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Some college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13.3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9.5–17.1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College graduate+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11.5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8.0–15.0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Race/ethnicity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Non-Hispanic White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14.9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12.4–17.4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Mexican-American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11.7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9.7–13.6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Non-Hispanic Black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12.0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8.7–15.3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Hispanic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10.5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3.9–17.1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</w:t>
            </w:r>
          </w:p>
        </w:tc>
        <w:tc>
          <w:tcPr>
            <w:tcW w:type="dxa" w:w="18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20.2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13.2–27.3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S2. Univariable and multivariable survey-weighted odds ratios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Adjusted (multivariable) odds ratios are those reported in main-text Table 2; univariable estimates are shown for comparison. Continuous/ordinal predictors are per standard deviation (SD).</w:t>
      </w:r>
    </w:p>
    <w:tbl>
      <w:tblPr>
        <w:tblW w:type="dxa" w:w="81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900"/>
        <w:gridCol w:w="1700"/>
        <w:gridCol w:w="900"/>
        <w:gridCol w:w="1700"/>
        <w:gridCol w:w="900"/>
      </w:tblGrid>
      <w:tr>
        <w:trPr>
          <w:tblHeader/>
        </w:trPr>
        <w:tc>
          <w:tcPr>
            <w:tcW w:type="dxa" w:w="2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Predictor</w:t>
            </w:r>
          </w:p>
        </w:tc>
        <w:tc>
          <w:tcPr>
            <w:tcW w:type="dxa" w:w="17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Univariable OR (95% CI)</w:t>
            </w:r>
          </w:p>
        </w:tc>
        <w:tc>
          <w:tcPr>
            <w:tcW w:type="dxa" w:w="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17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Multivariable OR (95% CI)</w:t>
            </w:r>
          </w:p>
        </w:tc>
        <w:tc>
          <w:tcPr>
            <w:tcW w:type="dxa" w:w="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Time since last BP check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0.77 (0.67–0.89)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0.81 (0.72–0.93)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Worse self-rated health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1.50 (1.28–1.76)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1.31 (1.08–1.60)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0.007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 back pain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1.99 (1.49–2.66)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1.42 (1.05–1.91)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0.022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Ever used marijuana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1.95 (1.38–2.76)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1.57 (1.04–2.37)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0.031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Smoked ≥100 cigarettes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1.70 (1.33–2.18)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1.28 (1.00–1.64)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0.048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Headache/migraine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2.07 (1.54–2.79)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1.35 (0.97–1.88)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0.079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Arthritis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2.35 (1.48–3.72)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1.40 (0.86–2.28)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0.171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3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1.85 (1.41–2.44)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1.22 (0.89–1.68)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0.213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Physical activity level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0.92 (0.79–1.08)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0.302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0.90 (0.77–1.06)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0.224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Regular alcohol use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1.69 (1.17–2.45)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0.005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1.23 (0.79–1.90)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0.365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Diastolic blood pressure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0.95 (0.81–1.11)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0.499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0.94 (0.81–1.09)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0.388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Vigorous physical activity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1.45 (1.11–1.90)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0.007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1.12 (0.85–1.49)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0.420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Poverty-income ratio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0.85 (0.72–0.99)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0.043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0.93 (0.78–1.11)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0.422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Body mass index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1.04 (0.89–1.22)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0.596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0.93 (0.78–1.11)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0.422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Neck pain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1.66 (1.23–2.25)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1.14 (0.81–1.61)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0.458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2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0.66 (0.38–1.13)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0.129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0.81 (0.43–1.49)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0.495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Pulse rate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1.14 (1.00–1.30)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0.052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1.03 (0.91–1.18)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0.617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Asthma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1.24 (0.86–1.77)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0.245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1.02 (0.71–1.44)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0.931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Family history of hypertension/stroke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1.16 (0.87–1.54)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0.317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0.99 (0.74–1.33)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0.942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Caffeine intake (per SD)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1.04 (0.94–1.15)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0.484</w:t>
            </w:r>
          </w:p>
        </w:tc>
        <w:tc>
          <w:tcPr>
            <w:tcW w:type="dxa" w:w="1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1.00 (0.88–1.14)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0.990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S3. Weighted versus unweighted odds ratios (sensitivity analysis)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Concordance between survey-weighted and unweighted odds ratios indicates that the findings are not driven by the survey weighting.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600"/>
        <w:gridCol w:w="1900"/>
        <w:gridCol w:w="1900"/>
      </w:tblGrid>
      <w:tr>
        <w:trPr>
          <w:tblHeader/>
        </w:trPr>
        <w:tc>
          <w:tcPr>
            <w:tcW w:type="dxa" w:w="46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Predictor</w:t>
            </w:r>
          </w:p>
        </w:tc>
        <w:tc>
          <w:tcPr>
            <w:tcW w:type="dxa" w:w="1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Unweighted OR</w:t>
            </w:r>
          </w:p>
        </w:tc>
        <w:tc>
          <w:tcPr>
            <w:tcW w:type="dxa" w:w="1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Weighted OR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Diastolic blood pressure (per SD)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1.03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0.95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Poverty-income ratio (per SD)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0.89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0.89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Body mass index (per SD)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0.95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0.96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Pulse rate (per SD)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1.01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1.06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Time since last BP check (per SD)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0.87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0.80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 back pain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1.58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1.73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Family history of hypertension/stroke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0.97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1.04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Regular alcohol use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1.84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1.64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2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0.81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0.81</w:t>
            </w:r>
          </w:p>
        </w:tc>
      </w:tr>
      <w:tr>
        <w:tc>
          <w:tcPr>
            <w:tcW w:type="dxa" w:w="46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3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1.38</w:t>
            </w:r>
          </w:p>
        </w:tc>
        <w:tc>
          <w:tcPr>
            <w:tcW w:type="dxa" w:w="1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1.48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S4. Variance inflation factors (multicollinearity)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All VIFs are close to 1.0, indicating negligible multicollinearity among predictors.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000"/>
        <w:gridCol w:w="2400"/>
      </w:tblGrid>
      <w:tr>
        <w:trPr>
          <w:tblHeader/>
        </w:trPr>
        <w:tc>
          <w:tcPr>
            <w:tcW w:type="dxa" w:w="60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Predictor</w:t>
            </w:r>
          </w:p>
        </w:tc>
        <w:tc>
          <w:tcPr>
            <w:tcW w:type="dxa" w:w="24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VIF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3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1.28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Pulse rate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1.14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Time since last BP check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1.11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2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1.09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Body mass index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1.09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Diastolic blood pressure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1.07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Poverty-income ratio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1.06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Family history of hypertension/stroke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1.05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 back pain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1.05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Regular alcohol use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1.02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S5. Feature-selection stability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Selection frequency across bootstrap resamples; the overall Nogueira stability index was 0.29, indicating low stability of the selected feature subset.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000"/>
        <w:gridCol w:w="2400"/>
      </w:tblGrid>
      <w:tr>
        <w:trPr>
          <w:tblHeader/>
        </w:trPr>
        <w:tc>
          <w:tcPr>
            <w:tcW w:type="dxa" w:w="60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Predictor</w:t>
            </w:r>
          </w:p>
        </w:tc>
        <w:tc>
          <w:tcPr>
            <w:tcW w:type="dxa" w:w="24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Selection frequency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 back pain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Regular alcohol use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100%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3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83%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Family history of hypertension/stroke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73%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Cardiovascular exam status = 2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73%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Time since last BP check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60%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Pulse rate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57%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Poverty-income ratio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30%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Diastolic blood pressure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27%</w:t>
            </w:r>
          </w:p>
        </w:tc>
      </w:tr>
      <w:tr>
        <w:tc>
          <w:tcPr>
            <w:tcW w:type="dxa" w:w="6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Body mass index (per SD)</w:t>
            </w:r>
          </w:p>
        </w:tc>
        <w:tc>
          <w:tcPr>
            <w:tcW w:type="dxa" w:w="2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23%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S6. Predictive performance by subgroup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Exploratory out-of-fold performance within subgroups. Subgroup sizes are small and confidence intervals wide; estimates should be interpreted with caution.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900"/>
        <w:gridCol w:w="900"/>
        <w:gridCol w:w="900"/>
        <w:gridCol w:w="1300"/>
        <w:gridCol w:w="1300"/>
        <w:gridCol w:w="1100"/>
      </w:tblGrid>
      <w:tr>
        <w:trPr>
          <w:tblHeader/>
        </w:trPr>
        <w:tc>
          <w:tcPr>
            <w:tcW w:type="dxa" w:w="2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Subgroup</w:t>
            </w:r>
          </w:p>
        </w:tc>
        <w:tc>
          <w:tcPr>
            <w:tcW w:type="dxa" w:w="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9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Cases</w:t>
            </w:r>
          </w:p>
        </w:tc>
        <w:tc>
          <w:tcPr>
            <w:tcW w:type="dxa" w:w="13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Sensitivity</w:t>
            </w:r>
          </w:p>
        </w:tc>
        <w:tc>
          <w:tcPr>
            <w:tcW w:type="dxa" w:w="13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Specificity</w:t>
            </w:r>
          </w:p>
        </w:tc>
        <w:tc>
          <w:tcPr>
            <w:tcW w:type="dxa" w:w="11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ROC-AUC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Sex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Men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268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27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0.89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0.45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Women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288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45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0.71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0.25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0.49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Income (PIR tertile)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Low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179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29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0.79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0.30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0.57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Middle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175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23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0.74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0.38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0.60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175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0.75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0.38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Education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&lt;9th grade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48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1.00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0.39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0.58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9–11th grade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95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0.73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0.40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0.56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High school/GED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150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26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0.81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0.30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Some college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145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0.78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0.35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0.58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College graduate+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116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0.67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0.35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0.56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Race/ethnicity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Non-Hispanic White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248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34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0.82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0.35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0.65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Mexican-American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163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0.70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0.40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0.56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Non-Hispanic Black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96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0.73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0.31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0.59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Hispanic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29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1.00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0.26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0.39</w:t>
            </w:r>
          </w:p>
        </w:tc>
      </w:tr>
      <w:tr>
        <w:tc>
          <w:tcPr>
            <w:tcW w:type="dxa" w:w="2900"/>
          </w:tcPr>
          <w:p>
            <w:pPr>
              <w:spacing w:after="0" w:line="240"/>
              <w:ind w:left="18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9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0.80</w:t>
            </w:r>
          </w:p>
        </w:tc>
        <w:tc>
          <w:tcPr>
            <w:tcW w:type="dxa" w:w="1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0.27</w:t>
            </w:r>
          </w:p>
        </w:tc>
        <w:tc>
          <w:tcPr>
            <w:tcW w:type="dxa" w:w="11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0.49</w:t>
            </w:r>
          </w:p>
        </w:tc>
      </w:tr>
    </w:tbl>
    <w:p>
      <w:pPr>
        <w:spacing w:after="80" w:before="240"/>
      </w:pPr>
      <w:r>
        <w:rPr>
          <w:b/>
          <w:bCs/>
          <w:sz w:val="22"/>
          <w:szCs w:val="22"/>
        </w:rPr>
        <w:t xml:space="preserve">Table S7. Temporal validation and exclusion of the poverty-income ratio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Model trained on the 1999–2002 cycles and tested on 2003–2004 (temporal transportability), and a sensitivity analysis excluding the poverty-income ratio.</w:t>
      </w:r>
    </w:p>
    <w:p>
      <w:pPr>
        <w:spacing w:after="60"/>
      </w:pPr>
      <w:r>
        <w:rPr>
          <w:b/>
          <w:bCs/>
          <w:sz w:val="18"/>
          <w:szCs w:val="18"/>
        </w:rPr>
        <w:t xml:space="preserve">S7a. Temporal validation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200"/>
        <w:gridCol w:w="4200"/>
      </w:tblGrid>
      <w:tr>
        <w:trPr>
          <w:tblHeader/>
        </w:trPr>
        <w:tc>
          <w:tcPr>
            <w:tcW w:type="dxa" w:w="42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Metric</w:t>
            </w:r>
          </w:p>
        </w:tc>
        <w:tc>
          <w:tcPr>
            <w:tcW w:type="dxa" w:w="42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Training set (1999–2002)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n=1529, cases=192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Test set (2003–2004)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n=693, cases=97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ROC-AUC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0.57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PR-AUC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0.17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Sensitivity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0.64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Specificity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0.42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PPV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0.15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NPV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0.88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Balanced accuracy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0.53</w:t>
            </w:r>
          </w:p>
        </w:tc>
      </w:tr>
    </w:tbl>
    <w:p>
      <w:pPr>
        <w:spacing w:after="60" w:before="120"/>
      </w:pPr>
      <w:r>
        <w:rPr>
          <w:b/>
          <w:bCs/>
          <w:sz w:val="18"/>
          <w:szCs w:val="18"/>
        </w:rPr>
        <w:t xml:space="preserve">S7b. Model excluding poverty-income ratio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200"/>
        <w:gridCol w:w="4200"/>
      </w:tblGrid>
      <w:tr>
        <w:trPr>
          <w:tblHeader/>
        </w:trPr>
        <w:tc>
          <w:tcPr>
            <w:tcW w:type="dxa" w:w="42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Model</w:t>
            </w:r>
          </w:p>
        </w:tc>
        <w:tc>
          <w:tcPr>
            <w:tcW w:type="dxa" w:w="42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Nested-CV ROC-AUC (95% CI)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Full model (nested CV ROC-AUC)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0.60 (0.57–0.65)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Model excluding poverty-income ratio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0.60 (0.54–0.67)</w:t>
            </w:r>
          </w:p>
        </w:tc>
      </w:tr>
      <w:tr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Change in ROC-AUC</w:t>
            </w:r>
          </w:p>
        </w:tc>
        <w:tc>
          <w:tcPr>
            <w:tcW w:type="dxa" w:w="42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-0.001</w:t>
            </w:r>
          </w:p>
        </w:tc>
      </w:tr>
    </w:tbl>
    <w:p>
      <w:pPr>
        <w:pageBreakBefore/>
        <w:spacing w:after="80" w:before="120"/>
      </w:pPr>
      <w:r>
        <w:rPr>
          <w:b/>
          <w:bCs/>
          <w:sz w:val="22"/>
          <w:szCs w:val="22"/>
        </w:rPr>
        <w:t xml:space="preserve">STROBE Statement: checklist for cross-sectional studies</w:t>
      </w:r>
    </w:p>
    <w:p>
      <w:pPr>
        <w:spacing w:after="120" w:before="60"/>
      </w:pPr>
      <w:r>
        <w:rPr>
          <w:i/>
          <w:iCs/>
          <w:sz w:val="18"/>
          <w:szCs w:val="18"/>
        </w:rPr>
        <w:t xml:space="preserve">Items recommended by the STROBE Statement for reporting observational (cross-sectional) studies, with the corresponding location in this manuscript.</w:t>
      </w:r>
    </w:p>
    <w:tbl>
      <w:tblPr>
        <w:tblW w:type="dxa" w:w="840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700"/>
        <w:gridCol w:w="2300"/>
        <w:gridCol w:w="3400"/>
        <w:gridCol w:w="2000"/>
      </w:tblGrid>
      <w:tr>
        <w:trPr>
          <w:tblHeader/>
        </w:trPr>
        <w:tc>
          <w:tcPr>
            <w:tcW w:type="dxa" w:w="7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23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Recommendation</w:t>
            </w:r>
          </w:p>
        </w:tc>
        <w:tc>
          <w:tcPr>
            <w:tcW w:type="dxa" w:w="34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2000"/>
            <w:shd w:fill="D9E2F3" w:color="auto" w:val="clear"/>
          </w:tcPr>
          <w:p>
            <w:pPr>
              <w:spacing w:after="0" w:line="240"/>
            </w:pPr>
            <w:r>
              <w:rPr>
                <w:b/>
                <w:bCs/>
                <w:sz w:val="18"/>
                <w:szCs w:val="18"/>
              </w:rPr>
              <w:t xml:space="preserve">Location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Title and abstract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Structured summary of design, methods, results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Title; Abstract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Background/rationale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Scientific background and rationale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Introduction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Objectives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Specific objectives / hypotheses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Introduction (final paragraph)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Study design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Key elements of study design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Study design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Setting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Setting, locations, relevant dates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Study design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Participants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Eligibility criteria; sources and selection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Analytic sample; Fig. 4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Variables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Outcomes, exposures, predictors, confounders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Outcome; Candidate predictors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Data sources/measurement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Sources and methods of assessment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Outcome; Candidate predictors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Bias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Efforts to address potential sources of bias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Preprocessing; Prediction (leakage-free)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Study size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How the study size was arrived at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Analytic sample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Quantitative variables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Handling of quantitative variables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Preprocessing and encoding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Statistical methods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All statistical methods, subgroups, sensitivity analyses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Methods: Association; Prediction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Participants (results)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Numbers at each stage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Results: Sample; Fig. 4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Descriptive data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Characteristics of participants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Results: Table 1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Outcome data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Numbers of outcome events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Results: Sample and prevalence; Table 1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16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Main results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Estimates and precision (e.g., 95% CI)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Results: Tables 2–3; Tables S1–S7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Other analyses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Subgroups, interactions, sensitivity analyses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Results; Tables S3–S7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Key results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Summary with reference to objectives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Discussion (first paragraph)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19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Limitations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Limitations, sources of bias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Discussion: Limitations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20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Interpretation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Cautious overall interpretation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Discussion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21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Generalisability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External validity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Discussion: Limitations; Interpretation</w:t>
            </w:r>
          </w:p>
        </w:tc>
      </w:tr>
      <w:tr>
        <w:tc>
          <w:tcPr>
            <w:tcW w:type="dxa" w:w="7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22</w:t>
            </w:r>
          </w:p>
        </w:tc>
        <w:tc>
          <w:tcPr>
            <w:tcW w:type="dxa" w:w="23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Funding</w:t>
            </w:r>
          </w:p>
        </w:tc>
        <w:tc>
          <w:tcPr>
            <w:tcW w:type="dxa" w:w="34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Role of funding source</w:t>
            </w:r>
          </w:p>
        </w:tc>
        <w:tc>
          <w:tcPr>
            <w:tcW w:type="dxa" w:w="2000"/>
          </w:tcPr>
          <w:p>
            <w:pPr>
              <w:spacing w:after="0" w:line="240"/>
            </w:pPr>
            <w:r>
              <w:rPr>
                <w:b w:val="false"/>
                <w:bCs w:val="false"/>
                <w:sz w:val="18"/>
                <w:szCs w:val="18"/>
              </w:rPr>
              <w:t xml:space="preserve">Declarations: Funding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2026-07-21T13:07:17.927Z</dcterms:created>
  <dcterms:modified xsi:type="dcterms:W3CDTF">2026-07-21T13:07:17.927Z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