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DC5B89" w:rsidR="00734FCA" w:rsidP="00FD3E89" w:rsidRDefault="48DC3813" w14:paraId="2B34DCA2" w14:textId="42660805">
      <w:pPr>
        <w:spacing w:line="480" w:lineRule="auto"/>
        <w:jc w:val="both"/>
        <w:rPr>
          <w:rFonts w:ascii="Times New Roman" w:hAnsi="Times New Roman" w:cs="Times New Roman"/>
          <w:b/>
          <w:bCs/>
          <w:lang w:val="en-US"/>
        </w:rPr>
      </w:pPr>
      <w:r w:rsidRPr="48DC3813">
        <w:rPr>
          <w:rFonts w:ascii="Times New Roman" w:hAnsi="Times New Roman" w:cs="Times New Roman"/>
          <w:b/>
          <w:bCs/>
          <w:lang w:val="en-US"/>
        </w:rPr>
        <w:t>Structural and geodynamic framework of Tyrrhenian margin</w:t>
      </w:r>
    </w:p>
    <w:p w:rsidRPr="00AF771B" w:rsidR="00AF771B" w:rsidP="00AF771B" w:rsidRDefault="00F666EE" w14:paraId="27D0769F" w14:textId="744BEA3A">
      <w:pPr>
        <w:spacing w:line="480" w:lineRule="auto"/>
        <w:jc w:val="both"/>
        <w:rPr>
          <w:rFonts w:ascii="Times New Roman" w:hAnsi="Times New Roman" w:cs="Times New Roman"/>
          <w:lang w:val="en-US"/>
        </w:rPr>
      </w:pPr>
      <w:r w:rsidRPr="00F666EE">
        <w:rPr>
          <w:rFonts w:ascii="Times New Roman" w:hAnsi="Times New Roman" w:cs="Times New Roman"/>
          <w:lang w:val="en-US"/>
        </w:rPr>
        <w:t>T</w:t>
      </w:r>
      <w:r w:rsidRPr="00AF771B" w:rsidR="00AF771B">
        <w:rPr>
          <w:rFonts w:ascii="Times New Roman" w:hAnsi="Times New Roman" w:cs="Times New Roman"/>
          <w:lang w:val="en-US"/>
        </w:rPr>
        <w:t xml:space="preserve">he investigated coastal sector lies along the Tyrrhenian flank of the Apennine chain, a region where the long-term construction of the orogenic wedge, the development of the Tyrrhenian back-arc basin and later extensional tectonics have interacted through time. </w:t>
      </w:r>
    </w:p>
    <w:p w:rsidR="00AF771B" w:rsidP="00AF771B" w:rsidRDefault="00AF771B" w14:paraId="2836EF48" w14:textId="77777777">
      <w:pPr>
        <w:spacing w:line="480" w:lineRule="auto"/>
        <w:jc w:val="both"/>
        <w:rPr>
          <w:rFonts w:ascii="Times New Roman" w:hAnsi="Times New Roman" w:cs="Times New Roman"/>
          <w:lang w:val="en-US"/>
        </w:rPr>
      </w:pPr>
      <w:r w:rsidRPr="00AF771B">
        <w:rPr>
          <w:rFonts w:ascii="Times New Roman" w:hAnsi="Times New Roman" w:cs="Times New Roman"/>
          <w:lang w:val="en-US"/>
        </w:rPr>
        <w:t xml:space="preserve">The geodynamic evolution of this margin reflects the construction of the foreland-directed shortening Apennine orogenic wedge during subduction and collision involving Africa–Europe convergence, and the subsequent development of the Tyrrhenian extensional margin driven by slab retreat and back-arc opening during Tortonian–Pleistocene (Vitale and Ciarcia, 2013; Ciarcia and Vitale, 2024). </w:t>
      </w:r>
    </w:p>
    <w:p w:rsidRPr="00F666EE" w:rsidR="00F666EE" w:rsidP="00AF771B" w:rsidRDefault="00F666EE" w14:paraId="531BBA31" w14:textId="1A46C66C">
      <w:pPr>
        <w:spacing w:line="480" w:lineRule="auto"/>
        <w:jc w:val="both"/>
        <w:rPr>
          <w:rFonts w:ascii="Times New Roman" w:hAnsi="Times New Roman" w:cs="Times New Roman"/>
          <w:lang w:val="en-US"/>
        </w:rPr>
      </w:pPr>
      <w:r w:rsidRPr="00F666EE">
        <w:rPr>
          <w:rFonts w:ascii="Times New Roman" w:hAnsi="Times New Roman" w:cs="Times New Roman"/>
          <w:lang w:val="en-US"/>
        </w:rPr>
        <w:t xml:space="preserve">Rather than representing a single extensional episode, recent geological and geophysical studies indicate that the eastern Tyrrhenian margin evolved through successive stages of continental extension and hyperextension, associated with the progressive eastward migration of deformation and magmatism accompanying slab rollback. During this evolution, crustal stretching generated rotated fault blocks, low-angle detachment systems, fault-bounded </w:t>
      </w:r>
      <w:proofErr w:type="spellStart"/>
      <w:r w:rsidRPr="00F666EE">
        <w:rPr>
          <w:rFonts w:ascii="Times New Roman" w:hAnsi="Times New Roman" w:cs="Times New Roman"/>
          <w:lang w:val="en-US"/>
        </w:rPr>
        <w:t>depocentres</w:t>
      </w:r>
      <w:proofErr w:type="spellEnd"/>
      <w:r w:rsidRPr="00F666EE">
        <w:rPr>
          <w:rFonts w:ascii="Times New Roman" w:hAnsi="Times New Roman" w:cs="Times New Roman"/>
          <w:lang w:val="en-US"/>
        </w:rPr>
        <w:t xml:space="preserve"> and widespread volcanic activity, producing the inherited structural architecture that presently controls the distribution of carbonate structural highs, sedimentary basins and coastal plains along the peri-Tyrrhenian margin (Milia et al., 2026).</w:t>
      </w:r>
    </w:p>
    <w:p w:rsidRPr="00F666EE" w:rsidR="00F666EE" w:rsidP="00F666EE" w:rsidRDefault="00F666EE" w14:paraId="72A3FC0C" w14:textId="3BE02985">
      <w:pPr>
        <w:spacing w:line="480" w:lineRule="auto"/>
        <w:jc w:val="both"/>
        <w:rPr>
          <w:rFonts w:ascii="Times New Roman" w:hAnsi="Times New Roman" w:cs="Times New Roman"/>
          <w:lang w:val="en-US"/>
        </w:rPr>
      </w:pPr>
      <w:r w:rsidRPr="00F666EE">
        <w:rPr>
          <w:rFonts w:ascii="Times New Roman" w:hAnsi="Times New Roman" w:cs="Times New Roman"/>
          <w:lang w:val="en-US"/>
        </w:rPr>
        <w:t xml:space="preserve">Potential-field modelling and integrated geophysical investigations further show that </w:t>
      </w:r>
      <w:r w:rsidRPr="006E6320" w:rsidR="006E6320">
        <w:rPr>
          <w:rFonts w:ascii="Times New Roman" w:hAnsi="Times New Roman" w:cs="Times New Roman"/>
          <w:lang w:val="en-US"/>
        </w:rPr>
        <w:t>the Tyrrhenian side is characterized by a shallower crustal structure compared to the Apennine belt, with gravity-based estimates placing the crystalline basement at depths of about 2-4 km beneath the Tyrrhenian back-arc domain and up to 14 km beneath the inner Apennine thrust-and-fold belt, while the Moho deepens from about 11 km beneath the back-arc Tyrrhenian basin to more than 34 km beneath the Apennine orogen. This crustal configuration reflects the transition from the thinned Tyrrhenian domain to the structurally thickened Apennine chain and provides a first-order geodynamic framework for interpreting possible spatial differences in coastal vertical land motion</w:t>
      </w:r>
      <w:r w:rsidR="00C33CEA">
        <w:rPr>
          <w:rFonts w:ascii="Times New Roman" w:hAnsi="Times New Roman" w:cs="Times New Roman"/>
          <w:lang w:val="en-US"/>
        </w:rPr>
        <w:t xml:space="preserve"> </w:t>
      </w:r>
      <w:r w:rsidRPr="00F666EE">
        <w:rPr>
          <w:rFonts w:ascii="Times New Roman" w:hAnsi="Times New Roman" w:cs="Times New Roman"/>
          <w:lang w:val="en-US"/>
        </w:rPr>
        <w:t>(</w:t>
      </w:r>
      <w:proofErr w:type="spellStart"/>
      <w:r w:rsidRPr="00F666EE">
        <w:rPr>
          <w:rFonts w:ascii="Times New Roman" w:hAnsi="Times New Roman" w:cs="Times New Roman"/>
          <w:lang w:val="en-US"/>
        </w:rPr>
        <w:t>Kelemework</w:t>
      </w:r>
      <w:proofErr w:type="spellEnd"/>
      <w:r w:rsidRPr="00F666EE">
        <w:rPr>
          <w:rFonts w:ascii="Times New Roman" w:hAnsi="Times New Roman" w:cs="Times New Roman"/>
          <w:lang w:val="en-US"/>
        </w:rPr>
        <w:t xml:space="preserve"> et al., 2021). </w:t>
      </w:r>
    </w:p>
    <w:p w:rsidR="00A42CA2" w:rsidP="00A42CA2" w:rsidRDefault="00A42CA2" w14:paraId="57FFA063" w14:textId="77777777">
      <w:pPr>
        <w:spacing w:line="480" w:lineRule="auto"/>
        <w:jc w:val="both"/>
        <w:rPr>
          <w:rFonts w:ascii="Times New Roman" w:hAnsi="Times New Roman" w:cs="Times New Roman"/>
          <w:lang w:val="en-US"/>
        </w:rPr>
      </w:pPr>
      <w:r w:rsidRPr="48DC3813">
        <w:rPr>
          <w:rFonts w:ascii="Times New Roman" w:hAnsi="Times New Roman" w:cs="Times New Roman"/>
          <w:lang w:val="en-US"/>
        </w:rPr>
        <w:lastRenderedPageBreak/>
        <w:t>The Tyrrhenian margin lies along the western side of the Central–Southern Apennine system, where active subduction is no longer the dominant process and the high topography is not fully compensated by a crustal root (i.e., crustal thickening alone cannot account for the observed elevation) and is associated with positive residual topography, positive vertical motions and a thermal anomaly at Moho depth, suggesting an additional regional component of mantle-driven dynamic support following slab break-off (Lanari et al., 2023).</w:t>
      </w:r>
    </w:p>
    <w:p w:rsidRPr="00F666EE" w:rsidR="00F666EE" w:rsidP="00F666EE" w:rsidRDefault="008E6880" w14:paraId="3539304B" w14:textId="1C055C85">
      <w:pPr>
        <w:spacing w:line="480" w:lineRule="auto"/>
        <w:jc w:val="both"/>
        <w:rPr>
          <w:rFonts w:ascii="Times New Roman" w:hAnsi="Times New Roman" w:cs="Times New Roman"/>
          <w:lang w:val="en-US"/>
        </w:rPr>
      </w:pPr>
      <w:r w:rsidRPr="00122D8B">
        <w:rPr>
          <w:rFonts w:ascii="Times New Roman" w:hAnsi="Times New Roman" w:cs="Times New Roman"/>
          <w:lang w:val="en-US"/>
        </w:rPr>
        <w:t>This implies that a long-wavelength geodynamic component may be superimposed on the regional sea-level signal, whereas local departures may reflect faulting, basin subsidence, sediment compaction or structural inheritance</w:t>
      </w:r>
      <w:r>
        <w:rPr>
          <w:rFonts w:ascii="Times New Roman" w:hAnsi="Times New Roman" w:cs="Times New Roman"/>
          <w:lang w:val="en-US"/>
        </w:rPr>
        <w:t xml:space="preserve"> (</w:t>
      </w:r>
      <w:r w:rsidRPr="00DC5B89">
        <w:rPr>
          <w:rFonts w:ascii="Times New Roman" w:hAnsi="Times New Roman" w:cs="Times New Roman"/>
          <w:lang w:val="en-US"/>
        </w:rPr>
        <w:t>Lanari et al.</w:t>
      </w:r>
      <w:r>
        <w:rPr>
          <w:rFonts w:ascii="Times New Roman" w:hAnsi="Times New Roman" w:cs="Times New Roman"/>
          <w:lang w:val="en-US"/>
        </w:rPr>
        <w:t xml:space="preserve">, </w:t>
      </w:r>
      <w:r w:rsidRPr="00DC5B89">
        <w:rPr>
          <w:rFonts w:ascii="Times New Roman" w:hAnsi="Times New Roman" w:cs="Times New Roman"/>
          <w:lang w:val="en-US"/>
        </w:rPr>
        <w:t>2023)</w:t>
      </w:r>
      <w:r w:rsidRPr="00F666EE" w:rsidR="00F666EE">
        <w:rPr>
          <w:rFonts w:ascii="Times New Roman" w:hAnsi="Times New Roman" w:cs="Times New Roman"/>
          <w:lang w:val="en-US"/>
        </w:rPr>
        <w:t>.</w:t>
      </w:r>
    </w:p>
    <w:p w:rsidRPr="00A428FF" w:rsidR="00F666EE" w:rsidP="55746722" w:rsidRDefault="00F666EE" w14:paraId="57469789" w14:textId="44E28B46">
      <w:pPr>
        <w:spacing w:line="480" w:lineRule="auto"/>
        <w:jc w:val="both"/>
        <w:rPr>
          <w:rFonts w:ascii="Times New Roman" w:hAnsi="Times New Roman" w:cs="Times New Roman"/>
          <w:color w:val="auto"/>
          <w:lang w:val="en-US"/>
        </w:rPr>
      </w:pPr>
      <w:r w:rsidRPr="55746722" w:rsidR="55746722">
        <w:rPr>
          <w:rFonts w:ascii="Times New Roman" w:hAnsi="Times New Roman" w:cs="Times New Roman"/>
          <w:color w:val="auto"/>
          <w:lang w:val="en-US"/>
        </w:rPr>
        <w:t xml:space="preserve">The Tyrrhenian coastal belt displays a strongly segmented morpho-structural architecture, expressed by the alternation of carbonate structural highs (Circeo Promontory, </w:t>
      </w:r>
      <w:r w:rsidRPr="55746722" w:rsidR="55746722">
        <w:rPr>
          <w:rFonts w:ascii="Times New Roman" w:hAnsi="Times New Roman" w:cs="Times New Roman"/>
          <w:color w:val="auto"/>
          <w:lang w:val="en-US"/>
        </w:rPr>
        <w:t>Aurunci</w:t>
      </w:r>
      <w:r w:rsidRPr="55746722" w:rsidR="55746722">
        <w:rPr>
          <w:rFonts w:ascii="Times New Roman" w:hAnsi="Times New Roman" w:cs="Times New Roman"/>
          <w:color w:val="auto"/>
          <w:lang w:val="en-US"/>
        </w:rPr>
        <w:t xml:space="preserve"> Mountains, Mt. </w:t>
      </w:r>
      <w:r w:rsidRPr="55746722" w:rsidR="55746722">
        <w:rPr>
          <w:rFonts w:ascii="Times New Roman" w:hAnsi="Times New Roman" w:cs="Times New Roman"/>
          <w:color w:val="auto"/>
          <w:lang w:val="en-US"/>
        </w:rPr>
        <w:t>Massico</w:t>
      </w:r>
      <w:r w:rsidRPr="55746722" w:rsidR="55746722">
        <w:rPr>
          <w:rFonts w:ascii="Times New Roman" w:hAnsi="Times New Roman" w:cs="Times New Roman"/>
          <w:color w:val="auto"/>
          <w:lang w:val="en-US"/>
        </w:rPr>
        <w:t>, Lattari Mountains and the Cilento Promontory) with fault-controlled sedimentary basins and coastal plains such as the Tiber Delta, Formia–Gaeta, Garigliano, Volturno and Sarno plains. Many of these morpho-structural domains continue offshore and correspond to crustal blocks inherited from the polyphase extensional evolution of the eastern Tyrrhenian margin, where hanging-wall subsidence and footwall uplift generated tilted blocks, accommodation zones and spatially variable subsidence patterns (Tavani et al., 2021; Milia et al., 2026; Aiello et al., 2026).</w:t>
      </w:r>
    </w:p>
    <w:p w:rsidR="001C40A4" w:rsidP="001C40A4" w:rsidRDefault="001C40A4" w14:paraId="13129831" w14:textId="77777777">
      <w:pPr>
        <w:spacing w:line="480" w:lineRule="auto"/>
        <w:jc w:val="both"/>
        <w:rPr>
          <w:rFonts w:ascii="Times New Roman" w:hAnsi="Times New Roman" w:cs="Times New Roman"/>
          <w:lang w:val="en-US"/>
        </w:rPr>
      </w:pPr>
      <w:r w:rsidRPr="001F35CF">
        <w:rPr>
          <w:rFonts w:ascii="Times New Roman" w:hAnsi="Times New Roman" w:cs="Times New Roman"/>
          <w:lang w:val="en-US"/>
        </w:rPr>
        <w:t>This segmentation is particularly evident across the southern Latium–northern Campania transition, where the Ponza–Alife accommodation zone marks a major inherited structural boundary within the Tyrrhenian back-arc margin. This ENE–WSW-oriented system extends from the offshore Ponza Ridge through the Formia–Garigliano area toward the Alife Basin and separates crustal domains affected by different extension directions</w:t>
      </w:r>
      <w:r>
        <w:rPr>
          <w:rFonts w:ascii="Times New Roman" w:hAnsi="Times New Roman" w:cs="Times New Roman"/>
          <w:lang w:val="en-US"/>
        </w:rPr>
        <w:t xml:space="preserve"> </w:t>
      </w:r>
      <w:r w:rsidRPr="001F35CF">
        <w:rPr>
          <w:rFonts w:ascii="Times New Roman" w:hAnsi="Times New Roman" w:cs="Times New Roman"/>
          <w:lang w:val="en-US"/>
        </w:rPr>
        <w:t>(Tavani et al., 2021)</w:t>
      </w:r>
      <w:r>
        <w:rPr>
          <w:rFonts w:ascii="Times New Roman" w:hAnsi="Times New Roman" w:cs="Times New Roman"/>
          <w:lang w:val="en-US"/>
        </w:rPr>
        <w:t>, reflecting how</w:t>
      </w:r>
      <w:r w:rsidRPr="001F35CF">
        <w:rPr>
          <w:rFonts w:ascii="Times New Roman" w:hAnsi="Times New Roman" w:cs="Times New Roman"/>
          <w:lang w:val="en-US"/>
        </w:rPr>
        <w:t xml:space="preserve"> the present-day arrangement of carbonate highs, fault-bounded plains and offshore basins is partly controlled by deep structural inheritance</w:t>
      </w:r>
      <w:r>
        <w:rPr>
          <w:rFonts w:ascii="Times New Roman" w:hAnsi="Times New Roman" w:cs="Times New Roman"/>
          <w:lang w:val="en-US"/>
        </w:rPr>
        <w:t>.</w:t>
      </w:r>
    </w:p>
    <w:p w:rsidRPr="00AB688C" w:rsidR="001141E5" w:rsidP="00F666EE" w:rsidRDefault="00AB688C" w14:paraId="4C40699F" w14:textId="61BB596A">
      <w:pPr>
        <w:spacing w:line="480" w:lineRule="auto"/>
        <w:jc w:val="both"/>
        <w:rPr>
          <w:rFonts w:ascii="Times New Roman" w:hAnsi="Times New Roman" w:cs="Times New Roman"/>
          <w:b/>
          <w:bCs/>
          <w:lang w:val="en-US"/>
        </w:rPr>
      </w:pPr>
      <w:r w:rsidRPr="00AB688C">
        <w:rPr>
          <w:rFonts w:ascii="Times New Roman" w:hAnsi="Times New Roman" w:cs="Times New Roman"/>
          <w:b/>
          <w:bCs/>
          <w:lang w:val="en-US"/>
        </w:rPr>
        <w:t>Linking long-term tectonic inheritance with present-day deformation</w:t>
      </w:r>
    </w:p>
    <w:p w:rsidRPr="00AB688C" w:rsidR="001141E5" w:rsidP="001141E5" w:rsidRDefault="001141E5" w14:paraId="247E1D25" w14:textId="77777777">
      <w:pPr>
        <w:spacing w:line="480" w:lineRule="auto"/>
        <w:jc w:val="both"/>
        <w:rPr>
          <w:rFonts w:ascii="Times New Roman" w:hAnsi="Times New Roman" w:cs="Times New Roman"/>
          <w:lang w:val="en-GB"/>
        </w:rPr>
      </w:pPr>
      <w:r w:rsidRPr="00AB688C">
        <w:rPr>
          <w:rFonts w:ascii="Times New Roman" w:hAnsi="Times New Roman" w:cs="Times New Roman"/>
          <w:lang w:val="en-GB"/>
        </w:rPr>
        <w:lastRenderedPageBreak/>
        <w:t xml:space="preserve">The inherited tectonic framework outlined above represents the long-term geological architecture within which present-day crustal deformation occurs. However, the persistence of inherited structures does not necessarily imply that all fault systems remain equally active today. Independent geodetic observations are therefore required to assess whether the spatial segmentation inherited from the </w:t>
      </w:r>
      <w:proofErr w:type="spellStart"/>
      <w:r w:rsidRPr="00AB688C">
        <w:rPr>
          <w:rFonts w:ascii="Times New Roman" w:hAnsi="Times New Roman" w:cs="Times New Roman"/>
          <w:lang w:val="en-GB"/>
        </w:rPr>
        <w:t>Plio</w:t>
      </w:r>
      <w:proofErr w:type="spellEnd"/>
      <w:r w:rsidRPr="00AB688C">
        <w:rPr>
          <w:rFonts w:ascii="Times New Roman" w:hAnsi="Times New Roman" w:cs="Times New Roman"/>
          <w:lang w:val="en-GB"/>
        </w:rPr>
        <w:t>–Quaternary evolution of the Tyrrhenian margin is still reflected in contemporary vertical land motion.</w:t>
      </w:r>
    </w:p>
    <w:p w:rsidRPr="00AB688C" w:rsidR="001141E5" w:rsidP="001141E5" w:rsidRDefault="001141E5" w14:paraId="1530D868" w14:textId="46A12727">
      <w:pPr>
        <w:spacing w:line="480" w:lineRule="auto"/>
        <w:jc w:val="both"/>
        <w:rPr>
          <w:rFonts w:ascii="Times New Roman" w:hAnsi="Times New Roman" w:cs="Times New Roman"/>
          <w:lang w:val="en-GB"/>
        </w:rPr>
      </w:pPr>
      <w:r w:rsidRPr="00AB688C">
        <w:rPr>
          <w:rFonts w:ascii="Times New Roman" w:hAnsi="Times New Roman" w:cs="Times New Roman"/>
          <w:lang w:val="en-GB"/>
        </w:rPr>
        <w:t xml:space="preserve">Over the last two decades, satellite geodesy has considerably improved the capability to detect millimetric ground deformation. Continuous GNSS observations provide robust estimates of three-dimensional crustal velocities at discrete locations, whereas satellite radar interferometry (InSAR) offers dense spatial coverage of surface displacement by measuring changes in the radar Line-of-Sight (LOS) between repeated satellite acquisitions. The complementary use of these techniques allows regional deformation patterns to be investigated with both high spatial resolution and long-term temporal stability (Ferretti et al., 2001; Crosetto et al., 2016). </w:t>
      </w:r>
    </w:p>
    <w:p w:rsidRPr="00AB688C" w:rsidR="001141E5" w:rsidP="001141E5" w:rsidRDefault="001141E5" w14:paraId="0DEAB798" w14:textId="77777777">
      <w:pPr>
        <w:spacing w:line="480" w:lineRule="auto"/>
        <w:jc w:val="both"/>
        <w:rPr>
          <w:rFonts w:ascii="Times New Roman" w:hAnsi="Times New Roman" w:cs="Times New Roman"/>
          <w:lang w:val="en-GB"/>
        </w:rPr>
      </w:pPr>
      <w:r w:rsidRPr="00AB688C">
        <w:rPr>
          <w:rFonts w:ascii="Times New Roman" w:hAnsi="Times New Roman" w:cs="Times New Roman"/>
          <w:lang w:val="en-GB"/>
        </w:rPr>
        <w:t xml:space="preserve">Persistent Scatterer Interferometry (PSI) and Small Baseline Subset (SBAS) approaches, originally developed for ERS and ENVISAT SAR missions and subsequently extended to the Sentinel-1 constellation, have become standard tools for monitoring ground deformation over both natural and urban environments (Ferretti et al., 2001; Berardino et al., 2002; Ferretti et al., 2011; Crosetto et al., 2016). These multitemporal techniques exploit large SAR image stacks to retrieve displacement time series while minimizing atmospheric artefacts and temporal decorrelation, allowing deformation rates of only a few millimetres per year to be resolved over regional scales. The free and systematic acquisition strategy of the Sentinel-1 mission has further enhanced the capability to monitor long-term crustal deformation continuously across Europe. </w:t>
      </w:r>
    </w:p>
    <w:p w:rsidRPr="00AB688C" w:rsidR="001141E5" w:rsidP="001141E5" w:rsidRDefault="001141E5" w14:paraId="00920356" w14:textId="77777777">
      <w:pPr>
        <w:spacing w:line="480" w:lineRule="auto"/>
        <w:jc w:val="both"/>
        <w:rPr>
          <w:rFonts w:ascii="Times New Roman" w:hAnsi="Times New Roman" w:cs="Times New Roman"/>
          <w:lang w:val="en-GB"/>
        </w:rPr>
      </w:pPr>
      <w:r w:rsidRPr="00AB688C">
        <w:rPr>
          <w:rFonts w:ascii="Times New Roman" w:hAnsi="Times New Roman" w:cs="Times New Roman"/>
          <w:lang w:val="en-GB"/>
        </w:rPr>
        <w:t xml:space="preserve">Within the Tyrrhenian region, InSAR observations have documented highly heterogeneous deformation patterns. Rapid LOS displacements characterize active volcanic districts such as Campi </w:t>
      </w:r>
      <w:proofErr w:type="spellStart"/>
      <w:r w:rsidRPr="00AB688C">
        <w:rPr>
          <w:rFonts w:ascii="Times New Roman" w:hAnsi="Times New Roman" w:cs="Times New Roman"/>
          <w:lang w:val="en-GB"/>
        </w:rPr>
        <w:t>Flegrei</w:t>
      </w:r>
      <w:proofErr w:type="spellEnd"/>
      <w:r w:rsidRPr="00AB688C">
        <w:rPr>
          <w:rFonts w:ascii="Times New Roman" w:hAnsi="Times New Roman" w:cs="Times New Roman"/>
          <w:lang w:val="en-GB"/>
        </w:rPr>
        <w:t xml:space="preserve"> and Ischia, where deformation is primarily controlled by shallow magmatic and hydrothermal processes, whereas non-volcanic sectors generally exhibit significantly lower deformation rates. </w:t>
      </w:r>
      <w:r w:rsidRPr="00AB688C">
        <w:rPr>
          <w:rFonts w:ascii="Times New Roman" w:hAnsi="Times New Roman" w:cs="Times New Roman"/>
          <w:lang w:val="en-GB"/>
        </w:rPr>
        <w:lastRenderedPageBreak/>
        <w:t>Along sedimentary coastal plains, localized subsidence may instead result from sediment compaction, groundwater withdrawal or basin-scale tectonic processes, while carbonate structural highs generally behave as relatively stable sectors suitable for long-term relative sea-level investigations.</w:t>
      </w:r>
    </w:p>
    <w:p w:rsidRPr="00AB688C" w:rsidR="001141E5" w:rsidP="001141E5" w:rsidRDefault="001141E5" w14:paraId="7C96A7CC" w14:textId="72CC3F68">
      <w:pPr>
        <w:spacing w:line="480" w:lineRule="auto"/>
        <w:jc w:val="both"/>
        <w:rPr>
          <w:rFonts w:ascii="Times New Roman" w:hAnsi="Times New Roman" w:cs="Times New Roman"/>
          <w:lang w:val="en-GB"/>
        </w:rPr>
      </w:pPr>
      <w:r w:rsidRPr="55746722" w:rsidR="55746722">
        <w:rPr>
          <w:rFonts w:ascii="Times New Roman" w:hAnsi="Times New Roman" w:cs="Times New Roman"/>
          <w:lang w:val="en-GB"/>
        </w:rPr>
        <w:t xml:space="preserve">Because InSAR measurements </w:t>
      </w:r>
      <w:r w:rsidRPr="55746722" w:rsidR="55746722">
        <w:rPr>
          <w:rFonts w:ascii="Times New Roman" w:hAnsi="Times New Roman" w:cs="Times New Roman"/>
          <w:lang w:val="en-GB"/>
        </w:rPr>
        <w:t>represent</w:t>
      </w:r>
      <w:r w:rsidRPr="55746722" w:rsidR="55746722">
        <w:rPr>
          <w:rFonts w:ascii="Times New Roman" w:hAnsi="Times New Roman" w:cs="Times New Roman"/>
          <w:lang w:val="en-GB"/>
        </w:rPr>
        <w:t xml:space="preserve"> displacement projected along the satellite LOS rather than the true vertical </w:t>
      </w:r>
      <w:r w:rsidRPr="55746722" w:rsidR="55746722">
        <w:rPr>
          <w:rFonts w:ascii="Times New Roman" w:hAnsi="Times New Roman" w:cs="Times New Roman"/>
          <w:lang w:val="en-GB"/>
        </w:rPr>
        <w:t>component</w:t>
      </w:r>
      <w:r w:rsidRPr="55746722" w:rsidR="55746722">
        <w:rPr>
          <w:rFonts w:ascii="Times New Roman" w:hAnsi="Times New Roman" w:cs="Times New Roman"/>
          <w:lang w:val="en-GB"/>
        </w:rPr>
        <w:t xml:space="preserve">, direct comparison with geological observations requires careful interpretation. LOS velocities include both vertical and horizontal deformation according to satellite acquisition geometry. Consequently, </w:t>
      </w:r>
      <w:r w:rsidRPr="55746722" w:rsidR="55746722">
        <w:rPr>
          <w:rFonts w:ascii="Times New Roman" w:hAnsi="Times New Roman" w:cs="Times New Roman"/>
          <w:lang w:val="en-GB"/>
        </w:rPr>
        <w:t>ascending</w:t>
      </w:r>
      <w:r w:rsidRPr="55746722" w:rsidR="55746722">
        <w:rPr>
          <w:rFonts w:ascii="Times New Roman" w:hAnsi="Times New Roman" w:cs="Times New Roman"/>
          <w:lang w:val="en-GB"/>
        </w:rPr>
        <w:t xml:space="preserve"> and descending Sentinel-1 observations are commonly integrated with continuous GNSS measurements to reconstruct the three-dimensional deformation field and to validate InSAR-derived velocity estimates (Crosetto et al., 2016; Ferretti et al., 2007). </w:t>
      </w:r>
    </w:p>
    <w:p w:rsidRPr="0093782F" w:rsidR="0093782F" w:rsidP="00836D30" w:rsidRDefault="001141E5" w14:paraId="2F9E5E1B" w14:textId="75236FF5">
      <w:pPr>
        <w:spacing w:line="480" w:lineRule="auto"/>
        <w:jc w:val="both"/>
        <w:rPr>
          <w:rFonts w:ascii="Times New Roman" w:hAnsi="Times New Roman" w:cs="Times New Roman"/>
          <w:lang w:val="en-GB"/>
        </w:rPr>
      </w:pPr>
      <w:r w:rsidRPr="55746722" w:rsidR="55746722">
        <w:rPr>
          <w:rFonts w:ascii="Times New Roman" w:hAnsi="Times New Roman" w:cs="Times New Roman"/>
          <w:lang w:val="en-GB"/>
        </w:rPr>
        <w:t xml:space="preserve">For the investigated Tyrrhenian coastal sectors, continuous GNSS observations from the INGV Rete </w:t>
      </w:r>
      <w:r w:rsidRPr="55746722" w:rsidR="55746722">
        <w:rPr>
          <w:rFonts w:ascii="Times New Roman" w:hAnsi="Times New Roman" w:cs="Times New Roman"/>
          <w:lang w:val="en-GB"/>
        </w:rPr>
        <w:t>Integrata</w:t>
      </w:r>
      <w:r w:rsidRPr="55746722" w:rsidR="55746722">
        <w:rPr>
          <w:rFonts w:ascii="Times New Roman" w:hAnsi="Times New Roman" w:cs="Times New Roman"/>
          <w:lang w:val="en-GB"/>
        </w:rPr>
        <w:t xml:space="preserve"> Nazionale GNSS (RING) network therefore provide the most robust independent constraint on present-day vertical crustal motion (EPOS-INGV, https://gnss-epos.eu/, last accessed: 19 June 2026; Avallone et al., 2010; INGV RING Working Group, 2016). GNSS observations complement the geological framework by verifying whether the inherited tectonic segmentation identified from geological and geophysical data is still expressed in the contemporary deformation field, while InSAR observations provide the spatial continuity necessary to identify localized deformation associated with active faults, sedimentary basins or volcanic systems.</w:t>
      </w:r>
    </w:p>
    <w:p w:rsidRPr="00836D30" w:rsidR="00836D30" w:rsidP="00836D30" w:rsidRDefault="006A540A" w14:paraId="58721660" w14:textId="06774BDB">
      <w:pPr>
        <w:spacing w:line="480" w:lineRule="auto"/>
        <w:jc w:val="both"/>
        <w:rPr>
          <w:rFonts w:ascii="Times New Roman" w:hAnsi="Times New Roman" w:cs="Times New Roman"/>
          <w:lang w:val="en-US"/>
        </w:rPr>
      </w:pPr>
      <w:r w:rsidRPr="55746722" w:rsidR="55746722">
        <w:rPr>
          <w:rFonts w:ascii="Times New Roman" w:hAnsi="Times New Roman" w:cs="Times New Roman"/>
          <w:lang w:val="en-US"/>
        </w:rPr>
        <w:t>In this study, t</w:t>
      </w:r>
      <w:r w:rsidRPr="55746722" w:rsidR="55746722">
        <w:rPr>
          <w:rFonts w:ascii="Times New Roman" w:hAnsi="Times New Roman" w:cs="Times New Roman"/>
          <w:lang w:val="en-US"/>
        </w:rPr>
        <w:t xml:space="preserve">o evaluate present-day deformation along the investigated coastal sectors, vertical velocities were derived from continuous GNSS stations belonging to the INGV Rete </w:t>
      </w:r>
      <w:proofErr w:type="spellStart"/>
      <w:r w:rsidRPr="55746722" w:rsidR="55746722">
        <w:rPr>
          <w:rFonts w:ascii="Times New Roman" w:hAnsi="Times New Roman" w:cs="Times New Roman"/>
          <w:lang w:val="en-US"/>
        </w:rPr>
        <w:t>Integrata</w:t>
      </w:r>
      <w:proofErr w:type="spellEnd"/>
      <w:r w:rsidRPr="55746722" w:rsidR="55746722">
        <w:rPr>
          <w:rFonts w:ascii="Times New Roman" w:hAnsi="Times New Roman" w:cs="Times New Roman"/>
          <w:lang w:val="en-US"/>
        </w:rPr>
        <w:t xml:space="preserve"> Nazionale GNSS (RING) network (EPOS-INGV, https://gnss-epos.eu/, last accessed: 19 June 2026; Avallone et al., 2010; INGV RING Working Group, 2016).</w:t>
      </w:r>
    </w:p>
    <w:p w:rsidRPr="00F666EE" w:rsidR="00F666EE" w:rsidP="00F666EE" w:rsidRDefault="00836D30" w14:paraId="01836E57" w14:textId="67DDC137">
      <w:pPr>
        <w:spacing w:line="480" w:lineRule="auto"/>
        <w:jc w:val="both"/>
        <w:rPr>
          <w:rFonts w:ascii="Times New Roman" w:hAnsi="Times New Roman" w:cs="Times New Roman"/>
          <w:lang w:val="en-US"/>
        </w:rPr>
      </w:pPr>
      <w:r w:rsidRPr="00836D30">
        <w:rPr>
          <w:rFonts w:ascii="Times New Roman" w:hAnsi="Times New Roman" w:cs="Times New Roman"/>
          <w:lang w:val="en-US"/>
        </w:rPr>
        <w:lastRenderedPageBreak/>
        <w:t>Along the Tyrrhenian coastal belt, the closest RING stations indicate a heterogeneous but generally low-amplitude pattern of vertical motion. Expressed in the ITRF2014 reference frame, most non-volcanic coastal sectors are characterized by velocities close to stability or affected by slight subsidence. The largest negative velocities are recorded at Ponza (VENT00ITA: −0.80 ± 0.37 mm yr⁻¹) and the Sorrento Peninsula (ENAV00ITA: −0.60 ± 0.33 mm yr⁻¹), whereas intermediate subsidence characterizes the Volturno Plain (MODR00ITA: −0.30 ± 0.37 mm yr⁻¹). Cilento (BULG00ITA: +0.10 ± 0.35 mm yr⁻¹) and Northern Latium (INGR00ITA: −0.20 ± 0.28 mm yr⁻¹) remain close to tectonic stability.</w:t>
      </w:r>
      <w:r w:rsidRPr="00402295" w:rsidR="00402295">
        <w:rPr>
          <w:rFonts w:ascii="Times New Roman" w:hAnsi="Times New Roman" w:cs="Times New Roman"/>
          <w:lang w:val="en-US"/>
        </w:rPr>
        <w:t xml:space="preserve"> </w:t>
      </w:r>
      <w:r w:rsidRPr="00F666EE" w:rsidR="00402295">
        <w:rPr>
          <w:rFonts w:ascii="Times New Roman" w:hAnsi="Times New Roman" w:cs="Times New Roman"/>
          <w:lang w:val="en-US"/>
        </w:rPr>
        <w:t>These observations indicate that present-day deformation is spatially heterogeneous but generally modest, reinforcing the interpretation that local structural inheritance and sedimentary processes modulate the long-wavelength geodynamic signal.</w:t>
      </w:r>
      <w:r w:rsidR="00402295">
        <w:rPr>
          <w:rFonts w:ascii="Times New Roman" w:hAnsi="Times New Roman" w:cs="Times New Roman"/>
          <w:lang w:val="en-US"/>
        </w:rPr>
        <w:t xml:space="preserve"> </w:t>
      </w:r>
      <w:r w:rsidRPr="00836D30">
        <w:rPr>
          <w:rFonts w:ascii="Times New Roman" w:hAnsi="Times New Roman" w:cs="Times New Roman"/>
          <w:lang w:val="en-US"/>
        </w:rPr>
        <w:t>Although the magnitude of these present-day velocities is modest, their spatial variability broadly mirrors the inherited structural segmentation of the Tyrrhenian margin. Carbonate promontories generally exhibit greater long-term stability than adjacent fault-bounded sedimentary basins, supporting the interpretation that regional mantle-driven processes are locally modulated by crustal inheritance and basin-specific geological conditions.</w:t>
      </w:r>
    </w:p>
    <w:p w:rsidR="0090423E" w:rsidP="00F666EE" w:rsidRDefault="00F666EE" w14:paraId="4ABA9347" w14:textId="2A2C9F01">
      <w:pPr>
        <w:spacing w:line="480" w:lineRule="auto"/>
        <w:jc w:val="both"/>
        <w:rPr>
          <w:rFonts w:ascii="Times New Roman" w:hAnsi="Times New Roman" w:cs="Times New Roman"/>
          <w:lang w:val="en-US"/>
        </w:rPr>
      </w:pPr>
      <w:r w:rsidRPr="55746722" w:rsidR="55746722">
        <w:rPr>
          <w:rFonts w:ascii="Times New Roman" w:hAnsi="Times New Roman" w:cs="Times New Roman"/>
          <w:lang w:val="en-US"/>
        </w:rPr>
        <w:t>Within this framework, the interpretation of Holocene and Late Quaternary relative sea-level indicators requires a sector-based approach that explicitly accounts for the hierarchical nature of vertical land motion. Regional mantle-driven uplift, crustal deformation inherited from the evolution of the Tyrrhenian back-arc margin, and local geological processes contribute at different spatial and temporal scales to the observed elevation of coastal sea-level markers. Consequently, carbonate promontories, fault-bounded sedimentary plains and volcanic districts cannot be considered as tectonically equivalent settings and should be evaluated separately when reconstructing long-term relative sea-level change.</w:t>
      </w:r>
    </w:p>
    <w:p w:rsidRPr="007D5F14" w:rsidR="00C82ACA" w:rsidP="007D5F14" w:rsidRDefault="0090423E" w14:paraId="0A37A346" w14:textId="40FBFFAB">
      <w:pPr>
        <w:spacing w:line="480" w:lineRule="auto"/>
        <w:jc w:val="both"/>
        <w:rPr>
          <w:rFonts w:ascii="Times New Roman" w:hAnsi="Times New Roman" w:cs="Times New Roman"/>
          <w:b/>
          <w:bCs/>
          <w:color w:val="000000" w:themeColor="text1"/>
        </w:rPr>
      </w:pPr>
      <w:proofErr w:type="spellStart"/>
      <w:r w:rsidRPr="0090423E">
        <w:rPr>
          <w:rFonts w:ascii="Times New Roman" w:hAnsi="Times New Roman" w:cs="Times New Roman"/>
          <w:b/>
          <w:bCs/>
          <w:color w:val="000000" w:themeColor="text1"/>
        </w:rPr>
        <w:lastRenderedPageBreak/>
        <w:t>References</w:t>
      </w:r>
      <w:proofErr w:type="spellEnd"/>
    </w:p>
    <w:p w:rsidRPr="00FD3E89" w:rsidR="00365838" w:rsidP="00FD3E89" w:rsidRDefault="00365838" w14:paraId="70A384B2" w14:textId="137F747F">
      <w:pPr>
        <w:spacing w:line="480" w:lineRule="auto"/>
        <w:jc w:val="both"/>
        <w:rPr>
          <w:rFonts w:ascii="Times New Roman" w:hAnsi="Times New Roman" w:cs="Times New Roman"/>
          <w:color w:val="000000" w:themeColor="text1"/>
        </w:rPr>
      </w:pPr>
      <w:r w:rsidRPr="00365838">
        <w:rPr>
          <w:rFonts w:ascii="Times New Roman" w:hAnsi="Times New Roman" w:cs="Times New Roman"/>
          <w:color w:val="000000" w:themeColor="text1"/>
        </w:rPr>
        <w:t xml:space="preserve">Aiello, G., Iorio, M., Meo, A., &amp; Senatore, M. R. (2026). </w:t>
      </w:r>
      <w:proofErr w:type="spellStart"/>
      <w:r w:rsidRPr="00365838">
        <w:rPr>
          <w:rFonts w:ascii="Times New Roman" w:hAnsi="Times New Roman" w:cs="Times New Roman"/>
          <w:color w:val="000000" w:themeColor="text1"/>
          <w:lang w:val="en-US"/>
        </w:rPr>
        <w:t>Seismo</w:t>
      </w:r>
      <w:proofErr w:type="spellEnd"/>
      <w:r w:rsidRPr="00365838">
        <w:rPr>
          <w:rFonts w:ascii="Times New Roman" w:hAnsi="Times New Roman" w:cs="Times New Roman"/>
          <w:color w:val="000000" w:themeColor="text1"/>
          <w:lang w:val="en-US"/>
        </w:rPr>
        <w:t xml:space="preserve">-Stratigraphic Architecture of the Campania–Latium Tyrrhenian Margin: New Insights from High-Resolution Sparker Profiles. </w:t>
      </w:r>
      <w:r w:rsidRPr="00FD3E89">
        <w:rPr>
          <w:rFonts w:ascii="Times New Roman" w:hAnsi="Times New Roman" w:cs="Times New Roman"/>
          <w:color w:val="000000" w:themeColor="text1"/>
        </w:rPr>
        <w:t xml:space="preserve">Journal of Marine Science and Engineering, 14(3), 269. </w:t>
      </w:r>
      <w:hyperlink w:history="1" r:id="rId4">
        <w:r w:rsidRPr="00FD3E89">
          <w:rPr>
            <w:rStyle w:val="Collegamentoipertestuale"/>
            <w:rFonts w:ascii="Times New Roman" w:hAnsi="Times New Roman" w:cs="Times New Roman"/>
          </w:rPr>
          <w:t>https://doi.org/10.3390/jmse14030269</w:t>
        </w:r>
      </w:hyperlink>
      <w:r w:rsidRPr="00FD3E89">
        <w:rPr>
          <w:rFonts w:ascii="Times New Roman" w:hAnsi="Times New Roman" w:cs="Times New Roman"/>
          <w:color w:val="000000" w:themeColor="text1"/>
        </w:rPr>
        <w:t xml:space="preserve"> </w:t>
      </w:r>
    </w:p>
    <w:p w:rsidR="00B240EC" w:rsidP="00FD3E89" w:rsidRDefault="00B240EC" w14:paraId="6633C3A7" w14:textId="6DBAFB6B">
      <w:pPr>
        <w:spacing w:line="480" w:lineRule="auto"/>
        <w:jc w:val="both"/>
        <w:rPr>
          <w:rFonts w:ascii="Times New Roman" w:hAnsi="Times New Roman" w:cs="Times New Roman"/>
          <w:color w:val="000000" w:themeColor="text1"/>
          <w:lang w:val="en-US"/>
        </w:rPr>
      </w:pPr>
      <w:r w:rsidRPr="00B240EC">
        <w:rPr>
          <w:rFonts w:ascii="Times New Roman" w:hAnsi="Times New Roman" w:cs="Times New Roman"/>
          <w:color w:val="000000" w:themeColor="text1"/>
        </w:rPr>
        <w:t xml:space="preserve">Avallone, A., Selvaggi, G., D'Anastasio, E., D'Agostino, N., Pietrantonio, G., Riguzzi, F., Serpelloni, E., </w:t>
      </w:r>
      <w:proofErr w:type="spellStart"/>
      <w:r w:rsidRPr="00B240EC">
        <w:rPr>
          <w:rFonts w:ascii="Times New Roman" w:hAnsi="Times New Roman" w:cs="Times New Roman"/>
          <w:color w:val="000000" w:themeColor="text1"/>
        </w:rPr>
        <w:t>Anzidei</w:t>
      </w:r>
      <w:proofErr w:type="spellEnd"/>
      <w:r w:rsidRPr="00B240EC">
        <w:rPr>
          <w:rFonts w:ascii="Times New Roman" w:hAnsi="Times New Roman" w:cs="Times New Roman"/>
          <w:color w:val="000000" w:themeColor="text1"/>
        </w:rPr>
        <w:t xml:space="preserve">, M., Casula, G., Cecere, G., D'Ambrosio, C., De Martino, P., Devoti, R., Falco, L., Mattia, M., Rossi, M., Obrizzo, F., Tammaro, U., &amp; Zarrilli, L. (2010). </w:t>
      </w:r>
      <w:r w:rsidRPr="00B240EC">
        <w:rPr>
          <w:rFonts w:ascii="Times New Roman" w:hAnsi="Times New Roman" w:cs="Times New Roman"/>
          <w:color w:val="000000" w:themeColor="text1"/>
          <w:lang w:val="en-US"/>
        </w:rPr>
        <w:t xml:space="preserve">The RING network: improvement of a GPS velocity field in the central Mediterranean. Annals of Geophysics, 53(2), 39–54. </w:t>
      </w:r>
      <w:hyperlink w:history="1" r:id="rId5">
        <w:r w:rsidRPr="005B1244">
          <w:rPr>
            <w:rStyle w:val="Collegamentoipertestuale"/>
            <w:rFonts w:ascii="Times New Roman" w:hAnsi="Times New Roman" w:cs="Times New Roman"/>
            <w:lang w:val="en-US"/>
          </w:rPr>
          <w:t>https://doi.org/10.4401/ag-4549</w:t>
        </w:r>
      </w:hyperlink>
      <w:r>
        <w:rPr>
          <w:rFonts w:ascii="Times New Roman" w:hAnsi="Times New Roman" w:cs="Times New Roman"/>
          <w:color w:val="000000" w:themeColor="text1"/>
          <w:lang w:val="en-US"/>
        </w:rPr>
        <w:t xml:space="preserve"> </w:t>
      </w:r>
    </w:p>
    <w:p w:rsidR="00966349" w:rsidP="00FD3E89" w:rsidRDefault="00966349" w14:paraId="78585332" w14:textId="28C9E9CB">
      <w:pPr>
        <w:spacing w:line="480" w:lineRule="auto"/>
        <w:jc w:val="both"/>
        <w:rPr>
          <w:rFonts w:ascii="Times New Roman" w:hAnsi="Times New Roman" w:cs="Times New Roman"/>
          <w:color w:val="000000" w:themeColor="text1"/>
          <w:lang w:val="en-US"/>
        </w:rPr>
      </w:pPr>
      <w:r w:rsidRPr="00966349">
        <w:rPr>
          <w:rFonts w:ascii="Times New Roman" w:hAnsi="Times New Roman" w:cs="Times New Roman"/>
          <w:color w:val="000000" w:themeColor="text1"/>
          <w:lang w:val="en-US"/>
        </w:rPr>
        <w:t>Berardino, P., Fornaro, G., Lanari, R., &amp; Sansosti, E. (2002). A New Algorithm for Surface Deformation Monitoring Based on Small Baseline Differential SAR Interferograms. IEEE Transactions on Geoscience and Remote Sensing, 40, 2375–2383.</w:t>
      </w:r>
      <w:r w:rsidR="0088275B">
        <w:rPr>
          <w:rFonts w:ascii="Times New Roman" w:hAnsi="Times New Roman" w:cs="Times New Roman"/>
          <w:color w:val="000000" w:themeColor="text1"/>
          <w:lang w:val="en-US"/>
        </w:rPr>
        <w:t xml:space="preserve"> </w:t>
      </w:r>
      <w:hyperlink w:history="1" r:id="rId6">
        <w:r w:rsidRPr="0000012F" w:rsidR="0088275B">
          <w:rPr>
            <w:rStyle w:val="Collegamentoipertestuale"/>
            <w:rFonts w:ascii="Times New Roman" w:hAnsi="Times New Roman" w:cs="Times New Roman"/>
            <w:lang w:val="en-US"/>
          </w:rPr>
          <w:t>https://doi.org/10.1109/TGRS.2002.803792</w:t>
        </w:r>
      </w:hyperlink>
    </w:p>
    <w:p w:rsidR="0069443B" w:rsidP="00FD3E89" w:rsidRDefault="0069443B" w14:paraId="30ECC9A2" w14:textId="500C447C">
      <w:pPr>
        <w:spacing w:line="480" w:lineRule="auto"/>
        <w:jc w:val="both"/>
        <w:rPr>
          <w:rFonts w:ascii="Times New Roman" w:hAnsi="Times New Roman" w:cs="Times New Roman"/>
          <w:color w:val="000000" w:themeColor="text1"/>
          <w:lang w:val="en-US"/>
        </w:rPr>
      </w:pPr>
      <w:r w:rsidRPr="0069443B">
        <w:rPr>
          <w:rFonts w:ascii="Times New Roman" w:hAnsi="Times New Roman" w:cs="Times New Roman"/>
          <w:color w:val="000000" w:themeColor="text1"/>
          <w:lang w:val="en-US"/>
        </w:rPr>
        <w:t xml:space="preserve">Crosetto, M., Monserrat, O., Cuevas-González, M., </w:t>
      </w:r>
      <w:proofErr w:type="spellStart"/>
      <w:r w:rsidRPr="0069443B">
        <w:rPr>
          <w:rFonts w:ascii="Times New Roman" w:hAnsi="Times New Roman" w:cs="Times New Roman"/>
          <w:color w:val="000000" w:themeColor="text1"/>
          <w:lang w:val="en-US"/>
        </w:rPr>
        <w:t>Devanthéry</w:t>
      </w:r>
      <w:proofErr w:type="spellEnd"/>
      <w:r w:rsidRPr="0069443B">
        <w:rPr>
          <w:rFonts w:ascii="Times New Roman" w:hAnsi="Times New Roman" w:cs="Times New Roman"/>
          <w:color w:val="000000" w:themeColor="text1"/>
          <w:lang w:val="en-US"/>
        </w:rPr>
        <w:t>, N., &amp; Crippa, B. (2016). Persistent Scatterer Interferometry: A Review. ISPRS Journal of Photogrammetry and Remote Sensing, 115, 78–89.</w:t>
      </w:r>
      <w:r w:rsidR="00966349">
        <w:rPr>
          <w:rFonts w:ascii="Times New Roman" w:hAnsi="Times New Roman" w:cs="Times New Roman"/>
          <w:color w:val="000000" w:themeColor="text1"/>
          <w:lang w:val="en-US"/>
        </w:rPr>
        <w:t xml:space="preserve"> </w:t>
      </w:r>
      <w:hyperlink w:history="1" r:id="rId7">
        <w:r w:rsidRPr="0000012F" w:rsidR="00966349">
          <w:rPr>
            <w:rStyle w:val="Collegamentoipertestuale"/>
            <w:rFonts w:ascii="Times New Roman" w:hAnsi="Times New Roman" w:cs="Times New Roman"/>
            <w:lang w:val="en-US"/>
          </w:rPr>
          <w:t>https://doi.org/10.1016/j.isprsjprs.2015.10.011</w:t>
        </w:r>
      </w:hyperlink>
    </w:p>
    <w:p w:rsidR="00F11484" w:rsidP="00F11484" w:rsidRDefault="00F11484" w14:paraId="2D405222" w14:textId="7F2507FA">
      <w:pPr>
        <w:spacing w:line="480" w:lineRule="auto"/>
        <w:jc w:val="both"/>
        <w:rPr>
          <w:rFonts w:ascii="Times New Roman" w:hAnsi="Times New Roman" w:cs="Times New Roman"/>
          <w:color w:val="000000" w:themeColor="text1"/>
          <w:lang w:val="en-US"/>
        </w:rPr>
      </w:pPr>
      <w:r w:rsidRPr="00F11484">
        <w:rPr>
          <w:rFonts w:ascii="Times New Roman" w:hAnsi="Times New Roman" w:cs="Times New Roman"/>
          <w:color w:val="000000" w:themeColor="text1"/>
          <w:lang w:val="en-US"/>
        </w:rPr>
        <w:t xml:space="preserve">Ferretti, A., Prati, C., &amp; Rocca, F. (2001). Permanent Scatterers in SAR Interferometry. IEEE Transactions on Geoscience and Remote Sensing, 39, 8–20. </w:t>
      </w:r>
      <w:r w:rsidR="005E5935">
        <w:rPr>
          <w:rFonts w:ascii="Times New Roman" w:hAnsi="Times New Roman" w:cs="Times New Roman"/>
          <w:color w:val="000000" w:themeColor="text1"/>
          <w:lang w:val="en-US"/>
        </w:rPr>
        <w:t xml:space="preserve"> </w:t>
      </w:r>
      <w:hyperlink w:history="1" r:id="rId8">
        <w:r w:rsidRPr="0000012F" w:rsidR="0007255C">
          <w:rPr>
            <w:rStyle w:val="Collegamentoipertestuale"/>
            <w:rFonts w:ascii="Times New Roman" w:hAnsi="Times New Roman" w:cs="Times New Roman"/>
            <w:lang w:val="en-US"/>
          </w:rPr>
          <w:t>https://doi.org/0.1109/36.898661</w:t>
        </w:r>
      </w:hyperlink>
    </w:p>
    <w:p w:rsidR="00F11484" w:rsidP="00F11484" w:rsidRDefault="00F11484" w14:paraId="74E01093" w14:textId="728BA733">
      <w:pPr>
        <w:spacing w:line="480" w:lineRule="auto"/>
        <w:jc w:val="both"/>
        <w:rPr>
          <w:rFonts w:ascii="Times New Roman" w:hAnsi="Times New Roman" w:cs="Times New Roman"/>
          <w:color w:val="000000" w:themeColor="text1"/>
          <w:lang w:val="en-US"/>
        </w:rPr>
      </w:pPr>
      <w:r w:rsidRPr="00F11484">
        <w:rPr>
          <w:rFonts w:ascii="Times New Roman" w:hAnsi="Times New Roman" w:cs="Times New Roman"/>
          <w:color w:val="000000" w:themeColor="text1"/>
          <w:lang w:val="en-US"/>
        </w:rPr>
        <w:t xml:space="preserve">Ferretti, A., Fumagalli, A., Novali, F., Prati, C., Rocca, F., &amp; Rucci, A. (2011). A New Algorithm for Processing Interferometric Data Stacks: </w:t>
      </w:r>
      <w:proofErr w:type="spellStart"/>
      <w:r w:rsidRPr="00F11484">
        <w:rPr>
          <w:rFonts w:ascii="Times New Roman" w:hAnsi="Times New Roman" w:cs="Times New Roman"/>
          <w:color w:val="000000" w:themeColor="text1"/>
          <w:lang w:val="en-US"/>
        </w:rPr>
        <w:t>SqueeSAR</w:t>
      </w:r>
      <w:proofErr w:type="spellEnd"/>
      <w:r w:rsidRPr="00F11484">
        <w:rPr>
          <w:rFonts w:ascii="Times New Roman" w:hAnsi="Times New Roman" w:cs="Times New Roman"/>
          <w:color w:val="000000" w:themeColor="text1"/>
          <w:lang w:val="en-US"/>
        </w:rPr>
        <w:t>. IEEE Transactions on Geoscience and Remote Sensing.</w:t>
      </w:r>
      <w:r w:rsidR="009734E7">
        <w:rPr>
          <w:rFonts w:ascii="Times New Roman" w:hAnsi="Times New Roman" w:cs="Times New Roman"/>
          <w:color w:val="000000" w:themeColor="text1"/>
          <w:lang w:val="en-US"/>
        </w:rPr>
        <w:t xml:space="preserve"> </w:t>
      </w:r>
      <w:hyperlink w:history="1" r:id="rId9">
        <w:r w:rsidRPr="0000012F" w:rsidR="009734E7">
          <w:rPr>
            <w:rStyle w:val="Collegamentoipertestuale"/>
            <w:rFonts w:ascii="Times New Roman" w:hAnsi="Times New Roman" w:cs="Times New Roman"/>
            <w:lang w:val="en-US"/>
          </w:rPr>
          <w:t>https://doi.org</w:t>
        </w:r>
        <w:r w:rsidRPr="0000012F" w:rsidR="009734E7">
          <w:rPr>
            <w:rStyle w:val="Collegamentoipertestuale"/>
            <w:rFonts w:ascii="Times New Roman" w:hAnsi="Times New Roman" w:cs="Times New Roman"/>
            <w:lang w:val="en-US"/>
          </w:rPr>
          <w:t>/</w:t>
        </w:r>
        <w:r w:rsidRPr="0000012F" w:rsidR="009734E7">
          <w:rPr>
            <w:rStyle w:val="Collegamentoipertestuale"/>
            <w:rFonts w:ascii="Times New Roman" w:hAnsi="Times New Roman" w:cs="Times New Roman"/>
            <w:lang w:val="en-US"/>
          </w:rPr>
          <w:t>10.1109/TGRS.2011.2124465</w:t>
        </w:r>
      </w:hyperlink>
    </w:p>
    <w:p w:rsidRPr="00B240EC" w:rsidR="00B240EC" w:rsidP="00FD3E89" w:rsidRDefault="00B240EC" w14:paraId="5148EB3F" w14:textId="2696F862">
      <w:pPr>
        <w:spacing w:line="480" w:lineRule="auto"/>
        <w:jc w:val="both"/>
        <w:rPr>
          <w:rFonts w:ascii="Times New Roman" w:hAnsi="Times New Roman" w:cs="Times New Roman"/>
          <w:color w:val="000000" w:themeColor="text1"/>
        </w:rPr>
      </w:pPr>
      <w:r w:rsidRPr="00B240EC">
        <w:rPr>
          <w:rFonts w:ascii="Times New Roman" w:hAnsi="Times New Roman" w:cs="Times New Roman"/>
          <w:color w:val="000000" w:themeColor="text1"/>
          <w:lang w:val="en-US"/>
        </w:rPr>
        <w:t xml:space="preserve">INGV RING Working Group. </w:t>
      </w:r>
      <w:r w:rsidRPr="00B240EC">
        <w:rPr>
          <w:rFonts w:ascii="Times New Roman" w:hAnsi="Times New Roman" w:cs="Times New Roman"/>
          <w:color w:val="000000" w:themeColor="text1"/>
        </w:rPr>
        <w:t xml:space="preserve">(2016). Rete Integrata Nazionale GPS (RING) [Data set]. Istituto Nazionale di Geofisica e Vulcanologia (INGV). </w:t>
      </w:r>
      <w:hyperlink w:history="1" r:id="rId10">
        <w:r w:rsidRPr="005B1244">
          <w:rPr>
            <w:rStyle w:val="Collegamentoipertestuale"/>
            <w:rFonts w:ascii="Times New Roman" w:hAnsi="Times New Roman" w:cs="Times New Roman"/>
          </w:rPr>
          <w:t>https://doi.org/10.13127/ring</w:t>
        </w:r>
      </w:hyperlink>
      <w:r>
        <w:rPr>
          <w:rFonts w:ascii="Times New Roman" w:hAnsi="Times New Roman" w:cs="Times New Roman"/>
          <w:color w:val="000000" w:themeColor="text1"/>
        </w:rPr>
        <w:t xml:space="preserve"> </w:t>
      </w:r>
    </w:p>
    <w:p w:rsidRPr="00365838" w:rsidR="00365838" w:rsidP="00FD3E89" w:rsidRDefault="00365838" w14:paraId="13354AB8" w14:textId="3F2FBD8D">
      <w:pPr>
        <w:spacing w:line="480" w:lineRule="auto"/>
        <w:jc w:val="both"/>
        <w:rPr>
          <w:rFonts w:ascii="Times New Roman" w:hAnsi="Times New Roman" w:cs="Times New Roman"/>
        </w:rPr>
      </w:pPr>
      <w:proofErr w:type="spellStart"/>
      <w:r w:rsidRPr="00FD3E89">
        <w:rPr>
          <w:rFonts w:ascii="Times New Roman" w:hAnsi="Times New Roman" w:cs="Times New Roman"/>
        </w:rPr>
        <w:lastRenderedPageBreak/>
        <w:t>Kelemework</w:t>
      </w:r>
      <w:proofErr w:type="spellEnd"/>
      <w:r w:rsidRPr="00FD3E89">
        <w:rPr>
          <w:rFonts w:ascii="Times New Roman" w:hAnsi="Times New Roman" w:cs="Times New Roman"/>
        </w:rPr>
        <w:t xml:space="preserve">, Y., Milano, M., La Manna, M. et al. </w:t>
      </w:r>
      <w:r w:rsidRPr="00365838">
        <w:rPr>
          <w:rFonts w:ascii="Times New Roman" w:hAnsi="Times New Roman" w:cs="Times New Roman"/>
          <w:lang w:val="en-US"/>
        </w:rPr>
        <w:t xml:space="preserve">Crustal structure in the Campanian region (Southern Apennines, Italy) from potential field modelling. </w:t>
      </w:r>
      <w:r w:rsidRPr="00D666BC">
        <w:rPr>
          <w:rFonts w:ascii="Times New Roman" w:hAnsi="Times New Roman" w:cs="Times New Roman"/>
        </w:rPr>
        <w:t xml:space="preserve">Sci Rep 11, 14510 (2021). </w:t>
      </w:r>
      <w:hyperlink w:history="1" r:id="rId11">
        <w:r w:rsidRPr="00365838">
          <w:rPr>
            <w:rStyle w:val="Collegamentoipertestuale"/>
            <w:rFonts w:ascii="Times New Roman" w:hAnsi="Times New Roman" w:cs="Times New Roman"/>
          </w:rPr>
          <w:t>https://doi.org/10.1038/s41598-021-93945-8</w:t>
        </w:r>
      </w:hyperlink>
    </w:p>
    <w:p w:rsidRPr="00D666BC" w:rsidR="00365838" w:rsidP="00FD3E89" w:rsidRDefault="00365838" w14:paraId="26071C46" w14:textId="334ED4AB">
      <w:pPr>
        <w:spacing w:line="480" w:lineRule="auto"/>
        <w:jc w:val="both"/>
        <w:rPr>
          <w:rFonts w:ascii="Times New Roman" w:hAnsi="Times New Roman" w:cs="Times New Roman"/>
          <w:lang w:val="en-US"/>
        </w:rPr>
      </w:pPr>
      <w:r w:rsidRPr="00365838">
        <w:rPr>
          <w:rFonts w:ascii="Times New Roman" w:hAnsi="Times New Roman" w:cs="Times New Roman"/>
        </w:rPr>
        <w:t xml:space="preserve">Lanari, R., Reitano, R., </w:t>
      </w:r>
      <w:proofErr w:type="spellStart"/>
      <w:r w:rsidRPr="00365838">
        <w:rPr>
          <w:rFonts w:ascii="Times New Roman" w:hAnsi="Times New Roman" w:cs="Times New Roman"/>
        </w:rPr>
        <w:t>Faccenna</w:t>
      </w:r>
      <w:proofErr w:type="spellEnd"/>
      <w:r w:rsidRPr="00365838">
        <w:rPr>
          <w:rFonts w:ascii="Times New Roman" w:hAnsi="Times New Roman" w:cs="Times New Roman"/>
        </w:rPr>
        <w:t>,</w:t>
      </w:r>
      <w:r>
        <w:rPr>
          <w:rFonts w:ascii="Times New Roman" w:hAnsi="Times New Roman" w:cs="Times New Roman"/>
        </w:rPr>
        <w:t xml:space="preserve"> </w:t>
      </w:r>
      <w:r w:rsidRPr="00365838">
        <w:rPr>
          <w:rFonts w:ascii="Times New Roman" w:hAnsi="Times New Roman" w:cs="Times New Roman"/>
        </w:rPr>
        <w:t xml:space="preserve">C., </w:t>
      </w:r>
      <w:proofErr w:type="spellStart"/>
      <w:r w:rsidRPr="00365838">
        <w:rPr>
          <w:rFonts w:ascii="Times New Roman" w:hAnsi="Times New Roman" w:cs="Times New Roman"/>
        </w:rPr>
        <w:t>Agostinetti</w:t>
      </w:r>
      <w:proofErr w:type="spellEnd"/>
      <w:r w:rsidRPr="00365838">
        <w:rPr>
          <w:rFonts w:ascii="Times New Roman" w:hAnsi="Times New Roman" w:cs="Times New Roman"/>
        </w:rPr>
        <w:t>, N. P., &amp; Ballato, P.</w:t>
      </w:r>
      <w:r>
        <w:rPr>
          <w:rFonts w:ascii="Times New Roman" w:hAnsi="Times New Roman" w:cs="Times New Roman"/>
        </w:rPr>
        <w:t xml:space="preserve"> </w:t>
      </w:r>
      <w:r w:rsidRPr="00365838">
        <w:rPr>
          <w:rFonts w:ascii="Times New Roman" w:hAnsi="Times New Roman" w:cs="Times New Roman"/>
        </w:rPr>
        <w:t xml:space="preserve">(2023). </w:t>
      </w:r>
      <w:r w:rsidRPr="00365838">
        <w:rPr>
          <w:rFonts w:ascii="Times New Roman" w:hAnsi="Times New Roman" w:cs="Times New Roman"/>
          <w:lang w:val="en-US"/>
        </w:rPr>
        <w:t>Surface and crustal response</w:t>
      </w:r>
      <w:r>
        <w:rPr>
          <w:rFonts w:ascii="Times New Roman" w:hAnsi="Times New Roman" w:cs="Times New Roman"/>
          <w:lang w:val="en-US"/>
        </w:rPr>
        <w:t xml:space="preserve"> </w:t>
      </w:r>
      <w:r w:rsidRPr="00365838">
        <w:rPr>
          <w:rFonts w:ascii="Times New Roman" w:hAnsi="Times New Roman" w:cs="Times New Roman"/>
          <w:lang w:val="en-US"/>
        </w:rPr>
        <w:t>to deep subduction dynamics: Insights</w:t>
      </w:r>
      <w:r>
        <w:rPr>
          <w:rFonts w:ascii="Times New Roman" w:hAnsi="Times New Roman" w:cs="Times New Roman"/>
          <w:lang w:val="en-US"/>
        </w:rPr>
        <w:t xml:space="preserve"> </w:t>
      </w:r>
      <w:r w:rsidRPr="00365838">
        <w:rPr>
          <w:rFonts w:ascii="Times New Roman" w:hAnsi="Times New Roman" w:cs="Times New Roman"/>
          <w:lang w:val="en-US"/>
        </w:rPr>
        <w:t>from the Apennines, Italy. Tectonics,</w:t>
      </w:r>
      <w:r>
        <w:rPr>
          <w:rFonts w:ascii="Times New Roman" w:hAnsi="Times New Roman" w:cs="Times New Roman"/>
          <w:lang w:val="en-US"/>
        </w:rPr>
        <w:t xml:space="preserve"> </w:t>
      </w:r>
      <w:r w:rsidRPr="00365838">
        <w:rPr>
          <w:rFonts w:ascii="Times New Roman" w:hAnsi="Times New Roman" w:cs="Times New Roman"/>
          <w:lang w:val="en-US"/>
        </w:rPr>
        <w:t xml:space="preserve">42, e2022TC007461. </w:t>
      </w:r>
      <w:hyperlink w:history="1" r:id="rId12">
        <w:r w:rsidRPr="00D666BC">
          <w:rPr>
            <w:rStyle w:val="Collegamentoipertestuale"/>
            <w:rFonts w:ascii="Times New Roman" w:hAnsi="Times New Roman" w:cs="Times New Roman"/>
            <w:lang w:val="en-US"/>
          </w:rPr>
          <w:t>https://doi.org/10.1029/2022TC007461</w:t>
        </w:r>
      </w:hyperlink>
    </w:p>
    <w:p w:rsidR="0090423E" w:rsidP="00FD3E89" w:rsidRDefault="0090423E" w14:paraId="1EE28406" w14:textId="77777777">
      <w:pPr>
        <w:spacing w:line="480" w:lineRule="auto"/>
        <w:jc w:val="both"/>
        <w:rPr>
          <w:rFonts w:ascii="Times New Roman" w:hAnsi="Times New Roman" w:cs="Times New Roman"/>
        </w:rPr>
      </w:pPr>
      <w:r w:rsidRPr="00365838">
        <w:rPr>
          <w:rFonts w:ascii="Times New Roman" w:hAnsi="Times New Roman" w:cs="Times New Roman"/>
          <w:lang w:val="en-US"/>
        </w:rPr>
        <w:t xml:space="preserve">Sabatino Ciarcia, Stefano Vitale; Orogenic evolution of the northern Calabria–southern Apennines system in the framework of the Alpine chains in the central-western Mediterranean area. </w:t>
      </w:r>
      <w:r w:rsidRPr="00365838">
        <w:rPr>
          <w:rFonts w:ascii="Times New Roman" w:hAnsi="Times New Roman" w:cs="Times New Roman"/>
        </w:rPr>
        <w:t xml:space="preserve">GSA </w:t>
      </w:r>
      <w:proofErr w:type="spellStart"/>
      <w:r w:rsidRPr="00365838">
        <w:rPr>
          <w:rFonts w:ascii="Times New Roman" w:hAnsi="Times New Roman" w:cs="Times New Roman"/>
        </w:rPr>
        <w:t>Bulletin</w:t>
      </w:r>
      <w:proofErr w:type="spellEnd"/>
      <w:r w:rsidRPr="00365838">
        <w:rPr>
          <w:rFonts w:ascii="Times New Roman" w:hAnsi="Times New Roman" w:cs="Times New Roman"/>
        </w:rPr>
        <w:t xml:space="preserve"> </w:t>
      </w:r>
      <w:proofErr w:type="gramStart"/>
      <w:r w:rsidRPr="00365838">
        <w:rPr>
          <w:rFonts w:ascii="Times New Roman" w:hAnsi="Times New Roman" w:cs="Times New Roman"/>
        </w:rPr>
        <w:t>2024;;</w:t>
      </w:r>
      <w:proofErr w:type="gramEnd"/>
      <w:r w:rsidRPr="00365838">
        <w:rPr>
          <w:rFonts w:ascii="Times New Roman" w:hAnsi="Times New Roman" w:cs="Times New Roman"/>
        </w:rPr>
        <w:t xml:space="preserve"> 137 (3-4): 1143–1176. </w:t>
      </w:r>
      <w:proofErr w:type="spellStart"/>
      <w:r w:rsidRPr="00365838">
        <w:rPr>
          <w:rFonts w:ascii="Times New Roman" w:hAnsi="Times New Roman" w:cs="Times New Roman"/>
        </w:rPr>
        <w:t>doi</w:t>
      </w:r>
      <w:proofErr w:type="spellEnd"/>
      <w:r w:rsidRPr="00365838">
        <w:rPr>
          <w:rFonts w:ascii="Times New Roman" w:hAnsi="Times New Roman" w:cs="Times New Roman"/>
        </w:rPr>
        <w:t xml:space="preserve">: </w:t>
      </w:r>
      <w:hyperlink w:history="1" r:id="rId13">
        <w:r w:rsidRPr="00050959">
          <w:rPr>
            <w:rStyle w:val="Collegamentoipertestuale"/>
            <w:rFonts w:ascii="Times New Roman" w:hAnsi="Times New Roman" w:cs="Times New Roman"/>
          </w:rPr>
          <w:t>https://doi.org/10.1130/B37474.1</w:t>
        </w:r>
      </w:hyperlink>
    </w:p>
    <w:p w:rsidR="00365838" w:rsidP="00FD3E89" w:rsidRDefault="00365838" w14:paraId="2D04E358" w14:textId="4547F124">
      <w:pPr>
        <w:spacing w:line="480" w:lineRule="auto"/>
        <w:jc w:val="both"/>
        <w:rPr>
          <w:rFonts w:ascii="Times New Roman" w:hAnsi="Times New Roman" w:cs="Times New Roman"/>
        </w:rPr>
      </w:pPr>
      <w:r w:rsidRPr="00365838">
        <w:rPr>
          <w:rFonts w:ascii="Times New Roman" w:hAnsi="Times New Roman" w:cs="Times New Roman"/>
        </w:rPr>
        <w:t>Tavani, S., Cardello, G. L., Vignaroli,</w:t>
      </w:r>
      <w:r>
        <w:rPr>
          <w:rFonts w:ascii="Times New Roman" w:hAnsi="Times New Roman" w:cs="Times New Roman"/>
        </w:rPr>
        <w:t xml:space="preserve"> </w:t>
      </w:r>
      <w:r w:rsidRPr="00365838">
        <w:rPr>
          <w:rFonts w:ascii="Times New Roman" w:hAnsi="Times New Roman" w:cs="Times New Roman"/>
        </w:rPr>
        <w:t>G., Balsamo, F., Parente, M., Sabbatino,</w:t>
      </w:r>
      <w:r>
        <w:rPr>
          <w:rFonts w:ascii="Times New Roman" w:hAnsi="Times New Roman" w:cs="Times New Roman"/>
        </w:rPr>
        <w:t xml:space="preserve"> </w:t>
      </w:r>
      <w:r w:rsidRPr="00365838">
        <w:rPr>
          <w:rFonts w:ascii="Times New Roman" w:hAnsi="Times New Roman" w:cs="Times New Roman"/>
        </w:rPr>
        <w:t>M., Raffi, I.</w:t>
      </w:r>
      <w:r>
        <w:rPr>
          <w:rFonts w:ascii="Times New Roman" w:hAnsi="Times New Roman" w:cs="Times New Roman"/>
        </w:rPr>
        <w:t>,</w:t>
      </w:r>
      <w:r w:rsidRPr="00365838">
        <w:rPr>
          <w:rFonts w:ascii="Times New Roman" w:hAnsi="Times New Roman" w:cs="Times New Roman"/>
        </w:rPr>
        <w:t xml:space="preserve"> Billi, A.</w:t>
      </w:r>
      <w:r>
        <w:rPr>
          <w:rFonts w:ascii="Times New Roman" w:hAnsi="Times New Roman" w:cs="Times New Roman"/>
        </w:rPr>
        <w:t>, &amp;</w:t>
      </w:r>
      <w:r w:rsidRPr="00365838">
        <w:rPr>
          <w:rFonts w:ascii="Times New Roman" w:hAnsi="Times New Roman" w:cs="Times New Roman"/>
        </w:rPr>
        <w:t xml:space="preserve"> Carminati</w:t>
      </w:r>
      <w:r>
        <w:rPr>
          <w:rFonts w:ascii="Times New Roman" w:hAnsi="Times New Roman" w:cs="Times New Roman"/>
        </w:rPr>
        <w:t xml:space="preserve">, </w:t>
      </w:r>
      <w:r w:rsidRPr="00365838">
        <w:rPr>
          <w:rFonts w:ascii="Times New Roman" w:hAnsi="Times New Roman" w:cs="Times New Roman"/>
        </w:rPr>
        <w:t xml:space="preserve">E. (2021). </w:t>
      </w:r>
      <w:r w:rsidRPr="00365838">
        <w:rPr>
          <w:rFonts w:ascii="Times New Roman" w:hAnsi="Times New Roman" w:cs="Times New Roman"/>
          <w:lang w:val="en-US"/>
        </w:rPr>
        <w:t>Segmentation of the</w:t>
      </w:r>
      <w:r>
        <w:rPr>
          <w:rFonts w:ascii="Times New Roman" w:hAnsi="Times New Roman" w:cs="Times New Roman"/>
          <w:lang w:val="en-US"/>
        </w:rPr>
        <w:t xml:space="preserve"> </w:t>
      </w:r>
      <w:proofErr w:type="spellStart"/>
      <w:r w:rsidRPr="00365838">
        <w:rPr>
          <w:rFonts w:ascii="Times New Roman" w:hAnsi="Times New Roman" w:cs="Times New Roman"/>
          <w:lang w:val="en-US"/>
        </w:rPr>
        <w:t>Apenninic</w:t>
      </w:r>
      <w:proofErr w:type="spellEnd"/>
      <w:r w:rsidRPr="00365838">
        <w:rPr>
          <w:rFonts w:ascii="Times New Roman" w:hAnsi="Times New Roman" w:cs="Times New Roman"/>
          <w:lang w:val="en-US"/>
        </w:rPr>
        <w:t xml:space="preserve"> margin of the Tyrrhenian</w:t>
      </w:r>
      <w:r>
        <w:rPr>
          <w:rFonts w:ascii="Times New Roman" w:hAnsi="Times New Roman" w:cs="Times New Roman"/>
          <w:lang w:val="en-US"/>
        </w:rPr>
        <w:t xml:space="preserve"> </w:t>
      </w:r>
      <w:r w:rsidRPr="00365838">
        <w:rPr>
          <w:rFonts w:ascii="Times New Roman" w:hAnsi="Times New Roman" w:cs="Times New Roman"/>
          <w:lang w:val="en-US"/>
        </w:rPr>
        <w:t>back-arc basin forced by the subduction</w:t>
      </w:r>
      <w:r>
        <w:rPr>
          <w:rFonts w:ascii="Times New Roman" w:hAnsi="Times New Roman" w:cs="Times New Roman"/>
          <w:lang w:val="en-US"/>
        </w:rPr>
        <w:t xml:space="preserve"> </w:t>
      </w:r>
      <w:r w:rsidRPr="00365838">
        <w:rPr>
          <w:rFonts w:ascii="Times New Roman" w:hAnsi="Times New Roman" w:cs="Times New Roman"/>
          <w:lang w:val="en-US"/>
        </w:rPr>
        <w:t>of an inherited transform system.</w:t>
      </w:r>
      <w:r>
        <w:rPr>
          <w:rFonts w:ascii="Times New Roman" w:hAnsi="Times New Roman" w:cs="Times New Roman"/>
          <w:lang w:val="en-US"/>
        </w:rPr>
        <w:t xml:space="preserve"> </w:t>
      </w:r>
      <w:proofErr w:type="spellStart"/>
      <w:r w:rsidRPr="00365838">
        <w:rPr>
          <w:rFonts w:ascii="Times New Roman" w:hAnsi="Times New Roman" w:cs="Times New Roman"/>
        </w:rPr>
        <w:t>Tectonics</w:t>
      </w:r>
      <w:proofErr w:type="spellEnd"/>
      <w:r w:rsidRPr="00365838">
        <w:rPr>
          <w:rFonts w:ascii="Times New Roman" w:hAnsi="Times New Roman" w:cs="Times New Roman"/>
        </w:rPr>
        <w:t xml:space="preserve">, 40, e2021TC006770. </w:t>
      </w:r>
      <w:hyperlink w:history="1" r:id="rId14">
        <w:r w:rsidRPr="00050959">
          <w:rPr>
            <w:rStyle w:val="Collegamentoipertestuale"/>
            <w:rFonts w:ascii="Times New Roman" w:hAnsi="Times New Roman" w:cs="Times New Roman"/>
          </w:rPr>
          <w:t>https://doi.org/10.1029/2021TC006770</w:t>
        </w:r>
      </w:hyperlink>
      <w:r>
        <w:rPr>
          <w:rFonts w:ascii="Times New Roman" w:hAnsi="Times New Roman" w:cs="Times New Roman"/>
        </w:rPr>
        <w:t xml:space="preserve"> </w:t>
      </w:r>
    </w:p>
    <w:p w:rsidRPr="00365838" w:rsidR="0090423E" w:rsidP="00FD3E89" w:rsidRDefault="0090423E" w14:paraId="72EFA0E9" w14:textId="77777777">
      <w:pPr>
        <w:spacing w:line="480" w:lineRule="auto"/>
        <w:jc w:val="both"/>
        <w:rPr>
          <w:rFonts w:ascii="Times New Roman" w:hAnsi="Times New Roman" w:cs="Times New Roman"/>
        </w:rPr>
      </w:pPr>
    </w:p>
    <w:sectPr w:rsidRPr="00365838" w:rsidR="0090423E">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dirty"/>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CA"/>
    <w:rsid w:val="0007255C"/>
    <w:rsid w:val="000D77BF"/>
    <w:rsid w:val="001141E5"/>
    <w:rsid w:val="00122D8B"/>
    <w:rsid w:val="00141941"/>
    <w:rsid w:val="00164843"/>
    <w:rsid w:val="001848A7"/>
    <w:rsid w:val="00192B77"/>
    <w:rsid w:val="001C40A4"/>
    <w:rsid w:val="001F35CF"/>
    <w:rsid w:val="00226CAA"/>
    <w:rsid w:val="002975BB"/>
    <w:rsid w:val="00305ED5"/>
    <w:rsid w:val="003400C8"/>
    <w:rsid w:val="00365838"/>
    <w:rsid w:val="003C2F43"/>
    <w:rsid w:val="00402295"/>
    <w:rsid w:val="0040519A"/>
    <w:rsid w:val="00475BD8"/>
    <w:rsid w:val="004E260F"/>
    <w:rsid w:val="004F164B"/>
    <w:rsid w:val="005A5154"/>
    <w:rsid w:val="005B6F44"/>
    <w:rsid w:val="005D17DB"/>
    <w:rsid w:val="005E1A3F"/>
    <w:rsid w:val="005E5935"/>
    <w:rsid w:val="00624305"/>
    <w:rsid w:val="00676D7F"/>
    <w:rsid w:val="0069443B"/>
    <w:rsid w:val="006A540A"/>
    <w:rsid w:val="006B2FCA"/>
    <w:rsid w:val="006E6320"/>
    <w:rsid w:val="00712D58"/>
    <w:rsid w:val="00734FCA"/>
    <w:rsid w:val="0076643D"/>
    <w:rsid w:val="007841A8"/>
    <w:rsid w:val="007A36DC"/>
    <w:rsid w:val="007D5F14"/>
    <w:rsid w:val="00836D30"/>
    <w:rsid w:val="0086385E"/>
    <w:rsid w:val="00875043"/>
    <w:rsid w:val="0088275B"/>
    <w:rsid w:val="00896EF0"/>
    <w:rsid w:val="008E6880"/>
    <w:rsid w:val="0090423E"/>
    <w:rsid w:val="0093782F"/>
    <w:rsid w:val="00966349"/>
    <w:rsid w:val="009734E7"/>
    <w:rsid w:val="00A428FF"/>
    <w:rsid w:val="00A42CA2"/>
    <w:rsid w:val="00A5286C"/>
    <w:rsid w:val="00A55CE6"/>
    <w:rsid w:val="00AB688C"/>
    <w:rsid w:val="00AC7FFD"/>
    <w:rsid w:val="00AF771B"/>
    <w:rsid w:val="00B01239"/>
    <w:rsid w:val="00B240EC"/>
    <w:rsid w:val="00B522A1"/>
    <w:rsid w:val="00B64856"/>
    <w:rsid w:val="00BA4B84"/>
    <w:rsid w:val="00C07AB1"/>
    <w:rsid w:val="00C33CEA"/>
    <w:rsid w:val="00C82ACA"/>
    <w:rsid w:val="00D40445"/>
    <w:rsid w:val="00D666BC"/>
    <w:rsid w:val="00D91BC3"/>
    <w:rsid w:val="00DC4F8E"/>
    <w:rsid w:val="00DC5136"/>
    <w:rsid w:val="00DC5B89"/>
    <w:rsid w:val="00E3383F"/>
    <w:rsid w:val="00F11484"/>
    <w:rsid w:val="00F328C2"/>
    <w:rsid w:val="00F666EE"/>
    <w:rsid w:val="00FD3E89"/>
    <w:rsid w:val="00FF372C"/>
    <w:rsid w:val="43A72396"/>
    <w:rsid w:val="48DC3813"/>
    <w:rsid w:val="55746722"/>
    <w:rsid w:val="6C8BFD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6C42"/>
  <w15:chartTrackingRefBased/>
  <w15:docId w15:val="{35CB5CC1-083E-4C3D-B5AF-9D949378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paragraph" w:styleId="Titolo1">
    <w:name w:val="heading 1"/>
    <w:basedOn w:val="Normale"/>
    <w:next w:val="Normale"/>
    <w:link w:val="Titolo1Carattere"/>
    <w:uiPriority w:val="9"/>
    <w:qFormat/>
    <w:rsid w:val="00734FC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4FC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4FC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4FC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4FC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4FC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4FC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4FC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4FCA"/>
    <w:pPr>
      <w:keepNext/>
      <w:keepLines/>
      <w:spacing w:after="0"/>
      <w:outlineLvl w:val="8"/>
    </w:pPr>
    <w:rPr>
      <w:rFonts w:eastAsiaTheme="majorEastAsia" w:cstheme="majorBidi"/>
      <w:color w:val="272727" w:themeColor="text1" w:themeTint="D8"/>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
    <w:rsid w:val="00734FCA"/>
    <w:rPr>
      <w:rFonts w:asciiTheme="majorHAnsi" w:hAnsiTheme="majorHAnsi" w:eastAsiaTheme="majorEastAsia" w:cstheme="majorBidi"/>
      <w:color w:val="0F4761" w:themeColor="accent1" w:themeShade="BF"/>
      <w:sz w:val="40"/>
      <w:szCs w:val="40"/>
    </w:rPr>
  </w:style>
  <w:style w:type="character" w:styleId="Titolo2Carattere" w:customStyle="1">
    <w:name w:val="Titolo 2 Carattere"/>
    <w:basedOn w:val="Carpredefinitoparagrafo"/>
    <w:link w:val="Titolo2"/>
    <w:uiPriority w:val="9"/>
    <w:semiHidden/>
    <w:rsid w:val="00734FCA"/>
    <w:rPr>
      <w:rFonts w:asciiTheme="majorHAnsi" w:hAnsiTheme="majorHAnsi" w:eastAsiaTheme="majorEastAsia" w:cstheme="majorBidi"/>
      <w:color w:val="0F4761" w:themeColor="accent1" w:themeShade="BF"/>
      <w:sz w:val="32"/>
      <w:szCs w:val="32"/>
    </w:rPr>
  </w:style>
  <w:style w:type="character" w:styleId="Titolo3Carattere" w:customStyle="1">
    <w:name w:val="Titolo 3 Carattere"/>
    <w:basedOn w:val="Carpredefinitoparagrafo"/>
    <w:link w:val="Titolo3"/>
    <w:uiPriority w:val="9"/>
    <w:semiHidden/>
    <w:rsid w:val="00734FCA"/>
    <w:rPr>
      <w:rFonts w:eastAsiaTheme="majorEastAsia" w:cstheme="majorBidi"/>
      <w:color w:val="0F4761" w:themeColor="accent1" w:themeShade="BF"/>
      <w:sz w:val="28"/>
      <w:szCs w:val="28"/>
    </w:rPr>
  </w:style>
  <w:style w:type="character" w:styleId="Titolo4Carattere" w:customStyle="1">
    <w:name w:val="Titolo 4 Carattere"/>
    <w:basedOn w:val="Carpredefinitoparagrafo"/>
    <w:link w:val="Titolo4"/>
    <w:uiPriority w:val="9"/>
    <w:semiHidden/>
    <w:rsid w:val="00734FCA"/>
    <w:rPr>
      <w:rFonts w:eastAsiaTheme="majorEastAsia" w:cstheme="majorBidi"/>
      <w:i/>
      <w:iCs/>
      <w:color w:val="0F4761" w:themeColor="accent1" w:themeShade="BF"/>
    </w:rPr>
  </w:style>
  <w:style w:type="character" w:styleId="Titolo5Carattere" w:customStyle="1">
    <w:name w:val="Titolo 5 Carattere"/>
    <w:basedOn w:val="Carpredefinitoparagrafo"/>
    <w:link w:val="Titolo5"/>
    <w:uiPriority w:val="9"/>
    <w:semiHidden/>
    <w:rsid w:val="00734FCA"/>
    <w:rPr>
      <w:rFonts w:eastAsiaTheme="majorEastAsia" w:cstheme="majorBidi"/>
      <w:color w:val="0F4761" w:themeColor="accent1" w:themeShade="BF"/>
    </w:rPr>
  </w:style>
  <w:style w:type="character" w:styleId="Titolo6Carattere" w:customStyle="1">
    <w:name w:val="Titolo 6 Carattere"/>
    <w:basedOn w:val="Carpredefinitoparagrafo"/>
    <w:link w:val="Titolo6"/>
    <w:uiPriority w:val="9"/>
    <w:semiHidden/>
    <w:rsid w:val="00734FCA"/>
    <w:rPr>
      <w:rFonts w:eastAsiaTheme="majorEastAsia" w:cstheme="majorBidi"/>
      <w:i/>
      <w:iCs/>
      <w:color w:val="595959" w:themeColor="text1" w:themeTint="A6"/>
    </w:rPr>
  </w:style>
  <w:style w:type="character" w:styleId="Titolo7Carattere" w:customStyle="1">
    <w:name w:val="Titolo 7 Carattere"/>
    <w:basedOn w:val="Carpredefinitoparagrafo"/>
    <w:link w:val="Titolo7"/>
    <w:uiPriority w:val="9"/>
    <w:semiHidden/>
    <w:rsid w:val="00734FCA"/>
    <w:rPr>
      <w:rFonts w:eastAsiaTheme="majorEastAsia" w:cstheme="majorBidi"/>
      <w:color w:val="595959" w:themeColor="text1" w:themeTint="A6"/>
    </w:rPr>
  </w:style>
  <w:style w:type="character" w:styleId="Titolo8Carattere" w:customStyle="1">
    <w:name w:val="Titolo 8 Carattere"/>
    <w:basedOn w:val="Carpredefinitoparagrafo"/>
    <w:link w:val="Titolo8"/>
    <w:uiPriority w:val="9"/>
    <w:semiHidden/>
    <w:rsid w:val="00734FCA"/>
    <w:rPr>
      <w:rFonts w:eastAsiaTheme="majorEastAsia" w:cstheme="majorBidi"/>
      <w:i/>
      <w:iCs/>
      <w:color w:val="272727" w:themeColor="text1" w:themeTint="D8"/>
    </w:rPr>
  </w:style>
  <w:style w:type="character" w:styleId="Titolo9Carattere" w:customStyle="1">
    <w:name w:val="Titolo 9 Carattere"/>
    <w:basedOn w:val="Carpredefinitoparagrafo"/>
    <w:link w:val="Titolo9"/>
    <w:uiPriority w:val="9"/>
    <w:semiHidden/>
    <w:rsid w:val="00734FCA"/>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4FCA"/>
    <w:pPr>
      <w:spacing w:after="80" w:line="240" w:lineRule="auto"/>
      <w:contextualSpacing/>
    </w:pPr>
    <w:rPr>
      <w:rFonts w:asciiTheme="majorHAnsi" w:hAnsiTheme="majorHAnsi" w:eastAsiaTheme="majorEastAsia" w:cstheme="majorBidi"/>
      <w:spacing w:val="-10"/>
      <w:kern w:val="28"/>
      <w:sz w:val="56"/>
      <w:szCs w:val="56"/>
    </w:rPr>
  </w:style>
  <w:style w:type="character" w:styleId="TitoloCarattere" w:customStyle="1">
    <w:name w:val="Titolo Carattere"/>
    <w:basedOn w:val="Carpredefinitoparagrafo"/>
    <w:link w:val="Titolo"/>
    <w:uiPriority w:val="10"/>
    <w:rsid w:val="00734FCA"/>
    <w:rPr>
      <w:rFonts w:asciiTheme="majorHAnsi" w:hAnsiTheme="majorHAnsi"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734FCA"/>
    <w:pPr>
      <w:numPr>
        <w:ilvl w:val="1"/>
      </w:numPr>
    </w:pPr>
    <w:rPr>
      <w:rFonts w:eastAsiaTheme="majorEastAsia" w:cstheme="majorBidi"/>
      <w:color w:val="595959" w:themeColor="text1" w:themeTint="A6"/>
      <w:spacing w:val="15"/>
      <w:sz w:val="28"/>
      <w:szCs w:val="28"/>
    </w:rPr>
  </w:style>
  <w:style w:type="character" w:styleId="SottotitoloCarattere" w:customStyle="1">
    <w:name w:val="Sottotitolo Carattere"/>
    <w:basedOn w:val="Carpredefinitoparagrafo"/>
    <w:link w:val="Sottotitolo"/>
    <w:uiPriority w:val="11"/>
    <w:rsid w:val="00734FC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4FCA"/>
    <w:pPr>
      <w:spacing w:before="160"/>
      <w:jc w:val="center"/>
    </w:pPr>
    <w:rPr>
      <w:i/>
      <w:iCs/>
      <w:color w:val="404040" w:themeColor="text1" w:themeTint="BF"/>
    </w:rPr>
  </w:style>
  <w:style w:type="character" w:styleId="CitazioneCarattere" w:customStyle="1">
    <w:name w:val="Citazione Carattere"/>
    <w:basedOn w:val="Carpredefinitoparagrafo"/>
    <w:link w:val="Citazione"/>
    <w:uiPriority w:val="29"/>
    <w:rsid w:val="00734FCA"/>
    <w:rPr>
      <w:i/>
      <w:iCs/>
      <w:color w:val="404040" w:themeColor="text1" w:themeTint="BF"/>
    </w:rPr>
  </w:style>
  <w:style w:type="paragraph" w:styleId="Paragrafoelenco">
    <w:name w:val="List Paragraph"/>
    <w:basedOn w:val="Normale"/>
    <w:uiPriority w:val="34"/>
    <w:qFormat/>
    <w:rsid w:val="00734FCA"/>
    <w:pPr>
      <w:ind w:left="720"/>
      <w:contextualSpacing/>
    </w:pPr>
  </w:style>
  <w:style w:type="character" w:styleId="Enfasiintensa">
    <w:name w:val="Intense Emphasis"/>
    <w:basedOn w:val="Carpredefinitoparagrafo"/>
    <w:uiPriority w:val="21"/>
    <w:qFormat/>
    <w:rsid w:val="00734FCA"/>
    <w:rPr>
      <w:i/>
      <w:iCs/>
      <w:color w:val="0F4761" w:themeColor="accent1" w:themeShade="BF"/>
    </w:rPr>
  </w:style>
  <w:style w:type="paragraph" w:styleId="Citazioneintensa">
    <w:name w:val="Intense Quote"/>
    <w:basedOn w:val="Normale"/>
    <w:next w:val="Normale"/>
    <w:link w:val="CitazioneintensaCarattere"/>
    <w:uiPriority w:val="30"/>
    <w:qFormat/>
    <w:rsid w:val="00734FC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zioneintensaCarattere" w:customStyle="1">
    <w:name w:val="Citazione intensa Carattere"/>
    <w:basedOn w:val="Carpredefinitoparagrafo"/>
    <w:link w:val="Citazioneintensa"/>
    <w:uiPriority w:val="30"/>
    <w:rsid w:val="00734FCA"/>
    <w:rPr>
      <w:i/>
      <w:iCs/>
      <w:color w:val="0F4761" w:themeColor="accent1" w:themeShade="BF"/>
    </w:rPr>
  </w:style>
  <w:style w:type="character" w:styleId="Riferimentointenso">
    <w:name w:val="Intense Reference"/>
    <w:basedOn w:val="Carpredefinitoparagrafo"/>
    <w:uiPriority w:val="32"/>
    <w:qFormat/>
    <w:rsid w:val="00734FCA"/>
    <w:rPr>
      <w:b/>
      <w:bCs/>
      <w:smallCaps/>
      <w:color w:val="0F4761" w:themeColor="accent1" w:themeShade="BF"/>
      <w:spacing w:val="5"/>
    </w:rPr>
  </w:style>
  <w:style w:type="character" w:styleId="Collegamentoipertestuale">
    <w:name w:val="Hyperlink"/>
    <w:basedOn w:val="Carpredefinitoparagrafo"/>
    <w:uiPriority w:val="99"/>
    <w:unhideWhenUsed/>
    <w:rsid w:val="00365838"/>
    <w:rPr>
      <w:color w:val="467886" w:themeColor="hyperlink"/>
      <w:u w:val="single"/>
    </w:rPr>
  </w:style>
  <w:style w:type="character" w:styleId="Menzionenonrisolta">
    <w:name w:val="Unresolved Mention"/>
    <w:basedOn w:val="Carpredefinitoparagrafo"/>
    <w:uiPriority w:val="99"/>
    <w:semiHidden/>
    <w:unhideWhenUsed/>
    <w:rsid w:val="00365838"/>
    <w:rPr>
      <w:color w:val="605E5C"/>
      <w:shd w:val="clear" w:color="auto" w:fill="E1DFDD"/>
    </w:rPr>
  </w:style>
  <w:style w:type="character" w:styleId="Enfasicorsivo">
    <w:name w:val="Emphasis"/>
    <w:basedOn w:val="Carpredefinitoparagrafo"/>
    <w:uiPriority w:val="20"/>
    <w:qFormat/>
    <w:rsid w:val="00C82A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0.1109/36.898661" TargetMode="External" Id="rId8" /><Relationship Type="http://schemas.openxmlformats.org/officeDocument/2006/relationships/hyperlink" Target="https://doi.org/10.1130/B37474.1" TargetMode="External" Id="rId13" /><Relationship Type="http://schemas.openxmlformats.org/officeDocument/2006/relationships/webSettings" Target="webSettings.xml" Id="rId3" /><Relationship Type="http://schemas.openxmlformats.org/officeDocument/2006/relationships/hyperlink" Target="https://doi.org/10.1016/j.isprsjprs.2015.10.011" TargetMode="External" Id="rId7" /><Relationship Type="http://schemas.openxmlformats.org/officeDocument/2006/relationships/hyperlink" Target="https://doi.org/10.1029/2022TC007461" TargetMode="External" Id="rId12" /><Relationship Type="http://schemas.openxmlformats.org/officeDocument/2006/relationships/settings" Target="setting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https://doi.org/10.1109/TGRS.2002.803792" TargetMode="External" Id="rId6" /><Relationship Type="http://schemas.openxmlformats.org/officeDocument/2006/relationships/hyperlink" Target="https://doi.org/10.1038/s41598-021-93945-8" TargetMode="External" Id="rId11" /><Relationship Type="http://schemas.openxmlformats.org/officeDocument/2006/relationships/hyperlink" Target="https://doi.org/10.4401/ag-4549" TargetMode="External" Id="rId5" /><Relationship Type="http://schemas.openxmlformats.org/officeDocument/2006/relationships/fontTable" Target="fontTable.xml" Id="rId15" /><Relationship Type="http://schemas.openxmlformats.org/officeDocument/2006/relationships/hyperlink" Target="https://doi.org/10.13127/ring" TargetMode="External" Id="rId10" /><Relationship Type="http://schemas.openxmlformats.org/officeDocument/2006/relationships/hyperlink" Target="https://doi.org/10.3390/jmse14030269" TargetMode="External" Id="rId4" /><Relationship Type="http://schemas.openxmlformats.org/officeDocument/2006/relationships/hyperlink" Target="https://doi.org/10.1109/TGRS.2011.2124465" TargetMode="External" Id="rId9" /><Relationship Type="http://schemas.openxmlformats.org/officeDocument/2006/relationships/hyperlink" Target="https://doi.org/10.1029/2021TC006770" TargetMode="External" Id="rId1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CLAUDIA CAPORIZZO</dc:creator>
  <keywords/>
  <dc:description/>
  <lastModifiedBy>Guest User</lastModifiedBy>
  <revision>35</revision>
  <dcterms:created xsi:type="dcterms:W3CDTF">2026-07-03T09:36:00.0000000Z</dcterms:created>
  <dcterms:modified xsi:type="dcterms:W3CDTF">2026-07-03T14:11:01.5405416Z</dcterms:modified>
</coreProperties>
</file>