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9B762" w14:textId="77777777" w:rsidR="00B3324E" w:rsidRPr="000C780A" w:rsidRDefault="00B3324E" w:rsidP="00B3324E">
      <w:pPr>
        <w:tabs>
          <w:tab w:val="num" w:pos="720"/>
        </w:tabs>
        <w:rPr>
          <w:rFonts w:ascii="Times New Roman" w:hAnsi="Times New Roman" w:cs="Times New Roman"/>
        </w:rPr>
      </w:pPr>
      <w:r w:rsidRPr="0049733B">
        <w:rPr>
          <w:rFonts w:ascii="Times New Roman" w:hAnsi="Times New Roman" w:cs="Times New Roman"/>
          <w:b/>
          <w:bCs/>
        </w:rPr>
        <w:t>Supplement 1</w:t>
      </w:r>
      <w:r w:rsidRPr="0049733B">
        <w:rPr>
          <w:rFonts w:ascii="Times New Roman" w:hAnsi="Times New Roman" w:cs="Times New Roman"/>
        </w:rPr>
        <w:t>. Coding Framework for Behavioral Observation of Social Interactions</w:t>
      </w:r>
    </w:p>
    <w:tbl>
      <w:tblPr>
        <w:tblStyle w:val="TableGrid"/>
        <w:tblW w:w="9360" w:type="dxa"/>
        <w:tblLook w:val="04A0" w:firstRow="1" w:lastRow="0" w:firstColumn="1" w:lastColumn="0" w:noHBand="0" w:noVBand="1"/>
      </w:tblPr>
      <w:tblGrid>
        <w:gridCol w:w="1800"/>
        <w:gridCol w:w="2000"/>
        <w:gridCol w:w="5560"/>
      </w:tblGrid>
      <w:tr w:rsidR="00B3324E" w:rsidRPr="000C780A" w14:paraId="7B3736D1" w14:textId="77777777" w:rsidTr="004C0670">
        <w:tc>
          <w:tcPr>
            <w:tcW w:w="1800" w:type="dxa"/>
          </w:tcPr>
          <w:p w14:paraId="77CCD409" w14:textId="77777777" w:rsidR="00B3324E" w:rsidRPr="000C780A" w:rsidRDefault="00B3324E" w:rsidP="004C0670">
            <w:pPr>
              <w:jc w:val="center"/>
              <w:rPr>
                <w:rFonts w:ascii="Times New Roman" w:hAnsi="Times New Roman" w:cs="Times New Roman"/>
                <w:color w:val="000000" w:themeColor="text1"/>
              </w:rPr>
            </w:pPr>
            <w:r w:rsidRPr="000C780A">
              <w:rPr>
                <w:rFonts w:ascii="Times New Roman" w:eastAsia="Arial" w:hAnsi="Times New Roman" w:cs="Times New Roman"/>
                <w:b/>
                <w:bCs/>
                <w:color w:val="000000" w:themeColor="text1"/>
              </w:rPr>
              <w:t>Category</w:t>
            </w:r>
          </w:p>
        </w:tc>
        <w:tc>
          <w:tcPr>
            <w:tcW w:w="2000" w:type="dxa"/>
          </w:tcPr>
          <w:p w14:paraId="07EF4845" w14:textId="77777777" w:rsidR="00B3324E" w:rsidRPr="000C780A" w:rsidRDefault="00B3324E" w:rsidP="004C0670">
            <w:pPr>
              <w:jc w:val="center"/>
              <w:rPr>
                <w:rFonts w:ascii="Times New Roman" w:hAnsi="Times New Roman" w:cs="Times New Roman"/>
                <w:color w:val="000000" w:themeColor="text1"/>
              </w:rPr>
            </w:pPr>
            <w:r w:rsidRPr="000C780A">
              <w:rPr>
                <w:rFonts w:ascii="Times New Roman" w:eastAsia="Arial" w:hAnsi="Times New Roman" w:cs="Times New Roman"/>
                <w:b/>
                <w:bCs/>
                <w:color w:val="000000" w:themeColor="text1"/>
              </w:rPr>
              <w:t>Code</w:t>
            </w:r>
          </w:p>
        </w:tc>
        <w:tc>
          <w:tcPr>
            <w:tcW w:w="5560" w:type="dxa"/>
          </w:tcPr>
          <w:p w14:paraId="01B4413B" w14:textId="77777777" w:rsidR="00B3324E" w:rsidRPr="000C780A" w:rsidRDefault="00B3324E" w:rsidP="004C0670">
            <w:pPr>
              <w:jc w:val="center"/>
              <w:rPr>
                <w:rFonts w:ascii="Times New Roman" w:hAnsi="Times New Roman" w:cs="Times New Roman"/>
                <w:color w:val="000000" w:themeColor="text1"/>
              </w:rPr>
            </w:pPr>
            <w:r w:rsidRPr="000C780A">
              <w:rPr>
                <w:rFonts w:ascii="Times New Roman" w:eastAsia="Arial" w:hAnsi="Times New Roman" w:cs="Times New Roman"/>
                <w:b/>
                <w:bCs/>
                <w:color w:val="000000" w:themeColor="text1"/>
              </w:rPr>
              <w:t>Definition</w:t>
            </w:r>
          </w:p>
        </w:tc>
      </w:tr>
      <w:tr w:rsidR="00B3324E" w:rsidRPr="000C780A" w14:paraId="761B3457" w14:textId="77777777" w:rsidTr="004C0670">
        <w:tc>
          <w:tcPr>
            <w:tcW w:w="1800" w:type="dxa"/>
            <w:vMerge w:val="restart"/>
            <w:vAlign w:val="center"/>
          </w:tcPr>
          <w:p w14:paraId="103EED96"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Interaction Type</w:t>
            </w:r>
          </w:p>
          <w:p w14:paraId="592D4F0F" w14:textId="77777777" w:rsidR="00B3324E" w:rsidRPr="000C780A" w:rsidRDefault="00B3324E" w:rsidP="004C0670">
            <w:pPr>
              <w:jc w:val="center"/>
              <w:rPr>
                <w:rFonts w:ascii="Times New Roman" w:hAnsi="Times New Roman" w:cs="Times New Roman"/>
              </w:rPr>
            </w:pPr>
          </w:p>
        </w:tc>
        <w:tc>
          <w:tcPr>
            <w:tcW w:w="2000" w:type="dxa"/>
            <w:vAlign w:val="center"/>
          </w:tcPr>
          <w:p w14:paraId="3A3EDBCD"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Case Presentation</w:t>
            </w:r>
          </w:p>
        </w:tc>
        <w:tc>
          <w:tcPr>
            <w:tcW w:w="5560" w:type="dxa"/>
          </w:tcPr>
          <w:p w14:paraId="188309C9"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A structured sharing of a specific patient/client case that includes relevant details such as background information, symptoms/issues, interventions, and outcomes. The presenter typically maintains the floor for an extended period while others primarily listen.</w:t>
            </w:r>
          </w:p>
        </w:tc>
      </w:tr>
      <w:tr w:rsidR="00B3324E" w:rsidRPr="000C780A" w14:paraId="7070E555" w14:textId="77777777" w:rsidTr="004C0670">
        <w:tc>
          <w:tcPr>
            <w:tcW w:w="1800" w:type="dxa"/>
            <w:vMerge/>
            <w:vAlign w:val="center"/>
          </w:tcPr>
          <w:p w14:paraId="0CB3E306" w14:textId="77777777" w:rsidR="00B3324E" w:rsidRPr="000C780A" w:rsidRDefault="00B3324E" w:rsidP="004C0670">
            <w:pPr>
              <w:jc w:val="center"/>
              <w:rPr>
                <w:rFonts w:ascii="Times New Roman" w:hAnsi="Times New Roman" w:cs="Times New Roman"/>
              </w:rPr>
            </w:pPr>
          </w:p>
        </w:tc>
        <w:tc>
          <w:tcPr>
            <w:tcW w:w="2000" w:type="dxa"/>
            <w:vAlign w:val="center"/>
          </w:tcPr>
          <w:p w14:paraId="6C190291"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General Discussion</w:t>
            </w:r>
          </w:p>
        </w:tc>
        <w:tc>
          <w:tcPr>
            <w:tcW w:w="5560" w:type="dxa"/>
          </w:tcPr>
          <w:p w14:paraId="16846705"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Open dialogue not focused on a specific case or directed question. This includes sharing of opinions, informal conversation, or collaborative problem-solving that doesn't fit other more specific categories.</w:t>
            </w:r>
          </w:p>
        </w:tc>
      </w:tr>
      <w:tr w:rsidR="00B3324E" w:rsidRPr="000C780A" w14:paraId="3BD90B9D" w14:textId="77777777" w:rsidTr="004C0670">
        <w:tc>
          <w:tcPr>
            <w:tcW w:w="1800" w:type="dxa"/>
            <w:vMerge/>
            <w:vAlign w:val="center"/>
          </w:tcPr>
          <w:p w14:paraId="361AE8C3" w14:textId="77777777" w:rsidR="00B3324E" w:rsidRPr="000C780A" w:rsidRDefault="00B3324E" w:rsidP="004C0670">
            <w:pPr>
              <w:jc w:val="center"/>
              <w:rPr>
                <w:rFonts w:ascii="Times New Roman" w:hAnsi="Times New Roman" w:cs="Times New Roman"/>
              </w:rPr>
            </w:pPr>
          </w:p>
        </w:tc>
        <w:tc>
          <w:tcPr>
            <w:tcW w:w="2000" w:type="dxa"/>
            <w:vAlign w:val="center"/>
          </w:tcPr>
          <w:p w14:paraId="4160567C"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Question</w:t>
            </w:r>
          </w:p>
        </w:tc>
        <w:tc>
          <w:tcPr>
            <w:tcW w:w="5560" w:type="dxa"/>
          </w:tcPr>
          <w:p w14:paraId="27E29E20"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A direct inquiry that explicitly seeks information, clarification, or opinion from others, with a clear expectation of response. This excludes rhetorical questions that do not genuinely seek input.</w:t>
            </w:r>
          </w:p>
        </w:tc>
      </w:tr>
      <w:tr w:rsidR="00B3324E" w:rsidRPr="000C780A" w14:paraId="2FC53A97" w14:textId="77777777" w:rsidTr="004C0670">
        <w:tc>
          <w:tcPr>
            <w:tcW w:w="1800" w:type="dxa"/>
            <w:vMerge/>
            <w:vAlign w:val="center"/>
          </w:tcPr>
          <w:p w14:paraId="109F65A6" w14:textId="77777777" w:rsidR="00B3324E" w:rsidRPr="000C780A" w:rsidRDefault="00B3324E" w:rsidP="004C0670">
            <w:pPr>
              <w:jc w:val="center"/>
              <w:rPr>
                <w:rFonts w:ascii="Times New Roman" w:hAnsi="Times New Roman" w:cs="Times New Roman"/>
              </w:rPr>
            </w:pPr>
          </w:p>
        </w:tc>
        <w:tc>
          <w:tcPr>
            <w:tcW w:w="2000" w:type="dxa"/>
            <w:vAlign w:val="center"/>
          </w:tcPr>
          <w:p w14:paraId="4E0B3C17"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Response to a Question</w:t>
            </w:r>
          </w:p>
        </w:tc>
        <w:tc>
          <w:tcPr>
            <w:tcW w:w="5560" w:type="dxa"/>
          </w:tcPr>
          <w:p w14:paraId="200D0D55"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A direct reply that specifically addresses a previously asked question. The response should be contextually linked to the question and attempt to provide the requested information or perspective.</w:t>
            </w:r>
          </w:p>
        </w:tc>
      </w:tr>
      <w:tr w:rsidR="00B3324E" w:rsidRPr="000C780A" w14:paraId="49502DDC" w14:textId="77777777" w:rsidTr="004C0670">
        <w:tc>
          <w:tcPr>
            <w:tcW w:w="1800" w:type="dxa"/>
            <w:vMerge/>
            <w:vAlign w:val="center"/>
          </w:tcPr>
          <w:p w14:paraId="3C657BFC" w14:textId="77777777" w:rsidR="00B3324E" w:rsidRPr="000C780A" w:rsidRDefault="00B3324E" w:rsidP="004C0670">
            <w:pPr>
              <w:jc w:val="center"/>
              <w:rPr>
                <w:rFonts w:ascii="Times New Roman" w:hAnsi="Times New Roman" w:cs="Times New Roman"/>
              </w:rPr>
            </w:pPr>
          </w:p>
        </w:tc>
        <w:tc>
          <w:tcPr>
            <w:tcW w:w="2000" w:type="dxa"/>
            <w:vAlign w:val="center"/>
          </w:tcPr>
          <w:p w14:paraId="1C52572E"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Sharing Own Experience</w:t>
            </w:r>
          </w:p>
        </w:tc>
        <w:tc>
          <w:tcPr>
            <w:tcW w:w="5560" w:type="dxa"/>
          </w:tcPr>
          <w:p w14:paraId="1DE73104"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Personal anecdotes or reflections drawn from the speaker's own practice, education, or life experiences. This differs from case presentation in being more personal and typically less structured. This may be in reflection of the case presentation, however.</w:t>
            </w:r>
          </w:p>
        </w:tc>
      </w:tr>
      <w:tr w:rsidR="00B3324E" w:rsidRPr="000C780A" w14:paraId="1D080428" w14:textId="77777777" w:rsidTr="004C0670">
        <w:tc>
          <w:tcPr>
            <w:tcW w:w="1800" w:type="dxa"/>
            <w:vMerge/>
            <w:vAlign w:val="center"/>
          </w:tcPr>
          <w:p w14:paraId="23FC2EBC" w14:textId="77777777" w:rsidR="00B3324E" w:rsidRPr="000C780A" w:rsidRDefault="00B3324E" w:rsidP="004C0670">
            <w:pPr>
              <w:jc w:val="center"/>
              <w:rPr>
                <w:rFonts w:ascii="Times New Roman" w:hAnsi="Times New Roman" w:cs="Times New Roman"/>
              </w:rPr>
            </w:pPr>
          </w:p>
        </w:tc>
        <w:tc>
          <w:tcPr>
            <w:tcW w:w="2000" w:type="dxa"/>
            <w:vAlign w:val="center"/>
          </w:tcPr>
          <w:p w14:paraId="1C99A5A9"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Learning or Teaching Point</w:t>
            </w:r>
          </w:p>
        </w:tc>
        <w:tc>
          <w:tcPr>
            <w:tcW w:w="5560" w:type="dxa"/>
          </w:tcPr>
          <w:p w14:paraId="4D75032F"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 xml:space="preserve">Sharing of </w:t>
            </w:r>
            <w:proofErr w:type="gramStart"/>
            <w:r w:rsidRPr="000C780A">
              <w:rPr>
                <w:rFonts w:ascii="Times New Roman" w:eastAsia="Arial" w:hAnsi="Times New Roman" w:cs="Times New Roman"/>
              </w:rPr>
              <w:t>factual information</w:t>
            </w:r>
            <w:proofErr w:type="gramEnd"/>
            <w:r w:rsidRPr="000C780A">
              <w:rPr>
                <w:rFonts w:ascii="Times New Roman" w:eastAsia="Arial" w:hAnsi="Times New Roman" w:cs="Times New Roman"/>
              </w:rPr>
              <w:t>, evidence, best practices, or theoretical frameworks with educational intent. This may include corrections, clarifications, or elaborations on topics under discussion.</w:t>
            </w:r>
          </w:p>
        </w:tc>
      </w:tr>
      <w:tr w:rsidR="00B3324E" w:rsidRPr="000C780A" w14:paraId="59BCC458" w14:textId="77777777" w:rsidTr="004C0670">
        <w:tc>
          <w:tcPr>
            <w:tcW w:w="1800" w:type="dxa"/>
            <w:vMerge w:val="restart"/>
            <w:vAlign w:val="center"/>
          </w:tcPr>
          <w:p w14:paraId="57944374"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Tone</w:t>
            </w:r>
          </w:p>
          <w:p w14:paraId="6DEC9992" w14:textId="77777777" w:rsidR="00B3324E" w:rsidRPr="000C780A" w:rsidRDefault="00B3324E" w:rsidP="004C0670">
            <w:pPr>
              <w:jc w:val="center"/>
              <w:rPr>
                <w:rFonts w:ascii="Times New Roman" w:hAnsi="Times New Roman" w:cs="Times New Roman"/>
              </w:rPr>
            </w:pPr>
          </w:p>
        </w:tc>
        <w:tc>
          <w:tcPr>
            <w:tcW w:w="2000" w:type="dxa"/>
            <w:vAlign w:val="center"/>
          </w:tcPr>
          <w:p w14:paraId="28CC6D7A"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Positive</w:t>
            </w:r>
          </w:p>
        </w:tc>
        <w:tc>
          <w:tcPr>
            <w:tcW w:w="5560" w:type="dxa"/>
          </w:tcPr>
          <w:p w14:paraId="4590A954"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Communication that conveys enthusiasm, optimism, agreement, encouragement, or support. Characterized by affirming language and constructive framing of ideas.</w:t>
            </w:r>
          </w:p>
        </w:tc>
      </w:tr>
      <w:tr w:rsidR="00B3324E" w:rsidRPr="000C780A" w14:paraId="5D97223A" w14:textId="77777777" w:rsidTr="004C0670">
        <w:tc>
          <w:tcPr>
            <w:tcW w:w="1800" w:type="dxa"/>
            <w:vMerge/>
            <w:vAlign w:val="center"/>
          </w:tcPr>
          <w:p w14:paraId="39C55317" w14:textId="77777777" w:rsidR="00B3324E" w:rsidRPr="000C780A" w:rsidRDefault="00B3324E" w:rsidP="004C0670">
            <w:pPr>
              <w:jc w:val="center"/>
              <w:rPr>
                <w:rFonts w:ascii="Times New Roman" w:hAnsi="Times New Roman" w:cs="Times New Roman"/>
              </w:rPr>
            </w:pPr>
          </w:p>
        </w:tc>
        <w:tc>
          <w:tcPr>
            <w:tcW w:w="2000" w:type="dxa"/>
            <w:vAlign w:val="center"/>
          </w:tcPr>
          <w:p w14:paraId="62115B24"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Negative</w:t>
            </w:r>
          </w:p>
        </w:tc>
        <w:tc>
          <w:tcPr>
            <w:tcW w:w="5560" w:type="dxa"/>
          </w:tcPr>
          <w:p w14:paraId="4EE26059"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Communication that expresses criticism, disagreement, frustration, skepticism, or disapproval. May be characterized by dismissive language or problem-focused framing without solutions.</w:t>
            </w:r>
          </w:p>
        </w:tc>
      </w:tr>
      <w:tr w:rsidR="00B3324E" w:rsidRPr="000C780A" w14:paraId="4914F68C" w14:textId="77777777" w:rsidTr="004C0670">
        <w:tc>
          <w:tcPr>
            <w:tcW w:w="1800" w:type="dxa"/>
            <w:vMerge/>
            <w:vAlign w:val="center"/>
          </w:tcPr>
          <w:p w14:paraId="0A08FA7E" w14:textId="77777777" w:rsidR="00B3324E" w:rsidRPr="000C780A" w:rsidRDefault="00B3324E" w:rsidP="004C0670">
            <w:pPr>
              <w:jc w:val="center"/>
              <w:rPr>
                <w:rFonts w:ascii="Times New Roman" w:hAnsi="Times New Roman" w:cs="Times New Roman"/>
              </w:rPr>
            </w:pPr>
          </w:p>
        </w:tc>
        <w:tc>
          <w:tcPr>
            <w:tcW w:w="2000" w:type="dxa"/>
            <w:vAlign w:val="center"/>
          </w:tcPr>
          <w:p w14:paraId="157E6B13"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Neutral</w:t>
            </w:r>
          </w:p>
        </w:tc>
        <w:tc>
          <w:tcPr>
            <w:tcW w:w="5560" w:type="dxa"/>
          </w:tcPr>
          <w:p w14:paraId="2DDE6D54"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Communication that maintains an objective, balanced, or clinical tone without strong emotional valence. Typically focused on facts or information sharing without clearly positive or negative elements.</w:t>
            </w:r>
          </w:p>
        </w:tc>
      </w:tr>
      <w:tr w:rsidR="00B3324E" w:rsidRPr="000C780A" w14:paraId="22716560" w14:textId="77777777" w:rsidTr="004C0670">
        <w:tc>
          <w:tcPr>
            <w:tcW w:w="1800" w:type="dxa"/>
            <w:vMerge w:val="restart"/>
            <w:vAlign w:val="center"/>
          </w:tcPr>
          <w:p w14:paraId="44433A31"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Engagement</w:t>
            </w:r>
          </w:p>
        </w:tc>
        <w:tc>
          <w:tcPr>
            <w:tcW w:w="2000" w:type="dxa"/>
            <w:vAlign w:val="center"/>
          </w:tcPr>
          <w:p w14:paraId="621C41C4"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Open</w:t>
            </w:r>
          </w:p>
        </w:tc>
        <w:tc>
          <w:tcPr>
            <w:tcW w:w="5560" w:type="dxa"/>
          </w:tcPr>
          <w:p w14:paraId="7113DF7B"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Communication that actively invites participation from others in the discussion. Characterized by explicit invitations for input, open-ended questions, solicitation of diverse perspectives, or creation of space for others to contribute. The speaker clearly signals that the conversational floor is available to others.</w:t>
            </w:r>
          </w:p>
        </w:tc>
      </w:tr>
      <w:tr w:rsidR="00B3324E" w:rsidRPr="000C780A" w14:paraId="06B81F67" w14:textId="77777777" w:rsidTr="004C0670">
        <w:tc>
          <w:tcPr>
            <w:tcW w:w="1800" w:type="dxa"/>
            <w:vMerge/>
            <w:vAlign w:val="center"/>
          </w:tcPr>
          <w:p w14:paraId="734AD8BB" w14:textId="77777777" w:rsidR="00B3324E" w:rsidRPr="000C780A" w:rsidRDefault="00B3324E" w:rsidP="004C0670">
            <w:pPr>
              <w:jc w:val="center"/>
              <w:rPr>
                <w:rFonts w:ascii="Times New Roman" w:hAnsi="Times New Roman" w:cs="Times New Roman"/>
              </w:rPr>
            </w:pPr>
          </w:p>
        </w:tc>
        <w:tc>
          <w:tcPr>
            <w:tcW w:w="2000" w:type="dxa"/>
            <w:vAlign w:val="center"/>
          </w:tcPr>
          <w:p w14:paraId="19697B5E"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Closed</w:t>
            </w:r>
          </w:p>
        </w:tc>
        <w:tc>
          <w:tcPr>
            <w:tcW w:w="5560" w:type="dxa"/>
          </w:tcPr>
          <w:p w14:paraId="7EAE7B2B"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Communication that primarily delivers information without explicitly seeking input or response from others. This includes declarative statements, sharing of completed thoughts or experiences, answering yes/no questions definitively, or presenting conclusions. While others might respond, the communication itself doesn't actively invite or require further contribution.</w:t>
            </w:r>
          </w:p>
        </w:tc>
      </w:tr>
      <w:tr w:rsidR="00B3324E" w:rsidRPr="000C780A" w14:paraId="50C334FE" w14:textId="77777777" w:rsidTr="004C0670">
        <w:tc>
          <w:tcPr>
            <w:tcW w:w="1800" w:type="dxa"/>
            <w:vMerge w:val="restart"/>
            <w:vAlign w:val="center"/>
          </w:tcPr>
          <w:p w14:paraId="609972C8"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Conversational Momentum</w:t>
            </w:r>
          </w:p>
          <w:p w14:paraId="79D53D9E" w14:textId="77777777" w:rsidR="00B3324E" w:rsidRPr="000C780A" w:rsidRDefault="00B3324E" w:rsidP="004C0670">
            <w:pPr>
              <w:jc w:val="center"/>
              <w:rPr>
                <w:rFonts w:ascii="Times New Roman" w:hAnsi="Times New Roman" w:cs="Times New Roman"/>
              </w:rPr>
            </w:pPr>
          </w:p>
        </w:tc>
        <w:tc>
          <w:tcPr>
            <w:tcW w:w="2000" w:type="dxa"/>
            <w:vAlign w:val="center"/>
          </w:tcPr>
          <w:p w14:paraId="04A9C3DF"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Advancing</w:t>
            </w:r>
          </w:p>
        </w:tc>
        <w:tc>
          <w:tcPr>
            <w:tcW w:w="5560" w:type="dxa"/>
          </w:tcPr>
          <w:p w14:paraId="7FCC0405"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Communication that propels the discussion forward by introducing new information, perspectives, or questions that expand the scope or depth of the conversation. Advancing contributions add substantive elements not previously considered and create new pathways for discussion development.</w:t>
            </w:r>
          </w:p>
        </w:tc>
      </w:tr>
      <w:tr w:rsidR="00B3324E" w:rsidRPr="000C780A" w14:paraId="6AEAB993" w14:textId="77777777" w:rsidTr="004C0670">
        <w:tc>
          <w:tcPr>
            <w:tcW w:w="1800" w:type="dxa"/>
            <w:vMerge/>
          </w:tcPr>
          <w:p w14:paraId="6BD4D3CE" w14:textId="77777777" w:rsidR="00B3324E" w:rsidRPr="000C780A" w:rsidRDefault="00B3324E" w:rsidP="004C0670">
            <w:pPr>
              <w:rPr>
                <w:rFonts w:ascii="Times New Roman" w:hAnsi="Times New Roman" w:cs="Times New Roman"/>
              </w:rPr>
            </w:pPr>
          </w:p>
        </w:tc>
        <w:tc>
          <w:tcPr>
            <w:tcW w:w="2000" w:type="dxa"/>
            <w:vAlign w:val="center"/>
          </w:tcPr>
          <w:p w14:paraId="5ECE7660"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Maintaining</w:t>
            </w:r>
          </w:p>
        </w:tc>
        <w:tc>
          <w:tcPr>
            <w:tcW w:w="5560" w:type="dxa"/>
          </w:tcPr>
          <w:p w14:paraId="31A03A56"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Communication that sustains the current discussion thread without significantly altering its direction or adding novel content. This includes agreements, restatements, requests for clarification, elaborations on existing points, or examples that support already-established ideas.</w:t>
            </w:r>
          </w:p>
        </w:tc>
      </w:tr>
      <w:tr w:rsidR="00B3324E" w:rsidRPr="000C780A" w14:paraId="486DC8D5" w14:textId="77777777" w:rsidTr="004C0670">
        <w:tc>
          <w:tcPr>
            <w:tcW w:w="1800" w:type="dxa"/>
            <w:vMerge/>
          </w:tcPr>
          <w:p w14:paraId="49DE2F6B" w14:textId="77777777" w:rsidR="00B3324E" w:rsidRPr="000C780A" w:rsidRDefault="00B3324E" w:rsidP="004C0670">
            <w:pPr>
              <w:rPr>
                <w:rFonts w:ascii="Times New Roman" w:hAnsi="Times New Roman" w:cs="Times New Roman"/>
              </w:rPr>
            </w:pPr>
          </w:p>
        </w:tc>
        <w:tc>
          <w:tcPr>
            <w:tcW w:w="2000" w:type="dxa"/>
            <w:vAlign w:val="center"/>
          </w:tcPr>
          <w:p w14:paraId="6BCDEED0"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Redirecting</w:t>
            </w:r>
          </w:p>
        </w:tc>
        <w:tc>
          <w:tcPr>
            <w:tcW w:w="5560" w:type="dxa"/>
          </w:tcPr>
          <w:p w14:paraId="564FA4B0"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Communication that intentionally or effectively changes the course of the discussion toward a different topic, perspective, or focus area. This might involve introducing tangentially related ideas, returning to previous unresolved points, or explicitly suggesting a change in conversational direction.</w:t>
            </w:r>
          </w:p>
        </w:tc>
      </w:tr>
      <w:tr w:rsidR="00B3324E" w:rsidRPr="000C780A" w14:paraId="7EACD8CE" w14:textId="77777777" w:rsidTr="004C0670">
        <w:tc>
          <w:tcPr>
            <w:tcW w:w="1800" w:type="dxa"/>
            <w:vMerge/>
          </w:tcPr>
          <w:p w14:paraId="36BE6580" w14:textId="77777777" w:rsidR="00B3324E" w:rsidRPr="000C780A" w:rsidRDefault="00B3324E" w:rsidP="004C0670">
            <w:pPr>
              <w:rPr>
                <w:rFonts w:ascii="Times New Roman" w:hAnsi="Times New Roman" w:cs="Times New Roman"/>
              </w:rPr>
            </w:pPr>
          </w:p>
        </w:tc>
        <w:tc>
          <w:tcPr>
            <w:tcW w:w="2000" w:type="dxa"/>
            <w:vAlign w:val="center"/>
          </w:tcPr>
          <w:p w14:paraId="4148BC56" w14:textId="77777777" w:rsidR="00B3324E" w:rsidRPr="000C780A" w:rsidRDefault="00B3324E" w:rsidP="004C0670">
            <w:pPr>
              <w:jc w:val="center"/>
              <w:rPr>
                <w:rFonts w:ascii="Times New Roman" w:hAnsi="Times New Roman" w:cs="Times New Roman"/>
              </w:rPr>
            </w:pPr>
            <w:r w:rsidRPr="000C780A">
              <w:rPr>
                <w:rFonts w:ascii="Times New Roman" w:eastAsia="Arial" w:hAnsi="Times New Roman" w:cs="Times New Roman"/>
              </w:rPr>
              <w:t>Concluding</w:t>
            </w:r>
          </w:p>
        </w:tc>
        <w:tc>
          <w:tcPr>
            <w:tcW w:w="5560" w:type="dxa"/>
          </w:tcPr>
          <w:p w14:paraId="1E6E0B1B" w14:textId="77777777" w:rsidR="00B3324E" w:rsidRPr="000C780A" w:rsidRDefault="00B3324E" w:rsidP="004C0670">
            <w:pPr>
              <w:rPr>
                <w:rFonts w:ascii="Times New Roman" w:hAnsi="Times New Roman" w:cs="Times New Roman"/>
              </w:rPr>
            </w:pPr>
            <w:r w:rsidRPr="000C780A">
              <w:rPr>
                <w:rFonts w:ascii="Times New Roman" w:eastAsia="Arial" w:hAnsi="Times New Roman" w:cs="Times New Roman"/>
              </w:rPr>
              <w:t>Communication that functions to bring closure to a discussion thread through summarization, synthesis of key points, resolution of questions, or explicit signaling that the topic has been adequately addressed. This may include transitional statements that indicate readiness to move to new topics.</w:t>
            </w:r>
          </w:p>
        </w:tc>
      </w:tr>
    </w:tbl>
    <w:p w14:paraId="48065A69" w14:textId="77777777" w:rsidR="00B3324E" w:rsidRDefault="00B3324E" w:rsidP="00B3324E">
      <w:pPr>
        <w:rPr>
          <w:rFonts w:ascii="Calibri" w:hAnsi="Calibri" w:cs="Calibri"/>
        </w:rPr>
        <w:sectPr w:rsidR="00B3324E" w:rsidSect="00B3324E">
          <w:pgSz w:w="12240" w:h="15840"/>
          <w:pgMar w:top="1440" w:right="1440" w:bottom="1440" w:left="1440" w:header="720" w:footer="720" w:gutter="0"/>
          <w:cols w:space="720"/>
          <w:docGrid w:linePitch="360"/>
        </w:sectPr>
      </w:pPr>
    </w:p>
    <w:p w14:paraId="4D9DF0F4" w14:textId="77777777" w:rsidR="00F36B4F" w:rsidRDefault="00F36B4F"/>
    <w:sectPr w:rsidR="00F36B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24E"/>
    <w:rsid w:val="00010CA9"/>
    <w:rsid w:val="0001341C"/>
    <w:rsid w:val="00047506"/>
    <w:rsid w:val="000713B7"/>
    <w:rsid w:val="00076354"/>
    <w:rsid w:val="00087F80"/>
    <w:rsid w:val="000B18FC"/>
    <w:rsid w:val="0011272C"/>
    <w:rsid w:val="001146F8"/>
    <w:rsid w:val="00116CCB"/>
    <w:rsid w:val="001310D7"/>
    <w:rsid w:val="00134B9B"/>
    <w:rsid w:val="00163FA0"/>
    <w:rsid w:val="00174737"/>
    <w:rsid w:val="0018781E"/>
    <w:rsid w:val="001927DB"/>
    <w:rsid w:val="00192CCD"/>
    <w:rsid w:val="0019580B"/>
    <w:rsid w:val="001B3E76"/>
    <w:rsid w:val="001C27BA"/>
    <w:rsid w:val="001D16DD"/>
    <w:rsid w:val="001F06C0"/>
    <w:rsid w:val="00207425"/>
    <w:rsid w:val="0021724D"/>
    <w:rsid w:val="00221E5D"/>
    <w:rsid w:val="002515F2"/>
    <w:rsid w:val="0025667C"/>
    <w:rsid w:val="002816E2"/>
    <w:rsid w:val="002D2A0F"/>
    <w:rsid w:val="002F651A"/>
    <w:rsid w:val="00316557"/>
    <w:rsid w:val="00353150"/>
    <w:rsid w:val="00371DA7"/>
    <w:rsid w:val="00385BE3"/>
    <w:rsid w:val="00390EC4"/>
    <w:rsid w:val="00391DFE"/>
    <w:rsid w:val="003A284E"/>
    <w:rsid w:val="003C2C3A"/>
    <w:rsid w:val="003F6013"/>
    <w:rsid w:val="004615AB"/>
    <w:rsid w:val="00470828"/>
    <w:rsid w:val="004708CD"/>
    <w:rsid w:val="004B59FB"/>
    <w:rsid w:val="004B709C"/>
    <w:rsid w:val="004D51AB"/>
    <w:rsid w:val="00503CCD"/>
    <w:rsid w:val="00544349"/>
    <w:rsid w:val="00555E40"/>
    <w:rsid w:val="00556013"/>
    <w:rsid w:val="005655F1"/>
    <w:rsid w:val="00575FC2"/>
    <w:rsid w:val="0057775D"/>
    <w:rsid w:val="005C65FC"/>
    <w:rsid w:val="005C7006"/>
    <w:rsid w:val="005C7757"/>
    <w:rsid w:val="005C7E25"/>
    <w:rsid w:val="005E38C2"/>
    <w:rsid w:val="005E616D"/>
    <w:rsid w:val="0060051D"/>
    <w:rsid w:val="00611D6F"/>
    <w:rsid w:val="00675814"/>
    <w:rsid w:val="0068345D"/>
    <w:rsid w:val="00693A33"/>
    <w:rsid w:val="006A6AF5"/>
    <w:rsid w:val="006B2CC0"/>
    <w:rsid w:val="006B614C"/>
    <w:rsid w:val="006B7A34"/>
    <w:rsid w:val="006C37F1"/>
    <w:rsid w:val="006C4D83"/>
    <w:rsid w:val="006C737A"/>
    <w:rsid w:val="006D3F1E"/>
    <w:rsid w:val="006E706E"/>
    <w:rsid w:val="0071247C"/>
    <w:rsid w:val="007411FE"/>
    <w:rsid w:val="00746E9A"/>
    <w:rsid w:val="00755C5A"/>
    <w:rsid w:val="0078539C"/>
    <w:rsid w:val="007877F4"/>
    <w:rsid w:val="007951FE"/>
    <w:rsid w:val="00797B0F"/>
    <w:rsid w:val="007C0ED6"/>
    <w:rsid w:val="007D49B4"/>
    <w:rsid w:val="007D60B7"/>
    <w:rsid w:val="00821C14"/>
    <w:rsid w:val="00882AFD"/>
    <w:rsid w:val="008C43A6"/>
    <w:rsid w:val="008D6B1B"/>
    <w:rsid w:val="00941DAC"/>
    <w:rsid w:val="009638ED"/>
    <w:rsid w:val="009667EF"/>
    <w:rsid w:val="009804D8"/>
    <w:rsid w:val="009828B2"/>
    <w:rsid w:val="00990310"/>
    <w:rsid w:val="00994DD4"/>
    <w:rsid w:val="009A1AB2"/>
    <w:rsid w:val="009A5441"/>
    <w:rsid w:val="009E447B"/>
    <w:rsid w:val="009F5A2F"/>
    <w:rsid w:val="00A848CC"/>
    <w:rsid w:val="00AB2EFE"/>
    <w:rsid w:val="00AE0C07"/>
    <w:rsid w:val="00AE70A5"/>
    <w:rsid w:val="00B05B10"/>
    <w:rsid w:val="00B21A88"/>
    <w:rsid w:val="00B2423D"/>
    <w:rsid w:val="00B30F46"/>
    <w:rsid w:val="00B3324E"/>
    <w:rsid w:val="00B44C6D"/>
    <w:rsid w:val="00B451B2"/>
    <w:rsid w:val="00BA71BD"/>
    <w:rsid w:val="00BE1168"/>
    <w:rsid w:val="00BF1523"/>
    <w:rsid w:val="00C03B78"/>
    <w:rsid w:val="00C2181C"/>
    <w:rsid w:val="00C65A91"/>
    <w:rsid w:val="00C87C3C"/>
    <w:rsid w:val="00C9203E"/>
    <w:rsid w:val="00C9337E"/>
    <w:rsid w:val="00CD7AF0"/>
    <w:rsid w:val="00CE06BD"/>
    <w:rsid w:val="00CF0A1C"/>
    <w:rsid w:val="00CF4B23"/>
    <w:rsid w:val="00D04FC6"/>
    <w:rsid w:val="00D21C0C"/>
    <w:rsid w:val="00D403C8"/>
    <w:rsid w:val="00D8063F"/>
    <w:rsid w:val="00DB72A0"/>
    <w:rsid w:val="00DC3C90"/>
    <w:rsid w:val="00DC48B4"/>
    <w:rsid w:val="00DC694E"/>
    <w:rsid w:val="00DD04A2"/>
    <w:rsid w:val="00DD7F4B"/>
    <w:rsid w:val="00DE0812"/>
    <w:rsid w:val="00DE4449"/>
    <w:rsid w:val="00DE6859"/>
    <w:rsid w:val="00DF4B58"/>
    <w:rsid w:val="00DF65D9"/>
    <w:rsid w:val="00E3654B"/>
    <w:rsid w:val="00E7222C"/>
    <w:rsid w:val="00ED59DC"/>
    <w:rsid w:val="00EF106F"/>
    <w:rsid w:val="00F014D4"/>
    <w:rsid w:val="00F027AD"/>
    <w:rsid w:val="00F02ABA"/>
    <w:rsid w:val="00F20ED2"/>
    <w:rsid w:val="00F36B4F"/>
    <w:rsid w:val="00F40F41"/>
    <w:rsid w:val="00F66F5D"/>
    <w:rsid w:val="00F9305B"/>
    <w:rsid w:val="00FC343C"/>
    <w:rsid w:val="00FD3A0F"/>
    <w:rsid w:val="00FF7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B9F12B"/>
  <w15:chartTrackingRefBased/>
  <w15:docId w15:val="{A8F4B530-9A13-FD4A-B339-CE7D58085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24E"/>
    <w:pPr>
      <w:spacing w:line="259" w:lineRule="auto"/>
    </w:pPr>
    <w:rPr>
      <w:kern w:val="0"/>
      <w:sz w:val="22"/>
      <w:szCs w:val="22"/>
      <w14:ligatures w14:val="none"/>
    </w:rPr>
  </w:style>
  <w:style w:type="paragraph" w:styleId="Heading1">
    <w:name w:val="heading 1"/>
    <w:basedOn w:val="Normal"/>
    <w:next w:val="Normal"/>
    <w:link w:val="Heading1Char"/>
    <w:uiPriority w:val="9"/>
    <w:qFormat/>
    <w:rsid w:val="00B3324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3324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3324E"/>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3324E"/>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3324E"/>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3324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3324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3324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3324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2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32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32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32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32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32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32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32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324E"/>
    <w:rPr>
      <w:rFonts w:eastAsiaTheme="majorEastAsia" w:cstheme="majorBidi"/>
      <w:color w:val="272727" w:themeColor="text1" w:themeTint="D8"/>
    </w:rPr>
  </w:style>
  <w:style w:type="paragraph" w:styleId="Title">
    <w:name w:val="Title"/>
    <w:basedOn w:val="Normal"/>
    <w:next w:val="Normal"/>
    <w:link w:val="TitleChar"/>
    <w:uiPriority w:val="10"/>
    <w:qFormat/>
    <w:rsid w:val="00B3324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332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324E"/>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332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324E"/>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3324E"/>
    <w:rPr>
      <w:i/>
      <w:iCs/>
      <w:color w:val="404040" w:themeColor="text1" w:themeTint="BF"/>
    </w:rPr>
  </w:style>
  <w:style w:type="paragraph" w:styleId="ListParagraph">
    <w:name w:val="List Paragraph"/>
    <w:basedOn w:val="Normal"/>
    <w:uiPriority w:val="34"/>
    <w:qFormat/>
    <w:rsid w:val="00B3324E"/>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B3324E"/>
    <w:rPr>
      <w:i/>
      <w:iCs/>
      <w:color w:val="0F4761" w:themeColor="accent1" w:themeShade="BF"/>
    </w:rPr>
  </w:style>
  <w:style w:type="paragraph" w:styleId="IntenseQuote">
    <w:name w:val="Intense Quote"/>
    <w:basedOn w:val="Normal"/>
    <w:next w:val="Normal"/>
    <w:link w:val="IntenseQuoteChar"/>
    <w:uiPriority w:val="30"/>
    <w:qFormat/>
    <w:rsid w:val="00B3324E"/>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3324E"/>
    <w:rPr>
      <w:i/>
      <w:iCs/>
      <w:color w:val="0F4761" w:themeColor="accent1" w:themeShade="BF"/>
    </w:rPr>
  </w:style>
  <w:style w:type="character" w:styleId="IntenseReference">
    <w:name w:val="Intense Reference"/>
    <w:basedOn w:val="DefaultParagraphFont"/>
    <w:uiPriority w:val="32"/>
    <w:qFormat/>
    <w:rsid w:val="00B3324E"/>
    <w:rPr>
      <w:b/>
      <w:bCs/>
      <w:smallCaps/>
      <w:color w:val="0F4761" w:themeColor="accent1" w:themeShade="BF"/>
      <w:spacing w:val="5"/>
    </w:rPr>
  </w:style>
  <w:style w:type="table" w:styleId="TableGrid">
    <w:name w:val="Table Grid"/>
    <w:basedOn w:val="TableNormal"/>
    <w:uiPriority w:val="39"/>
    <w:rsid w:val="00B3324E"/>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614</Words>
  <Characters>3503</Characters>
  <Application>Microsoft Office Word</Application>
  <DocSecurity>0</DocSecurity>
  <Lines>29</Lines>
  <Paragraphs>8</Paragraphs>
  <ScaleCrop>false</ScaleCrop>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Simmons, Preston (He/Him/His)</dc:creator>
  <cp:keywords/>
  <dc:description/>
  <cp:lastModifiedBy>Simmons, Preston (He/Him/His)</cp:lastModifiedBy>
  <cp:revision>1</cp:revision>
  <dcterms:created xsi:type="dcterms:W3CDTF">2026-05-01T15:08:00Z</dcterms:created>
  <dcterms:modified xsi:type="dcterms:W3CDTF">2026-05-01T15:08:00Z</dcterms:modified>
</cp:coreProperties>
</file>