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EB4A9">
      <w:pPr>
        <w:widowControl/>
        <w:spacing w:line="480" w:lineRule="auto"/>
        <w:jc w:val="center"/>
        <w:rPr>
          <w:rFonts w:hint="eastAsia" w:ascii="Times New Roman" w:hAnsi="Times New Roman" w:cs="Times New Roman"/>
          <w:sz w:val="24"/>
          <w:lang w:val="en-US" w:eastAsia="zh-CN"/>
        </w:rPr>
      </w:pPr>
      <w:r>
        <w:rPr>
          <w:rFonts w:hint="eastAsia" w:ascii="Times New Roman" w:hAnsi="Times New Roman" w:cs="Times New Roman"/>
          <w:b/>
          <w:bCs/>
          <w:sz w:val="28"/>
          <w:szCs w:val="28"/>
          <w:lang w:val="en-US" w:eastAsia="zh-CN"/>
        </w:rPr>
        <w:t>SUPPLEMENTARY INFORMATION</w:t>
      </w:r>
    </w:p>
    <w:p w14:paraId="15164E1F">
      <w:pPr>
        <w:widowControl/>
        <w:spacing w:line="480" w:lineRule="auto"/>
        <w:jc w:val="center"/>
        <w:rPr>
          <w:rFonts w:hint="eastAsia" w:ascii="Times New Roman" w:hAnsi="Times New Roman" w:cs="Times New Roman"/>
          <w:sz w:val="24"/>
          <w:lang w:val="en-US" w:eastAsia="zh-CN"/>
        </w:rPr>
      </w:pPr>
    </w:p>
    <w:p w14:paraId="34646667">
      <w:pPr>
        <w:widowControl/>
        <w:spacing w:line="480" w:lineRule="auto"/>
        <w:jc w:val="center"/>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t>ATRX Loss-Induced Chromatin Spatial Remodeling Upregulates UGDH to Promote SOX2 m6A Methylation and Stemness Maintenance via UDP-Glc Depletion in Glioblastoma</w:t>
      </w:r>
    </w:p>
    <w:p w14:paraId="01B20804">
      <w:pPr>
        <w:widowControl/>
        <w:spacing w:line="480" w:lineRule="auto"/>
        <w:jc w:val="center"/>
        <w:rPr>
          <w:rFonts w:hint="eastAsia" w:ascii="Times New Roman" w:hAnsi="Times New Roman" w:cs="Times New Roman" w:eastAsiaTheme="minorEastAsia"/>
          <w:sz w:val="24"/>
          <w:lang w:eastAsia="zh-CN"/>
        </w:rPr>
      </w:pPr>
    </w:p>
    <w:p w14:paraId="70AEFFC7">
      <w:pPr>
        <w:widowControl/>
        <w:spacing w:line="480" w:lineRule="auto"/>
        <w:jc w:val="center"/>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Tian et al.</w:t>
      </w:r>
    </w:p>
    <w:p w14:paraId="20D78C57">
      <w:pPr>
        <w:spacing w:line="480" w:lineRule="auto"/>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br w:type="page"/>
      </w:r>
    </w:p>
    <w:p w14:paraId="160695BD">
      <w:pPr>
        <w:widowControl/>
        <w:spacing w:line="480" w:lineRule="auto"/>
        <w:rPr>
          <w:rFonts w:hint="default" w:ascii="Times New Roman" w:hAnsi="Times New Roman" w:cs="Times New Roman" w:eastAsiaTheme="minorEastAsia"/>
          <w:b/>
          <w:bCs/>
          <w:sz w:val="28"/>
          <w:szCs w:val="28"/>
          <w:lang w:val="en-US" w:eastAsia="zh-CN"/>
        </w:rPr>
      </w:pPr>
      <w:r>
        <w:rPr>
          <w:rFonts w:hint="eastAsia" w:ascii="Times New Roman" w:hAnsi="Times New Roman" w:cs="Times New Roman"/>
          <w:b/>
          <w:bCs/>
          <w:sz w:val="28"/>
          <w:szCs w:val="28"/>
          <w:lang w:val="en-US" w:eastAsia="zh-CN"/>
        </w:rPr>
        <w:t>Supplementary Figures and Figure legends</w:t>
      </w:r>
    </w:p>
    <w:p w14:paraId="52484BA1">
      <w:pPr>
        <w:widowControl/>
        <w:spacing w:line="480" w:lineRule="auto"/>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1135" cy="3728085"/>
            <wp:effectExtent l="0" t="0" r="12065" b="5715"/>
            <wp:docPr id="2" name="图片 2" descr="Supplementary Figure 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1_画板 1"/>
                    <pic:cNvPicPr>
                      <a:picLocks noChangeAspect="1"/>
                    </pic:cNvPicPr>
                  </pic:nvPicPr>
                  <pic:blipFill>
                    <a:blip r:embed="rId5"/>
                    <a:stretch>
                      <a:fillRect/>
                    </a:stretch>
                  </pic:blipFill>
                  <pic:spPr>
                    <a:xfrm>
                      <a:off x="0" y="0"/>
                      <a:ext cx="5271135" cy="3728085"/>
                    </a:xfrm>
                    <a:prstGeom prst="rect">
                      <a:avLst/>
                    </a:prstGeom>
                  </pic:spPr>
                </pic:pic>
              </a:graphicData>
            </a:graphic>
          </wp:inline>
        </w:drawing>
      </w:r>
    </w:p>
    <w:p w14:paraId="516FF452">
      <w:pPr>
        <w:spacing w:line="480" w:lineRule="auto"/>
        <w:rPr>
          <w:rFonts w:ascii="Times New Roman" w:hAnsi="Times New Roman" w:cs="Times New Roman"/>
          <w:sz w:val="24"/>
        </w:rPr>
      </w:pPr>
      <w:r>
        <w:rPr>
          <w:rFonts w:ascii="Times New Roman" w:hAnsi="Times New Roman" w:cs="Times New Roman"/>
          <w:b/>
          <w:bCs/>
          <w:sz w:val="24"/>
        </w:rPr>
        <w:t>Supplementary Figure 1. ATRX knockout induces aberrant activation of the UGDH enhancer</w:t>
      </w:r>
      <w:r>
        <w:rPr>
          <w:rFonts w:hint="eastAsia" w:ascii="Times New Roman" w:hAnsi="Times New Roman" w:cs="Times New Roman"/>
          <w:b/>
          <w:bCs/>
          <w:sz w:val="24"/>
          <w:lang w:val="en-US" w:eastAsia="zh-CN"/>
        </w:rPr>
        <w:t>.</w:t>
      </w:r>
    </w:p>
    <w:p w14:paraId="3A8A3129">
      <w:pPr>
        <w:widowControl/>
        <w:numPr>
          <w:ilvl w:val="0"/>
          <w:numId w:val="1"/>
        </w:numPr>
        <w:spacing w:line="480" w:lineRule="auto"/>
        <w:rPr>
          <w:rFonts w:ascii="Times New Roman" w:hAnsi="Times New Roman" w:cs="Times New Roman"/>
          <w:sz w:val="24"/>
        </w:rPr>
      </w:pPr>
      <w:r>
        <w:rPr>
          <w:rFonts w:ascii="Times New Roman" w:hAnsi="Times New Roman" w:cs="Times New Roman"/>
          <w:sz w:val="24"/>
        </w:rPr>
        <w:t>Relative UGDH mRNA levels in LN229 and HG7 cells with or without ATRX knockout (</w:t>
      </w:r>
      <w:r>
        <w:rPr>
          <w:rFonts w:ascii="Times New Roman" w:hAnsi="Times New Roman" w:cs="Times New Roman"/>
          <w:i/>
          <w:iCs/>
          <w:sz w:val="24"/>
        </w:rPr>
        <w:t>n</w:t>
      </w:r>
      <w:r>
        <w:rPr>
          <w:rFonts w:ascii="Times New Roman" w:hAnsi="Times New Roman" w:cs="Times New Roman"/>
          <w:sz w:val="24"/>
        </w:rPr>
        <w:t xml:space="preserve"> = 3).</w:t>
      </w:r>
      <w:r>
        <w:rPr>
          <w:rFonts w:hint="eastAsia" w:ascii="Times New Roman" w:hAnsi="Times New Roman" w:cs="Times New Roman"/>
          <w:sz w:val="24"/>
          <w:lang w:val="en-US" w:eastAsia="zh-CN"/>
        </w:rPr>
        <w:t xml:space="preserve">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628CCB48">
      <w:pPr>
        <w:widowControl/>
        <w:numPr>
          <w:ilvl w:val="0"/>
          <w:numId w:val="1"/>
        </w:numPr>
        <w:spacing w:line="480" w:lineRule="auto"/>
        <w:rPr>
          <w:rFonts w:ascii="Times New Roman" w:hAnsi="Times New Roman" w:cs="Times New Roman"/>
          <w:sz w:val="24"/>
        </w:rPr>
      </w:pPr>
      <w:r>
        <w:rPr>
          <w:rFonts w:ascii="Times New Roman" w:hAnsi="Times New Roman" w:cs="Times New Roman"/>
          <w:sz w:val="24"/>
        </w:rPr>
        <w:t>ChIP-qPCR data of HG7 cells showing the enrichment of H3K27ac in the upstream promoter of UGDH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4E5F7DBE">
      <w:pPr>
        <w:widowControl/>
        <w:numPr>
          <w:ilvl w:val="0"/>
          <w:numId w:val="1"/>
        </w:numPr>
        <w:spacing w:line="480" w:lineRule="auto"/>
        <w:rPr>
          <w:rFonts w:ascii="Times New Roman" w:hAnsi="Times New Roman" w:cs="Times New Roman"/>
          <w:sz w:val="24"/>
        </w:rPr>
      </w:pPr>
      <w:r>
        <w:rPr>
          <w:rFonts w:ascii="Times New Roman" w:hAnsi="Times New Roman" w:cs="Times New Roman"/>
          <w:sz w:val="24"/>
        </w:rPr>
        <w:t>ChIP-qPCR data of HG7 cells showing the enrichment of H3K4me3 in the upstream promoter of UGDH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4067D424">
      <w:pPr>
        <w:widowControl/>
        <w:numPr>
          <w:ilvl w:val="0"/>
          <w:numId w:val="1"/>
        </w:numPr>
        <w:spacing w:line="480" w:lineRule="auto"/>
        <w:rPr>
          <w:rFonts w:ascii="Times New Roman" w:hAnsi="Times New Roman" w:cs="Times New Roman"/>
          <w:sz w:val="24"/>
        </w:rPr>
      </w:pPr>
      <w:r>
        <w:rPr>
          <w:rFonts w:ascii="Times New Roman" w:hAnsi="Times New Roman" w:cs="Times New Roman"/>
          <w:sz w:val="24"/>
        </w:rPr>
        <w:t>ChIP-qPCR data of HG7 cells to determine the occupancy of CTCF in the upstream promoter of UGDH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6A42350E">
      <w:pPr>
        <w:widowControl/>
        <w:numPr>
          <w:ilvl w:val="0"/>
          <w:numId w:val="1"/>
        </w:numPr>
        <w:spacing w:line="480" w:lineRule="auto"/>
        <w:rPr>
          <w:rFonts w:ascii="Times New Roman" w:hAnsi="Times New Roman" w:cs="Times New Roman"/>
          <w:sz w:val="24"/>
        </w:rPr>
      </w:pPr>
      <w:r>
        <w:rPr>
          <w:rFonts w:ascii="Times New Roman" w:hAnsi="Times New Roman" w:cs="Times New Roman"/>
          <w:sz w:val="24"/>
        </w:rPr>
        <w:t>Relative UGDH mRNA expression in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cells transduced with sgRNA targeting candidate enhancer</w:t>
      </w:r>
      <w:r>
        <w:rPr>
          <w:rFonts w:hint="eastAsia" w:ascii="Times New Roman" w:hAnsi="Times New Roman" w:cs="Times New Roman"/>
          <w:sz w:val="24"/>
          <w:lang w:val="en-US" w:eastAsia="zh-CN"/>
        </w:rPr>
        <w:t>s.</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 xml:space="preserve">P </w:t>
      </w:r>
      <w:r>
        <w:rPr>
          <w:rFonts w:hint="eastAsia" w:ascii="Times New Roman" w:hAnsi="Times New Roman" w:cs="Times New Roman"/>
          <w:sz w:val="24"/>
          <w:lang w:val="en-US" w:eastAsia="zh-CN"/>
        </w:rPr>
        <w:t xml:space="preserve">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r>
        <w:rPr>
          <w:rFonts w:ascii="Times New Roman" w:hAnsi="Times New Roman" w:eastAsia="宋体" w:cs="Times New Roman"/>
          <w:color w:val="000000"/>
          <w:kern w:val="0"/>
          <w:sz w:val="24"/>
          <w:lang w:bidi="ar"/>
        </w:rPr>
        <w:t xml:space="preserve">    </w:t>
      </w:r>
    </w:p>
    <w:p w14:paraId="08FA3AF9">
      <w:pPr>
        <w:widowControl/>
        <w:numPr>
          <w:ilvl w:val="0"/>
          <w:numId w:val="1"/>
        </w:numPr>
        <w:spacing w:line="480" w:lineRule="auto"/>
        <w:rPr>
          <w:rFonts w:ascii="Times New Roman" w:hAnsi="Times New Roman" w:cs="Times New Roman"/>
          <w:sz w:val="24"/>
        </w:rPr>
      </w:pPr>
      <w:r>
        <w:rPr>
          <w:rFonts w:ascii="Times New Roman" w:hAnsi="Times New Roman" w:cs="Times New Roman"/>
          <w:sz w:val="24"/>
        </w:rPr>
        <w:t>Western blotting of ATRX, UGDH and GAPDH in cells from the same grouping.</w:t>
      </w:r>
    </w:p>
    <w:p w14:paraId="774B2CAD">
      <w:pPr>
        <w:spacing w:line="480" w:lineRule="auto"/>
        <w:rPr>
          <w:rFonts w:ascii="Times New Roman" w:hAnsi="Times New Roman" w:cs="Times New Roman"/>
          <w:sz w:val="24"/>
        </w:rPr>
      </w:pPr>
      <w:r>
        <w:rPr>
          <w:rFonts w:ascii="Times New Roman" w:hAnsi="Times New Roman" w:cs="Times New Roman"/>
          <w:sz w:val="24"/>
        </w:rPr>
        <w:br w:type="page"/>
      </w:r>
    </w:p>
    <w:p w14:paraId="3AAC39F3">
      <w:pPr>
        <w:widowControl/>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4" name="图片 4" descr="Supplementary Figure 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2_画板 1"/>
                    <pic:cNvPicPr>
                      <a:picLocks noChangeAspect="1"/>
                    </pic:cNvPicPr>
                  </pic:nvPicPr>
                  <pic:blipFill>
                    <a:blip r:embed="rId6"/>
                    <a:stretch>
                      <a:fillRect/>
                    </a:stretch>
                  </pic:blipFill>
                  <pic:spPr>
                    <a:xfrm>
                      <a:off x="0" y="0"/>
                      <a:ext cx="5271135" cy="3728085"/>
                    </a:xfrm>
                    <a:prstGeom prst="rect">
                      <a:avLst/>
                    </a:prstGeom>
                  </pic:spPr>
                </pic:pic>
              </a:graphicData>
            </a:graphic>
          </wp:inline>
        </w:drawing>
      </w:r>
    </w:p>
    <w:p w14:paraId="1FCC1B97">
      <w:pPr>
        <w:widowControl/>
        <w:spacing w:line="480" w:lineRule="auto"/>
        <w:rPr>
          <w:rFonts w:ascii="Times New Roman" w:hAnsi="Times New Roman" w:cs="Times New Roman"/>
          <w:b/>
          <w:bCs/>
          <w:sz w:val="24"/>
        </w:rPr>
      </w:pPr>
      <w:r>
        <w:rPr>
          <w:rFonts w:ascii="Times New Roman" w:hAnsi="Times New Roman" w:cs="Times New Roman"/>
          <w:b/>
          <w:bCs/>
          <w:sz w:val="24"/>
        </w:rPr>
        <w:t>Supplementary Figure 2. Primary tumors in ATRX CKO mice exhibit worse prognosis.</w:t>
      </w:r>
    </w:p>
    <w:p w14:paraId="7C37FCC9">
      <w:pPr>
        <w:widowControl/>
        <w:numPr>
          <w:ilvl w:val="0"/>
          <w:numId w:val="2"/>
        </w:numPr>
        <w:spacing w:line="480" w:lineRule="auto"/>
        <w:rPr>
          <w:rFonts w:ascii="Times New Roman" w:hAnsi="Times New Roman" w:cs="Times New Roman"/>
          <w:b/>
          <w:bCs/>
          <w:sz w:val="24"/>
        </w:rPr>
      </w:pPr>
      <w:r>
        <w:rPr>
          <w:rFonts w:ascii="Times New Roman" w:hAnsi="Times New Roman" w:cs="Times New Roman"/>
          <w:sz w:val="24"/>
        </w:rPr>
        <w:t>H&amp;E staining and immunofluorescence of Atrx</w:t>
      </w:r>
      <w:r>
        <w:rPr>
          <w:rFonts w:ascii="Times New Roman" w:hAnsi="Times New Roman" w:cs="Times New Roman"/>
          <w:sz w:val="24"/>
          <w:vertAlign w:val="superscript"/>
        </w:rPr>
        <w:t>WT</w:t>
      </w:r>
      <w:r>
        <w:rPr>
          <w:rFonts w:ascii="Times New Roman" w:hAnsi="Times New Roman" w:cs="Times New Roman"/>
          <w:sz w:val="24"/>
        </w:rPr>
        <w:t xml:space="preserve"> and Atrx</w:t>
      </w:r>
      <w:r>
        <w:rPr>
          <w:rFonts w:ascii="Times New Roman" w:hAnsi="Times New Roman" w:cs="Times New Roman"/>
          <w:sz w:val="24"/>
          <w:vertAlign w:val="superscript"/>
        </w:rPr>
        <w:t>CKO</w:t>
      </w:r>
      <w:r>
        <w:rPr>
          <w:rFonts w:ascii="Times New Roman" w:hAnsi="Times New Roman" w:cs="Times New Roman"/>
          <w:sz w:val="24"/>
        </w:rPr>
        <w:t xml:space="preserve"> tumor tissues. Scale bar, 20 μm.</w:t>
      </w:r>
    </w:p>
    <w:p w14:paraId="0AE99F3D">
      <w:pPr>
        <w:widowControl/>
        <w:numPr>
          <w:ilvl w:val="0"/>
          <w:numId w:val="2"/>
        </w:numPr>
        <w:spacing w:line="480" w:lineRule="auto"/>
        <w:rPr>
          <w:rFonts w:ascii="Times New Roman" w:hAnsi="Times New Roman" w:cs="Times New Roman"/>
          <w:b/>
          <w:bCs/>
          <w:sz w:val="24"/>
        </w:rPr>
      </w:pPr>
      <w:r>
        <w:rPr>
          <w:rFonts w:ascii="Times New Roman" w:hAnsi="Times New Roman" w:cs="Times New Roman"/>
          <w:sz w:val="24"/>
        </w:rPr>
        <w:t>Immunohistochemical analysis of ATRX, SOX2, OLIG2, and UGDH expression in DAB</w:t>
      </w:r>
      <w:r>
        <w:rPr>
          <w:rFonts w:ascii="Times New Roman" w:hAnsi="Times New Roman" w:cs="Times New Roman"/>
          <w:sz w:val="24"/>
        </w:rPr>
        <w:noBreakHyphen/>
      </w:r>
      <w:r>
        <w:rPr>
          <w:rFonts w:ascii="Times New Roman" w:hAnsi="Times New Roman" w:cs="Times New Roman"/>
          <w:sz w:val="24"/>
        </w:rPr>
        <w:t>stained Atrx</w:t>
      </w:r>
      <w:r>
        <w:rPr>
          <w:rFonts w:ascii="Times New Roman" w:hAnsi="Times New Roman" w:cs="Times New Roman"/>
          <w:sz w:val="24"/>
          <w:vertAlign w:val="superscript"/>
        </w:rPr>
        <w:t>WT</w:t>
      </w:r>
      <w:r>
        <w:rPr>
          <w:rFonts w:ascii="Times New Roman" w:hAnsi="Times New Roman" w:cs="Times New Roman"/>
          <w:sz w:val="24"/>
        </w:rPr>
        <w:t xml:space="preserve"> and Atrx</w:t>
      </w:r>
      <w:r>
        <w:rPr>
          <w:rFonts w:ascii="Times New Roman" w:hAnsi="Times New Roman" w:cs="Times New Roman"/>
          <w:sz w:val="24"/>
          <w:vertAlign w:val="superscript"/>
        </w:rPr>
        <w:t>CKO</w:t>
      </w:r>
      <w:r>
        <w:rPr>
          <w:rFonts w:ascii="Times New Roman" w:hAnsi="Times New Roman" w:cs="Times New Roman"/>
          <w:sz w:val="24"/>
        </w:rPr>
        <w:t xml:space="preserve"> primary tumor sections. Scale bar, 100 μm.</w:t>
      </w:r>
    </w:p>
    <w:p w14:paraId="3F8E9025">
      <w:pPr>
        <w:widowControl/>
        <w:numPr>
          <w:ilvl w:val="0"/>
          <w:numId w:val="2"/>
        </w:numPr>
        <w:spacing w:line="480" w:lineRule="auto"/>
        <w:rPr>
          <w:rFonts w:ascii="Times New Roman" w:hAnsi="Times New Roman" w:cs="Times New Roman"/>
          <w:b/>
          <w:bCs/>
          <w:sz w:val="24"/>
        </w:rPr>
      </w:pPr>
      <w:r>
        <w:rPr>
          <w:rFonts w:ascii="Times New Roman" w:hAnsi="Times New Roman" w:cs="Times New Roman"/>
          <w:sz w:val="24"/>
        </w:rPr>
        <w:t>The histogram represented the quantitative evaluation of the immunohistochemistry assays (</w:t>
      </w:r>
      <w:r>
        <w:rPr>
          <w:rFonts w:ascii="Times New Roman" w:hAnsi="Times New Roman" w:cs="Times New Roman"/>
          <w:i/>
          <w:iCs/>
          <w:sz w:val="24"/>
        </w:rPr>
        <w:t>n</w:t>
      </w:r>
      <w:r>
        <w:rPr>
          <w:rFonts w:ascii="Times New Roman" w:hAnsi="Times New Roman" w:cs="Times New Roman"/>
          <w:sz w:val="24"/>
        </w:rPr>
        <w:t xml:space="preserve"> = 10). </w:t>
      </w:r>
      <w:r>
        <w:rPr>
          <w:rFonts w:ascii="Times New Roman" w:hAnsi="Times New Roman" w:cs="Times New Roman"/>
          <w:i/>
          <w:iCs/>
          <w:sz w:val="24"/>
        </w:rPr>
        <w:t>P</w:t>
      </w:r>
      <w:r>
        <w:rPr>
          <w:rFonts w:ascii="Times New Roman" w:hAnsi="Times New Roman" w:cs="Times New Roman"/>
          <w:sz w:val="24"/>
        </w:rPr>
        <w:t xml:space="preserve"> value was determined by Chi-squared test.</w:t>
      </w:r>
    </w:p>
    <w:p w14:paraId="5B3CC2FE">
      <w:pPr>
        <w:widowControl/>
        <w:numPr>
          <w:ilvl w:val="0"/>
          <w:numId w:val="2"/>
        </w:numPr>
        <w:spacing w:line="480" w:lineRule="auto"/>
        <w:rPr>
          <w:rFonts w:ascii="Times New Roman" w:hAnsi="Times New Roman" w:cs="Times New Roman"/>
          <w:b/>
          <w:bCs/>
          <w:sz w:val="24"/>
        </w:rPr>
      </w:pPr>
      <w:r>
        <w:rPr>
          <w:rFonts w:ascii="Times New Roman" w:hAnsi="Times New Roman" w:cs="Times New Roman"/>
          <w:sz w:val="24"/>
        </w:rPr>
        <w:t>Kaplan-Meier survival curves were generated for mice bearing primary tumor (Atrx</w:t>
      </w:r>
      <w:r>
        <w:rPr>
          <w:rFonts w:ascii="Times New Roman" w:hAnsi="Times New Roman" w:cs="Times New Roman"/>
          <w:sz w:val="24"/>
          <w:vertAlign w:val="superscript"/>
        </w:rPr>
        <w:t>WT</w:t>
      </w:r>
      <w:r>
        <w:rPr>
          <w:rFonts w:ascii="Times New Roman" w:hAnsi="Times New Roman" w:cs="Times New Roman"/>
          <w:sz w:val="24"/>
        </w:rPr>
        <w:t xml:space="preserve"> group = 12, Atrx</w:t>
      </w:r>
      <w:r>
        <w:rPr>
          <w:rFonts w:ascii="Times New Roman" w:hAnsi="Times New Roman" w:cs="Times New Roman"/>
          <w:sz w:val="24"/>
          <w:vertAlign w:val="superscript"/>
        </w:rPr>
        <w:t>CKO</w:t>
      </w:r>
      <w:r>
        <w:rPr>
          <w:rFonts w:ascii="Times New Roman" w:hAnsi="Times New Roman" w:cs="Times New Roman"/>
          <w:sz w:val="24"/>
        </w:rPr>
        <w:t xml:space="preserve"> group = 7). </w:t>
      </w:r>
      <w:r>
        <w:rPr>
          <w:rFonts w:ascii="Times New Roman" w:hAnsi="Times New Roman" w:cs="Times New Roman"/>
          <w:i/>
          <w:iCs/>
          <w:sz w:val="24"/>
        </w:rPr>
        <w:t xml:space="preserve">P </w:t>
      </w:r>
      <w:r>
        <w:rPr>
          <w:rFonts w:ascii="Times New Roman" w:hAnsi="Times New Roman" w:cs="Times New Roman"/>
          <w:sz w:val="24"/>
        </w:rPr>
        <w:t>value was determined by Log-rank test.</w:t>
      </w:r>
    </w:p>
    <w:p w14:paraId="45116529">
      <w:pPr>
        <w:widowControl/>
        <w:numPr>
          <w:ilvl w:val="0"/>
          <w:numId w:val="2"/>
        </w:numPr>
        <w:spacing w:line="480" w:lineRule="auto"/>
        <w:rPr>
          <w:rFonts w:ascii="Times New Roman" w:hAnsi="Times New Roman" w:cs="Times New Roman"/>
          <w:b/>
          <w:bCs/>
          <w:sz w:val="24"/>
        </w:rPr>
      </w:pPr>
      <w:r>
        <w:rPr>
          <w:rFonts w:ascii="Times New Roman" w:hAnsi="Times New Roman" w:cs="Times New Roman"/>
          <w:sz w:val="24"/>
        </w:rPr>
        <w:t>Schematic illustration: bioluminescence imaging of primary mouse tumor cell lines after implantation.</w:t>
      </w:r>
    </w:p>
    <w:p w14:paraId="31E25B1D">
      <w:pPr>
        <w:widowControl/>
        <w:numPr>
          <w:ilvl w:val="0"/>
          <w:numId w:val="2"/>
        </w:numPr>
        <w:spacing w:line="480" w:lineRule="auto"/>
        <w:rPr>
          <w:rFonts w:ascii="Times New Roman" w:hAnsi="Times New Roman" w:cs="Times New Roman"/>
          <w:b/>
          <w:bCs/>
          <w:sz w:val="24"/>
        </w:rPr>
      </w:pPr>
      <w:r>
        <w:rPr>
          <w:rFonts w:ascii="Times New Roman" w:hAnsi="Times New Roman" w:cs="Times New Roman"/>
          <w:sz w:val="24"/>
        </w:rPr>
        <w:t>Quantification of bioluminescence signals in mice implanted with primary tumor cell lines</w:t>
      </w:r>
      <w:r>
        <w:rPr>
          <w:rFonts w:hint="eastAsia" w:ascii="Times New Roman" w:hAnsi="Times New Roman" w:cs="Times New Roman"/>
          <w:sz w:val="24"/>
          <w:lang w:val="en-US" w:eastAsia="zh-CN"/>
        </w:rPr>
        <w:t xml:space="preserve"> </w:t>
      </w:r>
      <w:r>
        <w:rPr>
          <w:rFonts w:ascii="Times New Roman" w:hAnsi="Times New Roman" w:cs="Times New Roman"/>
          <w:sz w:val="24"/>
        </w:rPr>
        <w:t>(</w:t>
      </w:r>
      <w:r>
        <w:rPr>
          <w:rFonts w:ascii="Times New Roman" w:hAnsi="Times New Roman" w:cs="Times New Roman"/>
          <w:i/>
          <w:iCs/>
          <w:sz w:val="24"/>
        </w:rPr>
        <w:t>n</w:t>
      </w:r>
      <w:r>
        <w:rPr>
          <w:rFonts w:ascii="Times New Roman" w:hAnsi="Times New Roman" w:cs="Times New Roman"/>
          <w:sz w:val="24"/>
        </w:rPr>
        <w:t xml:space="preserve"> = 10).</w:t>
      </w:r>
      <w:r>
        <w:rPr>
          <w:rFonts w:hint="eastAsia" w:ascii="Times New Roman" w:hAnsi="Times New Roman" w:cs="Times New Roman"/>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53CE3B01">
      <w:pPr>
        <w:spacing w:line="480" w:lineRule="auto"/>
        <w:rPr>
          <w:rFonts w:ascii="Times New Roman" w:hAnsi="Times New Roman" w:cs="Times New Roman"/>
          <w:b/>
          <w:bCs/>
          <w:sz w:val="24"/>
        </w:rPr>
      </w:pPr>
      <w:r>
        <w:rPr>
          <w:rFonts w:ascii="Times New Roman" w:hAnsi="Times New Roman" w:cs="Times New Roman"/>
          <w:b/>
          <w:bCs/>
          <w:sz w:val="24"/>
        </w:rPr>
        <w:br w:type="page"/>
      </w:r>
    </w:p>
    <w:p w14:paraId="7248988A">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5" name="图片 5" descr="Supplementary Figure 3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3_画板 1"/>
                    <pic:cNvPicPr>
                      <a:picLocks noChangeAspect="1"/>
                    </pic:cNvPicPr>
                  </pic:nvPicPr>
                  <pic:blipFill>
                    <a:blip r:embed="rId7"/>
                    <a:stretch>
                      <a:fillRect/>
                    </a:stretch>
                  </pic:blipFill>
                  <pic:spPr>
                    <a:xfrm>
                      <a:off x="0" y="0"/>
                      <a:ext cx="5271135" cy="3728085"/>
                    </a:xfrm>
                    <a:prstGeom prst="rect">
                      <a:avLst/>
                    </a:prstGeom>
                  </pic:spPr>
                </pic:pic>
              </a:graphicData>
            </a:graphic>
          </wp:inline>
        </w:drawing>
      </w:r>
    </w:p>
    <w:p w14:paraId="28B080C9">
      <w:pPr>
        <w:spacing w:line="480" w:lineRule="auto"/>
        <w:rPr>
          <w:rFonts w:hint="eastAsia" w:ascii="Times New Roman" w:hAnsi="Times New Roman" w:cs="Times New Roman" w:eastAsiaTheme="minorEastAsia"/>
          <w:b/>
          <w:bCs/>
          <w:sz w:val="24"/>
          <w:lang w:val="en-US" w:eastAsia="zh-CN"/>
        </w:rPr>
      </w:pPr>
      <w:r>
        <w:rPr>
          <w:rFonts w:ascii="Times New Roman" w:hAnsi="Times New Roman" w:cs="Times New Roman"/>
          <w:b/>
          <w:bCs/>
          <w:sz w:val="24"/>
        </w:rPr>
        <w:t>Supplementary Figure 3. ATRX loss correlates with UGDH overexpression in human and murine tumors.</w:t>
      </w:r>
      <w:r>
        <w:rPr>
          <w:rFonts w:hint="eastAsia" w:ascii="Times New Roman" w:hAnsi="Times New Roman" w:cs="Times New Roman"/>
          <w:b/>
          <w:bCs/>
          <w:sz w:val="24"/>
          <w:lang w:val="en-US" w:eastAsia="zh-CN"/>
        </w:rPr>
        <w:t>.</w:t>
      </w:r>
    </w:p>
    <w:p w14:paraId="6610E13D">
      <w:pPr>
        <w:numPr>
          <w:ilvl w:val="0"/>
          <w:numId w:val="3"/>
        </w:numPr>
        <w:spacing w:line="480" w:lineRule="auto"/>
        <w:rPr>
          <w:rFonts w:ascii="Times New Roman" w:hAnsi="Times New Roman" w:cs="Times New Roman"/>
          <w:b/>
          <w:bCs/>
          <w:sz w:val="24"/>
        </w:rPr>
      </w:pPr>
      <w:r>
        <w:rPr>
          <w:rFonts w:ascii="Times New Roman" w:hAnsi="Times New Roman" w:cs="Times New Roman"/>
          <w:sz w:val="24"/>
        </w:rPr>
        <w:t>Representative bioluminescence images of mice bearing tumors derived from Atrx</w:t>
      </w:r>
      <w:r>
        <w:rPr>
          <w:rFonts w:ascii="Times New Roman" w:hAnsi="Times New Roman" w:cs="Times New Roman"/>
          <w:sz w:val="24"/>
          <w:vertAlign w:val="superscript"/>
        </w:rPr>
        <w:t>WT</w:t>
      </w:r>
      <w:r>
        <w:rPr>
          <w:rFonts w:ascii="Times New Roman" w:hAnsi="Times New Roman" w:cs="Times New Roman"/>
          <w:sz w:val="24"/>
        </w:rPr>
        <w:t xml:space="preserve"> or Atrx</w:t>
      </w:r>
      <w:r>
        <w:rPr>
          <w:rFonts w:ascii="Times New Roman" w:hAnsi="Times New Roman" w:cs="Times New Roman"/>
          <w:sz w:val="24"/>
          <w:vertAlign w:val="superscript"/>
        </w:rPr>
        <w:t>CKO</w:t>
      </w:r>
      <w:r>
        <w:rPr>
          <w:rFonts w:ascii="Times New Roman" w:hAnsi="Times New Roman" w:cs="Times New Roman"/>
          <w:sz w:val="24"/>
        </w:rPr>
        <w:t xml:space="preserve"> primary tumor cell lines</w:t>
      </w:r>
      <w:r>
        <w:rPr>
          <w:rFonts w:hint="eastAsia" w:ascii="Times New Roman" w:hAnsi="Times New Roman" w:cs="Times New Roman"/>
          <w:sz w:val="24"/>
          <w:vertAlign w:val="superscript"/>
          <w:lang w:val="en-US" w:eastAsia="zh-CN"/>
        </w:rPr>
        <w:t xml:space="preserve"> </w:t>
      </w:r>
      <w:r>
        <w:rPr>
          <w:rFonts w:hint="eastAsia" w:ascii="Times New Roman" w:hAnsi="Times New Roman" w:cs="Times New Roman"/>
          <w:sz w:val="24"/>
          <w:lang w:val="en-US" w:eastAsia="zh-CN"/>
        </w:rPr>
        <w:t>(</w:t>
      </w:r>
      <w:r>
        <w:rPr>
          <w:rFonts w:hint="eastAsia" w:ascii="Times New Roman" w:hAnsi="Times New Roman" w:cs="Times New Roman"/>
          <w:i/>
          <w:iCs/>
          <w:sz w:val="24"/>
          <w:lang w:val="en-US" w:eastAsia="zh-CN"/>
        </w:rPr>
        <w:t>n</w:t>
      </w:r>
      <w:r>
        <w:rPr>
          <w:rFonts w:hint="eastAsia" w:ascii="Times New Roman" w:hAnsi="Times New Roman" w:cs="Times New Roman"/>
          <w:sz w:val="24"/>
          <w:lang w:val="en-US" w:eastAsia="zh-CN"/>
        </w:rPr>
        <w:t xml:space="preserve"> = 10).</w:t>
      </w:r>
    </w:p>
    <w:p w14:paraId="309DCBC9">
      <w:pPr>
        <w:numPr>
          <w:ilvl w:val="0"/>
          <w:numId w:val="3"/>
        </w:numPr>
        <w:spacing w:line="480" w:lineRule="auto"/>
        <w:rPr>
          <w:rFonts w:ascii="Times New Roman" w:hAnsi="Times New Roman" w:cs="Times New Roman"/>
          <w:b/>
          <w:bCs/>
          <w:sz w:val="24"/>
        </w:rPr>
      </w:pPr>
      <w:r>
        <w:rPr>
          <w:rFonts w:ascii="Times New Roman" w:hAnsi="Times New Roman" w:cs="Times New Roman"/>
          <w:sz w:val="24"/>
        </w:rPr>
        <w:t>Kaplan-Meier survival curves were generated for mice bearing planted tumors (</w:t>
      </w:r>
      <w:r>
        <w:rPr>
          <w:rFonts w:ascii="Times New Roman" w:hAnsi="Times New Roman" w:cs="Times New Roman"/>
          <w:i/>
          <w:iCs/>
          <w:sz w:val="24"/>
        </w:rPr>
        <w:t>n</w:t>
      </w:r>
      <w:r>
        <w:rPr>
          <w:rFonts w:ascii="Times New Roman" w:hAnsi="Times New Roman" w:cs="Times New Roman"/>
          <w:sz w:val="24"/>
        </w:rPr>
        <w:t xml:space="preserve"> = 10). </w:t>
      </w:r>
      <w:r>
        <w:rPr>
          <w:rFonts w:ascii="Times New Roman" w:hAnsi="Times New Roman" w:cs="Times New Roman"/>
          <w:i/>
          <w:iCs/>
          <w:sz w:val="24"/>
        </w:rPr>
        <w:t xml:space="preserve">P </w:t>
      </w:r>
      <w:r>
        <w:rPr>
          <w:rFonts w:ascii="Times New Roman" w:hAnsi="Times New Roman" w:cs="Times New Roman"/>
          <w:sz w:val="24"/>
        </w:rPr>
        <w:t>value was determined by Log-rank test.</w:t>
      </w:r>
    </w:p>
    <w:p w14:paraId="309FA3B4">
      <w:pPr>
        <w:numPr>
          <w:ilvl w:val="0"/>
          <w:numId w:val="3"/>
        </w:numPr>
        <w:spacing w:line="480" w:lineRule="auto"/>
        <w:rPr>
          <w:rFonts w:ascii="Times New Roman" w:hAnsi="Times New Roman" w:cs="Times New Roman"/>
          <w:b/>
          <w:bCs/>
          <w:sz w:val="24"/>
        </w:rPr>
      </w:pPr>
      <w:r>
        <w:rPr>
          <w:rFonts w:ascii="Times New Roman" w:hAnsi="Times New Roman" w:cs="Times New Roman"/>
          <w:sz w:val="24"/>
        </w:rPr>
        <w:t>The concentrations of intracellular UDP-Glc were determined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77580761">
      <w:pPr>
        <w:numPr>
          <w:ilvl w:val="0"/>
          <w:numId w:val="3"/>
        </w:numPr>
        <w:spacing w:line="480" w:lineRule="auto"/>
        <w:rPr>
          <w:rFonts w:ascii="Times New Roman" w:hAnsi="Times New Roman" w:cs="Times New Roman"/>
          <w:b/>
          <w:bCs/>
          <w:sz w:val="24"/>
        </w:rPr>
      </w:pPr>
      <w:r>
        <w:rPr>
          <w:rFonts w:ascii="Times New Roman" w:hAnsi="Times New Roman" w:cs="Times New Roman"/>
          <w:sz w:val="24"/>
        </w:rPr>
        <w:t>Sphere formation assays were performed using mice derived tumor cell lines. Tumor spheres with diameters &gt; 50 μm were counted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07201006">
      <w:pPr>
        <w:numPr>
          <w:ilvl w:val="0"/>
          <w:numId w:val="3"/>
        </w:numPr>
        <w:spacing w:line="480" w:lineRule="auto"/>
        <w:rPr>
          <w:rFonts w:ascii="Times New Roman" w:hAnsi="Times New Roman" w:cs="Times New Roman"/>
          <w:b/>
          <w:bCs/>
          <w:sz w:val="24"/>
        </w:rPr>
      </w:pPr>
      <w:r>
        <w:rPr>
          <w:rFonts w:ascii="Times New Roman" w:hAnsi="Times New Roman" w:cs="Times New Roman"/>
          <w:sz w:val="24"/>
        </w:rPr>
        <w:t>Representative images of sphere formation assays using primary mouse tumor cell lines with either Atrx</w:t>
      </w:r>
      <w:r>
        <w:rPr>
          <w:rFonts w:ascii="Times New Roman" w:hAnsi="Times New Roman" w:cs="Times New Roman"/>
          <w:sz w:val="24"/>
          <w:vertAlign w:val="superscript"/>
        </w:rPr>
        <w:t>WT</w:t>
      </w:r>
      <w:r>
        <w:rPr>
          <w:rFonts w:ascii="Times New Roman" w:hAnsi="Times New Roman" w:cs="Times New Roman"/>
          <w:sz w:val="24"/>
        </w:rPr>
        <w:t xml:space="preserve"> or Atrx</w:t>
      </w:r>
      <w:r>
        <w:rPr>
          <w:rFonts w:ascii="Times New Roman" w:hAnsi="Times New Roman" w:cs="Times New Roman"/>
          <w:sz w:val="24"/>
          <w:vertAlign w:val="superscript"/>
        </w:rPr>
        <w:t>CKO</w:t>
      </w:r>
      <w:r>
        <w:rPr>
          <w:rFonts w:ascii="Times New Roman" w:hAnsi="Times New Roman" w:cs="Times New Roman"/>
          <w:sz w:val="24"/>
        </w:rPr>
        <w:t>. Top Scale bar, 200 μm. Bottom Scale bar, 50 μm.</w:t>
      </w:r>
    </w:p>
    <w:p w14:paraId="74136C5A">
      <w:pPr>
        <w:numPr>
          <w:ilvl w:val="0"/>
          <w:numId w:val="3"/>
        </w:numPr>
        <w:spacing w:line="480" w:lineRule="auto"/>
        <w:rPr>
          <w:rFonts w:ascii="Times New Roman" w:hAnsi="Times New Roman" w:cs="Times New Roman"/>
          <w:b/>
          <w:bCs/>
          <w:sz w:val="24"/>
        </w:rPr>
      </w:pPr>
      <w:r>
        <w:rPr>
          <w:rFonts w:ascii="Times New Roman" w:hAnsi="Times New Roman" w:cs="Times New Roman"/>
          <w:sz w:val="24"/>
        </w:rPr>
        <w:t>Limited dilution assays (LDA) were performed to test self-renewal ability</w:t>
      </w:r>
      <w:r>
        <w:rPr>
          <w:rFonts w:hint="eastAsia" w:ascii="Times New Roman" w:hAnsi="Times New Roman" w:cs="Times New Roman"/>
          <w:sz w:val="24"/>
          <w:lang w:val="en-US" w:eastAsia="zh-CN"/>
        </w:rPr>
        <w:t xml:space="preserve"> of ATRX</w:t>
      </w:r>
      <w:r>
        <w:rPr>
          <w:rFonts w:hint="eastAsia" w:ascii="Times New Roman" w:hAnsi="Times New Roman" w:cs="Times New Roman"/>
          <w:sz w:val="24"/>
          <w:vertAlign w:val="superscript"/>
          <w:lang w:val="en-US" w:eastAsia="zh-CN"/>
        </w:rPr>
        <w:t>WT</w:t>
      </w:r>
      <w:r>
        <w:rPr>
          <w:rFonts w:hint="eastAsia" w:ascii="Times New Roman" w:hAnsi="Times New Roman" w:cs="Times New Roman"/>
          <w:sz w:val="24"/>
          <w:lang w:val="en-US" w:eastAsia="zh-CN"/>
        </w:rPr>
        <w:t xml:space="preserve"> and ATRX</w:t>
      </w:r>
      <w:r>
        <w:rPr>
          <w:rFonts w:hint="eastAsia" w:ascii="Times New Roman" w:hAnsi="Times New Roman" w:cs="Times New Roman"/>
          <w:sz w:val="24"/>
          <w:vertAlign w:val="superscript"/>
          <w:lang w:val="en-US" w:eastAsia="zh-CN"/>
        </w:rPr>
        <w:t>CKO</w:t>
      </w:r>
      <w:r>
        <w:rPr>
          <w:rFonts w:hint="eastAsia" w:ascii="Times New Roman" w:hAnsi="Times New Roman" w:cs="Times New Roman"/>
          <w:sz w:val="24"/>
          <w:lang w:val="en-US" w:eastAsia="zh-CN"/>
        </w:rPr>
        <w:t xml:space="preserve"> cells</w:t>
      </w:r>
      <w:r>
        <w:rPr>
          <w:rFonts w:ascii="Times New Roman" w:hAnsi="Times New Roman" w:cs="Times New Roman"/>
          <w:sz w:val="24"/>
        </w:rPr>
        <w:t>.</w:t>
      </w:r>
    </w:p>
    <w:p w14:paraId="28309F0D">
      <w:pPr>
        <w:numPr>
          <w:ilvl w:val="0"/>
          <w:numId w:val="3"/>
        </w:numPr>
        <w:spacing w:line="480" w:lineRule="auto"/>
        <w:rPr>
          <w:rFonts w:ascii="Times New Roman" w:hAnsi="Times New Roman" w:cs="Times New Roman"/>
          <w:b/>
          <w:bCs/>
          <w:sz w:val="24"/>
        </w:rPr>
      </w:pPr>
      <w:r>
        <w:rPr>
          <w:rFonts w:ascii="Times New Roman" w:hAnsi="Times New Roman" w:cs="Times New Roman"/>
          <w:sz w:val="24"/>
        </w:rPr>
        <w:t>Representative H&amp;E and immunohistochemical (IHC) staining of patient</w:t>
      </w:r>
      <w:r>
        <w:rPr>
          <w:rFonts w:ascii="Times New Roman" w:hAnsi="Times New Roman" w:cs="Times New Roman"/>
          <w:sz w:val="24"/>
        </w:rPr>
        <w:noBreakHyphen/>
      </w:r>
      <w:r>
        <w:rPr>
          <w:rFonts w:ascii="Times New Roman" w:hAnsi="Times New Roman" w:cs="Times New Roman"/>
          <w:sz w:val="24"/>
        </w:rPr>
        <w:t>derived tumor tissues.</w:t>
      </w:r>
      <w:r>
        <w:rPr>
          <w:rFonts w:hint="default" w:ascii="Times New Roman" w:hAnsi="Times New Roman" w:cs="Times New Roman"/>
          <w:sz w:val="24"/>
        </w:rPr>
        <w:t> Sections from ATRX</w:t>
      </w:r>
      <w:r>
        <w:rPr>
          <w:rFonts w:hint="default" w:ascii="Times New Roman" w:hAnsi="Times New Roman" w:cs="Times New Roman"/>
          <w:sz w:val="24"/>
        </w:rPr>
        <w:noBreakHyphen/>
      </w:r>
      <w:r>
        <w:rPr>
          <w:rFonts w:hint="default" w:ascii="Times New Roman" w:hAnsi="Times New Roman" w:cs="Times New Roman"/>
          <w:sz w:val="24"/>
        </w:rPr>
        <w:t>positive (patients 1</w:t>
      </w:r>
      <w:r>
        <w:rPr>
          <w:rFonts w:hint="eastAsia" w:ascii="Times New Roman" w:hAnsi="Times New Roman" w:cs="Times New Roman"/>
          <w:sz w:val="24"/>
          <w:lang w:val="en-US" w:eastAsia="zh-CN"/>
        </w:rPr>
        <w:t>-</w:t>
      </w:r>
      <w:r>
        <w:rPr>
          <w:rFonts w:hint="default" w:ascii="Times New Roman" w:hAnsi="Times New Roman" w:cs="Times New Roman"/>
          <w:sz w:val="24"/>
        </w:rPr>
        <w:t>3) and ATRX</w:t>
      </w:r>
      <w:r>
        <w:rPr>
          <w:rFonts w:hint="default" w:ascii="Times New Roman" w:hAnsi="Times New Roman" w:cs="Times New Roman"/>
          <w:sz w:val="24"/>
        </w:rPr>
        <w:noBreakHyphen/>
      </w:r>
      <w:r>
        <w:rPr>
          <w:rFonts w:hint="default" w:ascii="Times New Roman" w:hAnsi="Times New Roman" w:cs="Times New Roman"/>
          <w:sz w:val="24"/>
        </w:rPr>
        <w:t>negative (patients 4</w:t>
      </w:r>
      <w:r>
        <w:rPr>
          <w:rFonts w:hint="eastAsia" w:ascii="Times New Roman" w:hAnsi="Times New Roman" w:cs="Times New Roman"/>
          <w:sz w:val="24"/>
          <w:lang w:val="en-US" w:eastAsia="zh-CN"/>
        </w:rPr>
        <w:t>-</w:t>
      </w:r>
      <w:r>
        <w:rPr>
          <w:rFonts w:hint="default" w:ascii="Times New Roman" w:hAnsi="Times New Roman" w:cs="Times New Roman"/>
          <w:sz w:val="24"/>
        </w:rPr>
        <w:t>5) tumors were probed with anti</w:t>
      </w:r>
      <w:r>
        <w:rPr>
          <w:rFonts w:hint="default" w:ascii="Times New Roman" w:hAnsi="Times New Roman" w:cs="Times New Roman"/>
          <w:sz w:val="24"/>
        </w:rPr>
        <w:noBreakHyphen/>
      </w:r>
      <w:r>
        <w:rPr>
          <w:rFonts w:hint="default" w:ascii="Times New Roman" w:hAnsi="Times New Roman" w:cs="Times New Roman"/>
          <w:sz w:val="24"/>
        </w:rPr>
        <w:t>ATRX and anti</w:t>
      </w:r>
      <w:r>
        <w:rPr>
          <w:rFonts w:hint="default" w:ascii="Times New Roman" w:hAnsi="Times New Roman" w:cs="Times New Roman"/>
          <w:sz w:val="24"/>
        </w:rPr>
        <w:noBreakHyphen/>
      </w:r>
      <w:r>
        <w:rPr>
          <w:rFonts w:hint="default" w:ascii="Times New Roman" w:hAnsi="Times New Roman" w:cs="Times New Roman"/>
          <w:sz w:val="24"/>
        </w:rPr>
        <w:t>UGDH antibodies.</w:t>
      </w:r>
      <w:r>
        <w:rPr>
          <w:rFonts w:ascii="Times New Roman" w:hAnsi="Times New Roman" w:cs="Times New Roman"/>
          <w:sz w:val="24"/>
        </w:rPr>
        <w:t xml:space="preserve"> Scale bar, 100 μm. </w:t>
      </w:r>
    </w:p>
    <w:p w14:paraId="7E54EDAF">
      <w:pPr>
        <w:numPr>
          <w:ilvl w:val="0"/>
          <w:numId w:val="3"/>
        </w:numPr>
        <w:spacing w:line="480" w:lineRule="auto"/>
        <w:rPr>
          <w:rFonts w:ascii="Times New Roman" w:hAnsi="Times New Roman" w:cs="Times New Roman"/>
          <w:b/>
          <w:bCs/>
          <w:sz w:val="24"/>
        </w:rPr>
      </w:pPr>
      <w:r>
        <w:rPr>
          <w:rFonts w:ascii="Times New Roman" w:hAnsi="Times New Roman" w:cs="Times New Roman"/>
          <w:sz w:val="24"/>
        </w:rPr>
        <w:t>The histogram represented the quantitative evaluation of the immunohistochemistry</w:t>
      </w:r>
      <w:r>
        <w:rPr>
          <w:rFonts w:hint="eastAsia" w:ascii="Times New Roman" w:hAnsi="Times New Roman" w:cs="Times New Roman"/>
          <w:sz w:val="24"/>
          <w:lang w:val="en-US" w:eastAsia="zh-CN"/>
        </w:rPr>
        <w:t xml:space="preserve"> (IHC)</w:t>
      </w:r>
      <w:r>
        <w:rPr>
          <w:rFonts w:ascii="Times New Roman" w:hAnsi="Times New Roman" w:cs="Times New Roman"/>
          <w:sz w:val="24"/>
        </w:rPr>
        <w:t xml:space="preserve"> assays (</w:t>
      </w:r>
      <w:r>
        <w:rPr>
          <w:rFonts w:ascii="Times New Roman" w:hAnsi="Times New Roman" w:cs="Times New Roman"/>
          <w:i/>
          <w:iCs/>
          <w:sz w:val="24"/>
        </w:rPr>
        <w:t>n</w:t>
      </w:r>
      <w:r>
        <w:rPr>
          <w:rFonts w:ascii="Times New Roman" w:hAnsi="Times New Roman" w:cs="Times New Roman"/>
          <w:sz w:val="24"/>
        </w:rPr>
        <w:t xml:space="preserve"> = 10). </w:t>
      </w:r>
      <w:r>
        <w:rPr>
          <w:rFonts w:ascii="Times New Roman" w:hAnsi="Times New Roman" w:cs="Times New Roman"/>
          <w:i/>
          <w:iCs/>
          <w:sz w:val="24"/>
        </w:rPr>
        <w:t>P</w:t>
      </w:r>
      <w:r>
        <w:rPr>
          <w:rFonts w:ascii="Times New Roman" w:hAnsi="Times New Roman" w:cs="Times New Roman"/>
          <w:sz w:val="24"/>
        </w:rPr>
        <w:t xml:space="preserve"> value was determined by Chi-squared test.</w:t>
      </w:r>
    </w:p>
    <w:p w14:paraId="20F25B91">
      <w:pPr>
        <w:numPr>
          <w:ilvl w:val="0"/>
          <w:numId w:val="0"/>
        </w:numPr>
        <w:spacing w:line="480" w:lineRule="auto"/>
        <w:rPr>
          <w:rFonts w:ascii="Times New Roman" w:hAnsi="Times New Roman" w:cs="Times New Roman"/>
          <w:b/>
          <w:bCs/>
          <w:sz w:val="24"/>
        </w:rPr>
      </w:pPr>
    </w:p>
    <w:p w14:paraId="138B28D0">
      <w:pPr>
        <w:numPr>
          <w:ilvl w:val="0"/>
          <w:numId w:val="3"/>
        </w:numPr>
        <w:spacing w:line="480" w:lineRule="auto"/>
        <w:rPr>
          <w:rFonts w:ascii="Times New Roman" w:hAnsi="Times New Roman" w:cs="Times New Roman"/>
          <w:b/>
          <w:bCs/>
          <w:sz w:val="24"/>
        </w:rPr>
        <w:sectPr>
          <w:footerReference r:id="rId3" w:type="default"/>
          <w:pgSz w:w="11906" w:h="16838"/>
          <w:pgMar w:top="1440" w:right="1800" w:bottom="1440" w:left="1800" w:header="851" w:footer="992" w:gutter="0"/>
          <w:lnNumType w:countBy="1"/>
          <w:cols w:space="425" w:num="1"/>
          <w:docGrid w:type="lines" w:linePitch="312" w:charSpace="0"/>
        </w:sectPr>
      </w:pPr>
    </w:p>
    <w:p w14:paraId="30F4D112">
      <w:pPr>
        <w:numPr>
          <w:ilvl w:val="0"/>
          <w:numId w:val="0"/>
        </w:num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1" name="图片 1" descr="Supplementary Figure 4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4_画板 1"/>
                    <pic:cNvPicPr>
                      <a:picLocks noChangeAspect="1"/>
                    </pic:cNvPicPr>
                  </pic:nvPicPr>
                  <pic:blipFill>
                    <a:blip r:embed="rId8"/>
                    <a:stretch>
                      <a:fillRect/>
                    </a:stretch>
                  </pic:blipFill>
                  <pic:spPr>
                    <a:xfrm>
                      <a:off x="0" y="0"/>
                      <a:ext cx="5271135" cy="3728085"/>
                    </a:xfrm>
                    <a:prstGeom prst="rect">
                      <a:avLst/>
                    </a:prstGeom>
                  </pic:spPr>
                </pic:pic>
              </a:graphicData>
            </a:graphic>
          </wp:inline>
        </w:drawing>
      </w:r>
    </w:p>
    <w:p w14:paraId="7907C67A">
      <w:pPr>
        <w:spacing w:line="48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4</w:t>
      </w:r>
      <w:r>
        <w:rPr>
          <w:rFonts w:ascii="Times New Roman" w:hAnsi="Times New Roman" w:cs="Times New Roman"/>
          <w:b/>
          <w:bCs/>
          <w:sz w:val="24"/>
        </w:rPr>
        <w:t>. Comprehensive analysis of UGDH expression and functional pathways in glioma.</w:t>
      </w:r>
    </w:p>
    <w:p w14:paraId="7A64595B">
      <w:pPr>
        <w:numPr>
          <w:ilvl w:val="0"/>
          <w:numId w:val="4"/>
        </w:numPr>
        <w:spacing w:line="480" w:lineRule="auto"/>
        <w:rPr>
          <w:rFonts w:hint="eastAsia" w:ascii="Times New Roman" w:hAnsi="Times New Roman" w:cs="Times New Roman"/>
          <w:b w:val="0"/>
          <w:bCs w:val="0"/>
          <w:sz w:val="24"/>
          <w:lang w:val="en-US" w:eastAsia="zh-CN"/>
        </w:rPr>
      </w:pPr>
      <w:r>
        <w:rPr>
          <w:rFonts w:ascii="Times New Roman" w:hAnsi="Times New Roman" w:cs="Times New Roman"/>
          <w:b w:val="0"/>
          <w:bCs w:val="0"/>
          <w:sz w:val="24"/>
        </w:rPr>
        <w:t>Analysis of UGDH mRNA expression</w:t>
      </w:r>
      <w:r>
        <w:rPr>
          <w:rFonts w:hint="eastAsia" w:ascii="Times New Roman" w:hAnsi="Times New Roman" w:cs="Times New Roman"/>
          <w:b w:val="0"/>
          <w:bCs w:val="0"/>
          <w:sz w:val="24"/>
          <w:lang w:val="en-US" w:eastAsia="zh-CN"/>
        </w:rPr>
        <w:t xml:space="preserve"> (RNA-seq)</w:t>
      </w:r>
      <w:r>
        <w:rPr>
          <w:rFonts w:ascii="Times New Roman" w:hAnsi="Times New Roman" w:cs="Times New Roman"/>
          <w:b w:val="0"/>
          <w:bCs w:val="0"/>
          <w:sz w:val="24"/>
        </w:rPr>
        <w:t xml:space="preserve"> in TCGA glioma datasets.</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i/>
          <w:iCs/>
          <w:sz w:val="24"/>
          <w:lang w:val="en-US" w:eastAsia="zh-CN"/>
        </w:rPr>
        <w:t>P</w:t>
      </w:r>
      <w:r>
        <w:rPr>
          <w:rFonts w:hint="eastAsia" w:ascii="Times New Roman" w:hAnsi="Times New Roman" w:cs="Times New Roman"/>
          <w:b w:val="0"/>
          <w:bCs w:val="0"/>
          <w:sz w:val="24"/>
          <w:lang w:val="en-US" w:eastAsia="zh-CN"/>
        </w:rPr>
        <w:t xml:space="preserve"> &lt; 0.05, **</w:t>
      </w:r>
      <w:r>
        <w:rPr>
          <w:rFonts w:hint="eastAsia" w:ascii="Times New Roman" w:hAnsi="Times New Roman" w:cs="Times New Roman"/>
          <w:b w:val="0"/>
          <w:bCs w:val="0"/>
          <w:i/>
          <w:iCs/>
          <w:sz w:val="24"/>
          <w:lang w:val="en-US" w:eastAsia="zh-CN"/>
        </w:rPr>
        <w:t>P</w:t>
      </w:r>
      <w:r>
        <w:rPr>
          <w:rFonts w:hint="eastAsia" w:ascii="Times New Roman" w:hAnsi="Times New Roman" w:cs="Times New Roman"/>
          <w:b w:val="0"/>
          <w:bCs w:val="0"/>
          <w:sz w:val="24"/>
          <w:lang w:val="en-US" w:eastAsia="zh-CN"/>
        </w:rPr>
        <w:t xml:space="preserve"> &lt; 0.01, ***</w:t>
      </w:r>
      <w:r>
        <w:rPr>
          <w:rFonts w:hint="eastAsia" w:ascii="Times New Roman" w:hAnsi="Times New Roman" w:cs="Times New Roman"/>
          <w:b w:val="0"/>
          <w:bCs w:val="0"/>
          <w:i/>
          <w:iCs/>
          <w:sz w:val="24"/>
          <w:lang w:val="en-US" w:eastAsia="zh-CN"/>
        </w:rPr>
        <w:t>P</w:t>
      </w:r>
      <w:r>
        <w:rPr>
          <w:rFonts w:hint="eastAsia" w:ascii="Times New Roman" w:hAnsi="Times New Roman" w:cs="Times New Roman"/>
          <w:b w:val="0"/>
          <w:bCs w:val="0"/>
          <w:sz w:val="24"/>
          <w:lang w:val="en-US" w:eastAsia="zh-CN"/>
        </w:rPr>
        <w:t xml:space="preserve"> &lt; 0.001.</w:t>
      </w:r>
    </w:p>
    <w:p w14:paraId="25DF1412">
      <w:pPr>
        <w:numPr>
          <w:ilvl w:val="0"/>
          <w:numId w:val="4"/>
        </w:numPr>
        <w:spacing w:line="480" w:lineRule="auto"/>
        <w:rPr>
          <w:rFonts w:hint="eastAsia" w:ascii="Times New Roman" w:hAnsi="Times New Roman" w:cs="Times New Roman"/>
          <w:b w:val="0"/>
          <w:bCs w:val="0"/>
          <w:sz w:val="24"/>
          <w:lang w:val="en-US" w:eastAsia="zh-CN"/>
        </w:rPr>
      </w:pPr>
      <w:r>
        <w:rPr>
          <w:rFonts w:ascii="Times New Roman" w:hAnsi="Times New Roman" w:cs="Times New Roman"/>
          <w:b w:val="0"/>
          <w:bCs w:val="0"/>
          <w:sz w:val="24"/>
        </w:rPr>
        <w:t>Analysis of UGDH mRNA expression</w:t>
      </w:r>
      <w:r>
        <w:rPr>
          <w:rFonts w:hint="eastAsia" w:ascii="Times New Roman" w:hAnsi="Times New Roman" w:cs="Times New Roman"/>
          <w:b w:val="0"/>
          <w:bCs w:val="0"/>
          <w:sz w:val="24"/>
          <w:lang w:val="en-US" w:eastAsia="zh-CN"/>
        </w:rPr>
        <w:t xml:space="preserve"> (RNA-seq)</w:t>
      </w:r>
      <w:r>
        <w:rPr>
          <w:rFonts w:ascii="Times New Roman" w:hAnsi="Times New Roman" w:cs="Times New Roman"/>
          <w:b w:val="0"/>
          <w:bCs w:val="0"/>
          <w:sz w:val="24"/>
        </w:rPr>
        <w:t xml:space="preserve"> in </w:t>
      </w:r>
      <w:r>
        <w:rPr>
          <w:rFonts w:hint="eastAsia" w:ascii="Times New Roman" w:hAnsi="Times New Roman" w:cs="Times New Roman"/>
          <w:b w:val="0"/>
          <w:bCs w:val="0"/>
          <w:sz w:val="24"/>
          <w:lang w:val="en-US" w:eastAsia="zh-CN"/>
        </w:rPr>
        <w:t>C</w:t>
      </w:r>
      <w:r>
        <w:rPr>
          <w:rFonts w:ascii="Times New Roman" w:hAnsi="Times New Roman" w:cs="Times New Roman"/>
          <w:b w:val="0"/>
          <w:bCs w:val="0"/>
          <w:sz w:val="24"/>
        </w:rPr>
        <w:t>CGA glioma datasets.</w:t>
      </w:r>
      <w:r>
        <w:rPr>
          <w:rFonts w:hint="eastAsia" w:ascii="Times New Roman" w:hAnsi="Times New Roman" w:cs="Times New Roman"/>
          <w:b w:val="0"/>
          <w:bCs w:val="0"/>
          <w:sz w:val="24"/>
          <w:lang w:val="en-US" w:eastAsia="zh-CN"/>
        </w:rPr>
        <w:t xml:space="preserve"> *</w:t>
      </w:r>
      <w:r>
        <w:rPr>
          <w:rFonts w:hint="eastAsia" w:ascii="Times New Roman" w:hAnsi="Times New Roman" w:cs="Times New Roman"/>
          <w:b w:val="0"/>
          <w:bCs w:val="0"/>
          <w:i/>
          <w:iCs/>
          <w:sz w:val="24"/>
          <w:lang w:val="en-US" w:eastAsia="zh-CN"/>
        </w:rPr>
        <w:t>P</w:t>
      </w:r>
      <w:r>
        <w:rPr>
          <w:rFonts w:hint="eastAsia" w:ascii="Times New Roman" w:hAnsi="Times New Roman" w:cs="Times New Roman"/>
          <w:b w:val="0"/>
          <w:bCs w:val="0"/>
          <w:sz w:val="24"/>
          <w:lang w:val="en-US" w:eastAsia="zh-CN"/>
        </w:rPr>
        <w:t xml:space="preserve"> &lt; 0.05, **</w:t>
      </w:r>
      <w:r>
        <w:rPr>
          <w:rFonts w:hint="eastAsia" w:ascii="Times New Roman" w:hAnsi="Times New Roman" w:cs="Times New Roman"/>
          <w:b w:val="0"/>
          <w:bCs w:val="0"/>
          <w:i/>
          <w:iCs/>
          <w:sz w:val="24"/>
          <w:lang w:val="en-US" w:eastAsia="zh-CN"/>
        </w:rPr>
        <w:t>P</w:t>
      </w:r>
      <w:r>
        <w:rPr>
          <w:rFonts w:hint="eastAsia" w:ascii="Times New Roman" w:hAnsi="Times New Roman" w:cs="Times New Roman"/>
          <w:b w:val="0"/>
          <w:bCs w:val="0"/>
          <w:sz w:val="24"/>
          <w:lang w:val="en-US" w:eastAsia="zh-CN"/>
        </w:rPr>
        <w:t xml:space="preserve"> &lt; 0.01, ***</w:t>
      </w:r>
      <w:r>
        <w:rPr>
          <w:rFonts w:hint="eastAsia" w:ascii="Times New Roman" w:hAnsi="Times New Roman" w:cs="Times New Roman"/>
          <w:b w:val="0"/>
          <w:bCs w:val="0"/>
          <w:i/>
          <w:iCs/>
          <w:sz w:val="24"/>
          <w:lang w:val="en-US" w:eastAsia="zh-CN"/>
        </w:rPr>
        <w:t>P</w:t>
      </w:r>
      <w:r>
        <w:rPr>
          <w:rFonts w:hint="eastAsia" w:ascii="Times New Roman" w:hAnsi="Times New Roman" w:cs="Times New Roman"/>
          <w:b w:val="0"/>
          <w:bCs w:val="0"/>
          <w:sz w:val="24"/>
          <w:lang w:val="en-US" w:eastAsia="zh-CN"/>
        </w:rPr>
        <w:t xml:space="preserve"> &lt; 0.001.</w:t>
      </w:r>
    </w:p>
    <w:p w14:paraId="25524350">
      <w:pPr>
        <w:numPr>
          <w:ilvl w:val="0"/>
          <w:numId w:val="4"/>
        </w:numPr>
        <w:spacing w:line="480" w:lineRule="auto"/>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UGDH expression across GBM molecular subtypes in TCGA and CGGA datasets.</w:t>
      </w:r>
    </w:p>
    <w:p w14:paraId="23CE5F1B">
      <w:pPr>
        <w:numPr>
          <w:ilvl w:val="0"/>
          <w:numId w:val="4"/>
        </w:numPr>
        <w:spacing w:line="480" w:lineRule="auto"/>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Left: Gene Ontology (GO) and Kyoto Encyclopedia of Genes and Genomes (KEGG) pathway enrichment analysis of UGDH-associated genes. Right: Gene set enrichment analysis (GSEA) of UGDH-associated genes in glioma.</w:t>
      </w:r>
    </w:p>
    <w:p w14:paraId="6EE2AE6A">
      <w:pPr>
        <w:widowControl w:val="0"/>
        <w:numPr>
          <w:ilvl w:val="0"/>
          <w:numId w:val="0"/>
        </w:numPr>
        <w:spacing w:line="480" w:lineRule="auto"/>
        <w:jc w:val="both"/>
        <w:rPr>
          <w:rFonts w:hint="eastAsia" w:ascii="Times New Roman" w:hAnsi="Times New Roman" w:cs="Times New Roman"/>
          <w:b w:val="0"/>
          <w:bCs w:val="0"/>
          <w:sz w:val="24"/>
          <w:lang w:val="en-US" w:eastAsia="zh-CN"/>
        </w:rPr>
      </w:pPr>
    </w:p>
    <w:p w14:paraId="0EF49DA2">
      <w:pPr>
        <w:widowControl w:val="0"/>
        <w:numPr>
          <w:ilvl w:val="0"/>
          <w:numId w:val="0"/>
        </w:numPr>
        <w:spacing w:line="480" w:lineRule="auto"/>
        <w:jc w:val="both"/>
        <w:rPr>
          <w:rFonts w:hint="eastAsia" w:ascii="Times New Roman" w:hAnsi="Times New Roman" w:cs="Times New Roman"/>
          <w:b w:val="0"/>
          <w:bCs w:val="0"/>
          <w:sz w:val="24"/>
          <w:lang w:val="en-US" w:eastAsia="zh-CN"/>
        </w:rPr>
        <w:sectPr>
          <w:pgSz w:w="11906" w:h="16838"/>
          <w:pgMar w:top="1440" w:right="1800" w:bottom="1440" w:left="1800" w:header="851" w:footer="992" w:gutter="0"/>
          <w:lnNumType w:countBy="1"/>
          <w:cols w:space="425" w:num="1"/>
          <w:docGrid w:type="lines" w:linePitch="312" w:charSpace="0"/>
        </w:sectPr>
      </w:pPr>
    </w:p>
    <w:p w14:paraId="47DB4612">
      <w:pPr>
        <w:spacing w:line="480" w:lineRule="auto"/>
        <w:rPr>
          <w:rFonts w:ascii="Times New Roman" w:hAnsi="Times New Roman" w:cs="Times New Roman"/>
          <w:b/>
          <w:bCs/>
          <w:sz w:val="24"/>
        </w:rPr>
      </w:pPr>
      <w:r>
        <w:rPr>
          <w:rFonts w:ascii="Times New Roman" w:hAnsi="Times New Roman" w:cs="Times New Roman"/>
          <w:b/>
          <w:bCs/>
          <w:sz w:val="24"/>
        </w:rPr>
        <w:drawing>
          <wp:inline distT="0" distB="0" distL="114300" distR="114300">
            <wp:extent cx="5271135" cy="3728085"/>
            <wp:effectExtent l="0" t="0" r="12065" b="5715"/>
            <wp:docPr id="16" name="图片 16" descr="Supplementary Figure 4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upplementary Figure 4_画板 1"/>
                    <pic:cNvPicPr>
                      <a:picLocks noChangeAspect="1"/>
                    </pic:cNvPicPr>
                  </pic:nvPicPr>
                  <pic:blipFill>
                    <a:blip r:embed="rId9"/>
                    <a:stretch>
                      <a:fillRect/>
                    </a:stretch>
                  </pic:blipFill>
                  <pic:spPr>
                    <a:xfrm>
                      <a:off x="0" y="0"/>
                      <a:ext cx="5271135" cy="3728085"/>
                    </a:xfrm>
                    <a:prstGeom prst="rect">
                      <a:avLst/>
                    </a:prstGeom>
                  </pic:spPr>
                </pic:pic>
              </a:graphicData>
            </a:graphic>
          </wp:inline>
        </w:drawing>
      </w:r>
    </w:p>
    <w:p w14:paraId="2D8410E9">
      <w:pPr>
        <w:widowControl/>
        <w:spacing w:line="48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5</w:t>
      </w:r>
      <w:r>
        <w:rPr>
          <w:rFonts w:ascii="Times New Roman" w:hAnsi="Times New Roman" w:cs="Times New Roman"/>
          <w:b/>
          <w:bCs/>
          <w:sz w:val="24"/>
        </w:rPr>
        <w:t>. Cell classification of scRNA-seq data.</w:t>
      </w:r>
    </w:p>
    <w:p w14:paraId="421BEE51">
      <w:pPr>
        <w:widowControl/>
        <w:numPr>
          <w:ilvl w:val="0"/>
          <w:numId w:val="5"/>
        </w:numPr>
        <w:spacing w:line="480" w:lineRule="auto"/>
        <w:rPr>
          <w:rFonts w:ascii="Times New Roman" w:hAnsi="Times New Roman" w:cs="Times New Roman"/>
          <w:b/>
          <w:bCs/>
          <w:sz w:val="24"/>
        </w:rPr>
      </w:pPr>
      <w:r>
        <w:rPr>
          <w:rFonts w:ascii="Times New Roman" w:hAnsi="Times New Roman" w:cs="Times New Roman"/>
          <w:sz w:val="24"/>
        </w:rPr>
        <w:t>Cell annotation of scRNA-seq data on 4 patient-derived tumor tissue samples.</w:t>
      </w:r>
    </w:p>
    <w:p w14:paraId="449261BB">
      <w:pPr>
        <w:spacing w:line="480" w:lineRule="auto"/>
        <w:rPr>
          <w:rFonts w:ascii="Times New Roman" w:hAnsi="Times New Roman" w:cs="Times New Roman"/>
          <w:b/>
          <w:bCs/>
          <w:sz w:val="24"/>
        </w:rPr>
      </w:pPr>
      <w:r>
        <w:rPr>
          <w:rFonts w:ascii="Times New Roman" w:hAnsi="Times New Roman" w:cs="Times New Roman"/>
          <w:b/>
          <w:bCs/>
          <w:sz w:val="24"/>
        </w:rPr>
        <w:br w:type="page"/>
      </w:r>
    </w:p>
    <w:p w14:paraId="534976D9">
      <w:pPr>
        <w:widowControl/>
        <w:spacing w:line="480" w:lineRule="auto"/>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1135" cy="3728085"/>
            <wp:effectExtent l="0" t="0" r="12065" b="5715"/>
            <wp:docPr id="7" name="图片 7" descr="Supplementary Figure 6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ry Figure 6_画板 1"/>
                    <pic:cNvPicPr>
                      <a:picLocks noChangeAspect="1"/>
                    </pic:cNvPicPr>
                  </pic:nvPicPr>
                  <pic:blipFill>
                    <a:blip r:embed="rId10"/>
                    <a:stretch>
                      <a:fillRect/>
                    </a:stretch>
                  </pic:blipFill>
                  <pic:spPr>
                    <a:xfrm>
                      <a:off x="0" y="0"/>
                      <a:ext cx="5271135" cy="3728085"/>
                    </a:xfrm>
                    <a:prstGeom prst="rect">
                      <a:avLst/>
                    </a:prstGeom>
                  </pic:spPr>
                </pic:pic>
              </a:graphicData>
            </a:graphic>
          </wp:inline>
        </w:drawing>
      </w:r>
    </w:p>
    <w:p w14:paraId="09315266">
      <w:pPr>
        <w:widowControl/>
        <w:spacing w:line="480" w:lineRule="auto"/>
        <w:rPr>
          <w:rFonts w:ascii="Times New Roman" w:hAnsi="Times New Roman" w:cs="Times New Roman"/>
          <w:sz w:val="24"/>
        </w:rPr>
      </w:pPr>
      <w:r>
        <w:rPr>
          <w:rFonts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6</w:t>
      </w:r>
      <w:r>
        <w:rPr>
          <w:rFonts w:ascii="Times New Roman" w:hAnsi="Times New Roman" w:cs="Times New Roman"/>
          <w:b/>
          <w:bCs/>
          <w:sz w:val="24"/>
        </w:rPr>
        <w:t>. UGDH overexpression promotes malignant behaviors in</w:t>
      </w:r>
      <w:r>
        <w:rPr>
          <w:rFonts w:hint="eastAsia" w:ascii="Times New Roman" w:hAnsi="Times New Roman" w:cs="Times New Roman"/>
          <w:b/>
          <w:bCs/>
          <w:sz w:val="24"/>
          <w:lang w:val="en-US" w:eastAsia="zh-CN"/>
        </w:rPr>
        <w:t xml:space="preserve"> GBM</w:t>
      </w:r>
      <w:r>
        <w:rPr>
          <w:rFonts w:ascii="Times New Roman" w:hAnsi="Times New Roman" w:cs="Times New Roman"/>
          <w:b/>
          <w:bCs/>
          <w:sz w:val="24"/>
        </w:rPr>
        <w:t xml:space="preserve"> cells.</w:t>
      </w:r>
    </w:p>
    <w:p w14:paraId="44614C7B">
      <w:pPr>
        <w:widowControl/>
        <w:numPr>
          <w:ilvl w:val="0"/>
          <w:numId w:val="6"/>
        </w:numPr>
        <w:spacing w:line="480" w:lineRule="auto"/>
        <w:rPr>
          <w:rFonts w:ascii="Times New Roman" w:hAnsi="Times New Roman" w:cs="Times New Roman"/>
          <w:sz w:val="24"/>
        </w:rPr>
      </w:pPr>
      <w:r>
        <w:rPr>
          <w:rFonts w:hint="eastAsia" w:ascii="Times New Roman" w:hAnsi="Times New Roman" w:cs="Times New Roman"/>
          <w:sz w:val="24"/>
          <w:lang w:val="en-US" w:eastAsia="zh-CN"/>
        </w:rPr>
        <w:t xml:space="preserve">Left: </w:t>
      </w:r>
      <w:r>
        <w:rPr>
          <w:rFonts w:ascii="Times New Roman" w:hAnsi="Times New Roman" w:cs="Times New Roman"/>
          <w:sz w:val="24"/>
        </w:rPr>
        <w:t>Representative images of sphere formation of HG7 cells that have either normal (NC) or overexpression (OE) of UGDH</w:t>
      </w:r>
      <w:r>
        <w:rPr>
          <w:rFonts w:hint="eastAsia" w:ascii="Times New Roman" w:hAnsi="Times New Roman" w:cs="Times New Roman"/>
          <w:sz w:val="24"/>
          <w:lang w:val="en-US" w:eastAsia="zh-CN"/>
        </w:rPr>
        <w:t>.</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Right: </w:t>
      </w:r>
      <w:r>
        <w:rPr>
          <w:rFonts w:ascii="Times New Roman" w:hAnsi="Times New Roman" w:cs="Times New Roman"/>
          <w:i w:val="0"/>
          <w:iCs w:val="0"/>
          <w:sz w:val="24"/>
        </w:rPr>
        <w:t>Relative number of sphere formation are shown in histogram. Tumor spheres with diameters &gt; 50 μm were counted (</w:t>
      </w:r>
      <w:r>
        <w:rPr>
          <w:rFonts w:ascii="Times New Roman" w:hAnsi="Times New Roman" w:cs="Times New Roman"/>
          <w:i/>
          <w:iCs/>
          <w:sz w:val="24"/>
        </w:rPr>
        <w:t>n</w:t>
      </w:r>
      <w:r>
        <w:rPr>
          <w:rFonts w:ascii="Times New Roman" w:hAnsi="Times New Roman" w:cs="Times New Roman"/>
          <w:i w:val="0"/>
          <w:iCs w:val="0"/>
          <w:sz w:val="24"/>
        </w:rPr>
        <w:t xml:space="preserve"> = 3).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63BFE8DE">
      <w:pPr>
        <w:widowControl/>
        <w:numPr>
          <w:ilvl w:val="0"/>
          <w:numId w:val="6"/>
        </w:numPr>
        <w:spacing w:line="480" w:lineRule="auto"/>
        <w:rPr>
          <w:rFonts w:ascii="Times New Roman" w:hAnsi="Times New Roman" w:cs="Times New Roman"/>
          <w:sz w:val="24"/>
        </w:rPr>
      </w:pPr>
      <w:r>
        <w:rPr>
          <w:rFonts w:ascii="Times New Roman" w:hAnsi="Times New Roman" w:cs="Times New Roman"/>
          <w:sz w:val="24"/>
        </w:rPr>
        <w:t>Limited dilution assays (LDA) were used to test self-renewal ability of HG7 cells after UGDH overexpressing.</w:t>
      </w:r>
    </w:p>
    <w:p w14:paraId="545572DA">
      <w:pPr>
        <w:widowControl/>
        <w:numPr>
          <w:ilvl w:val="0"/>
          <w:numId w:val="6"/>
        </w:numPr>
        <w:spacing w:line="480" w:lineRule="auto"/>
        <w:rPr>
          <w:rFonts w:ascii="Times New Roman" w:hAnsi="Times New Roman" w:cs="Times New Roman"/>
          <w:sz w:val="24"/>
        </w:rPr>
      </w:pPr>
      <w:r>
        <w:rPr>
          <w:rFonts w:ascii="Times New Roman" w:hAnsi="Times New Roman" w:cs="Times New Roman"/>
          <w:sz w:val="24"/>
        </w:rPr>
        <w:t>Representative images of IF assays show SOX2 expression in HG7 cells with UGDH overexpression or not. Scale bar, 100 μm.</w:t>
      </w:r>
    </w:p>
    <w:p w14:paraId="6D23E5BE">
      <w:pPr>
        <w:widowControl/>
        <w:numPr>
          <w:ilvl w:val="0"/>
          <w:numId w:val="6"/>
        </w:numPr>
        <w:spacing w:line="480" w:lineRule="auto"/>
        <w:rPr>
          <w:rFonts w:ascii="Times New Roman" w:hAnsi="Times New Roman" w:cs="Times New Roman"/>
          <w:sz w:val="24"/>
        </w:rPr>
      </w:pPr>
      <w:r>
        <w:rPr>
          <w:rFonts w:hint="eastAsia" w:ascii="Times New Roman" w:hAnsi="Times New Roman" w:cs="Times New Roman"/>
          <w:sz w:val="24"/>
          <w:lang w:val="en-US" w:eastAsia="zh-CN"/>
        </w:rPr>
        <w:t xml:space="preserve">The </w:t>
      </w:r>
      <w:r>
        <w:rPr>
          <w:rFonts w:ascii="Times New Roman" w:hAnsi="Times New Roman" w:cs="Times New Roman"/>
          <w:sz w:val="24"/>
        </w:rPr>
        <w:t>qRT-PCR analysis of mRNA levels of SOX2, GFAP, O</w:t>
      </w:r>
      <w:r>
        <w:rPr>
          <w:rFonts w:hint="eastAsia" w:ascii="Times New Roman" w:hAnsi="Times New Roman" w:cs="Times New Roman"/>
          <w:sz w:val="24"/>
          <w:lang w:val="en-US" w:eastAsia="zh-CN"/>
        </w:rPr>
        <w:t>LIG2</w:t>
      </w:r>
      <w:r>
        <w:rPr>
          <w:rFonts w:ascii="Times New Roman" w:hAnsi="Times New Roman" w:cs="Times New Roman"/>
          <w:sz w:val="24"/>
        </w:rPr>
        <w:t>, NES in sphere cells of HG7 with UGDH overexpressing or not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15318DFB">
      <w:pPr>
        <w:widowControl/>
        <w:numPr>
          <w:ilvl w:val="0"/>
          <w:numId w:val="6"/>
        </w:numPr>
        <w:spacing w:line="480" w:lineRule="auto"/>
        <w:rPr>
          <w:rFonts w:ascii="Times New Roman" w:hAnsi="Times New Roman" w:cs="Times New Roman"/>
          <w:sz w:val="24"/>
        </w:rPr>
      </w:pPr>
      <w:r>
        <w:rPr>
          <w:rFonts w:ascii="Times New Roman" w:hAnsi="Times New Roman" w:cs="Times New Roman"/>
          <w:i w:val="0"/>
          <w:iCs w:val="0"/>
          <w:sz w:val="24"/>
        </w:rPr>
        <w:t>CCK</w:t>
      </w:r>
      <w:r>
        <w:rPr>
          <w:rFonts w:hint="eastAsia" w:ascii="Times New Roman" w:hAnsi="Times New Roman" w:cs="Times New Roman"/>
          <w:i w:val="0"/>
          <w:iCs w:val="0"/>
          <w:sz w:val="24"/>
          <w:lang w:val="en-US" w:eastAsia="zh-CN"/>
        </w:rPr>
        <w:t>-</w:t>
      </w:r>
      <w:r>
        <w:rPr>
          <w:rFonts w:ascii="Times New Roman" w:hAnsi="Times New Roman" w:cs="Times New Roman"/>
          <w:i w:val="0"/>
          <w:iCs w:val="0"/>
          <w:sz w:val="24"/>
        </w:rPr>
        <w:t xml:space="preserve">8 assay of </w:t>
      </w:r>
      <w:r>
        <w:rPr>
          <w:rFonts w:hint="eastAsia" w:ascii="Times New Roman" w:hAnsi="Times New Roman" w:cs="Times New Roman"/>
          <w:i w:val="0"/>
          <w:iCs w:val="0"/>
          <w:sz w:val="24"/>
          <w:lang w:val="en-US" w:eastAsia="zh-CN"/>
        </w:rPr>
        <w:t xml:space="preserve">HG7 </w:t>
      </w:r>
      <w:r>
        <w:rPr>
          <w:rFonts w:ascii="Times New Roman" w:hAnsi="Times New Roman" w:cs="Times New Roman"/>
          <w:i w:val="0"/>
          <w:iCs w:val="0"/>
          <w:sz w:val="24"/>
        </w:rPr>
        <w:t>cell growth following UGDH overexpression. (</w:t>
      </w:r>
      <w:r>
        <w:rPr>
          <w:rFonts w:ascii="Times New Roman" w:hAnsi="Times New Roman" w:cs="Times New Roman"/>
          <w:i/>
          <w:iCs/>
          <w:sz w:val="24"/>
        </w:rPr>
        <w:t>n</w:t>
      </w:r>
      <w:r>
        <w:rPr>
          <w:rFonts w:ascii="Times New Roman" w:hAnsi="Times New Roman" w:cs="Times New Roman"/>
          <w:i w:val="0"/>
          <w:iCs w:val="0"/>
          <w:sz w:val="24"/>
        </w:rPr>
        <w:t xml:space="preserve"> = 3). cells were transfected with UGDH overexpression vector or empty vector control. Cell viability was measured at indicated time points using the CCK</w:t>
      </w:r>
      <w:r>
        <w:rPr>
          <w:rFonts w:hint="eastAsia" w:ascii="Times New Roman" w:hAnsi="Times New Roman" w:cs="Times New Roman"/>
          <w:i w:val="0"/>
          <w:iCs w:val="0"/>
          <w:sz w:val="24"/>
          <w:lang w:val="en-US" w:eastAsia="zh-CN"/>
        </w:rPr>
        <w:t>-</w:t>
      </w:r>
      <w:r>
        <w:rPr>
          <w:rFonts w:ascii="Times New Roman" w:hAnsi="Times New Roman" w:cs="Times New Roman"/>
          <w:i w:val="0"/>
          <w:iCs w:val="0"/>
          <w:sz w:val="24"/>
        </w:rPr>
        <w:t>8 reagent</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292095A6">
      <w:pPr>
        <w:widowControl/>
        <w:numPr>
          <w:ilvl w:val="0"/>
          <w:numId w:val="6"/>
        </w:numPr>
        <w:spacing w:line="480" w:lineRule="auto"/>
        <w:rPr>
          <w:rFonts w:ascii="Times New Roman" w:hAnsi="Times New Roman" w:cs="Times New Roman"/>
          <w:b/>
          <w:bCs/>
          <w:sz w:val="24"/>
        </w:rPr>
      </w:pPr>
      <w:r>
        <w:rPr>
          <w:rFonts w:hint="eastAsia" w:ascii="Times New Roman" w:hAnsi="Times New Roman" w:cs="Times New Roman"/>
          <w:i w:val="0"/>
          <w:iCs w:val="0"/>
          <w:sz w:val="24"/>
          <w:lang w:val="en-US" w:eastAsia="zh-CN"/>
        </w:rPr>
        <w:t xml:space="preserve">Left: </w:t>
      </w:r>
      <w:r>
        <w:rPr>
          <w:rFonts w:ascii="Times New Roman" w:hAnsi="Times New Roman" w:cs="Times New Roman"/>
          <w:i w:val="0"/>
          <w:iCs w:val="0"/>
          <w:sz w:val="24"/>
        </w:rPr>
        <w:t>Representative images of transwell assays</w:t>
      </w:r>
      <w:r>
        <w:rPr>
          <w:rFonts w:hint="eastAsia" w:ascii="Times New Roman" w:hAnsi="Times New Roman" w:cs="Times New Roman"/>
          <w:i w:val="0"/>
          <w:iCs w:val="0"/>
          <w:sz w:val="24"/>
          <w:lang w:val="en-US" w:eastAsia="zh-CN"/>
        </w:rPr>
        <w:t xml:space="preserve"> performed by using HG7 cell, with transfected with UGDH</w:t>
      </w:r>
      <w:r>
        <w:rPr>
          <w:rFonts w:ascii="Times New Roman" w:hAnsi="Times New Roman" w:cs="Times New Roman"/>
          <w:i w:val="0"/>
          <w:iCs w:val="0"/>
          <w:sz w:val="24"/>
        </w:rPr>
        <w:t xml:space="preserve"> overexpression vector or empty vector control</w:t>
      </w:r>
      <w:r>
        <w:rPr>
          <w:rFonts w:hint="eastAsia" w:ascii="Times New Roman" w:hAnsi="Times New Roman" w:cs="Times New Roman"/>
          <w:i w:val="0"/>
          <w:iCs w:val="0"/>
          <w:sz w:val="24"/>
          <w:lang w:val="en-US" w:eastAsia="zh-CN"/>
        </w:rPr>
        <w:t>. Right: The</w:t>
      </w:r>
      <w:r>
        <w:rPr>
          <w:rFonts w:ascii="Times New Roman" w:hAnsi="Times New Roman" w:cs="Times New Roman"/>
          <w:i w:val="0"/>
          <w:iCs w:val="0"/>
          <w:sz w:val="24"/>
        </w:rPr>
        <w:t xml:space="preserve"> statistical analyses of numbers of migrated cells (</w:t>
      </w:r>
      <w:r>
        <w:rPr>
          <w:rFonts w:ascii="Times New Roman" w:hAnsi="Times New Roman" w:cs="Times New Roman"/>
          <w:i/>
          <w:iCs/>
          <w:sz w:val="24"/>
        </w:rPr>
        <w:t>n</w:t>
      </w:r>
      <w:r>
        <w:rPr>
          <w:rFonts w:ascii="Times New Roman" w:hAnsi="Times New Roman" w:cs="Times New Roman"/>
          <w:i w:val="0"/>
          <w:iCs w:val="0"/>
          <w:sz w:val="24"/>
        </w:rPr>
        <w:t xml:space="preserve"> = 3). Scale bar, 100 μm. Images are representative of three independent experiments.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6219D55F">
      <w:pPr>
        <w:spacing w:line="480" w:lineRule="auto"/>
        <w:rPr>
          <w:rFonts w:ascii="Times New Roman" w:hAnsi="Times New Roman" w:cs="Times New Roman"/>
          <w:b/>
          <w:bCs/>
          <w:sz w:val="24"/>
        </w:rPr>
      </w:pPr>
      <w:r>
        <w:rPr>
          <w:rFonts w:ascii="Times New Roman" w:hAnsi="Times New Roman" w:cs="Times New Roman"/>
          <w:b/>
          <w:bCs/>
          <w:sz w:val="24"/>
        </w:rPr>
        <w:br w:type="page"/>
      </w:r>
    </w:p>
    <w:p w14:paraId="01591459">
      <w:pPr>
        <w:widowControl/>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9" name="图片 9" descr="Supplementary Figure 7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 Figure 7_画板 1"/>
                    <pic:cNvPicPr>
                      <a:picLocks noChangeAspect="1"/>
                    </pic:cNvPicPr>
                  </pic:nvPicPr>
                  <pic:blipFill>
                    <a:blip r:embed="rId11"/>
                    <a:stretch>
                      <a:fillRect/>
                    </a:stretch>
                  </pic:blipFill>
                  <pic:spPr>
                    <a:xfrm>
                      <a:off x="0" y="0"/>
                      <a:ext cx="5271135" cy="3728085"/>
                    </a:xfrm>
                    <a:prstGeom prst="rect">
                      <a:avLst/>
                    </a:prstGeom>
                  </pic:spPr>
                </pic:pic>
              </a:graphicData>
            </a:graphic>
          </wp:inline>
        </w:drawing>
      </w:r>
    </w:p>
    <w:p w14:paraId="223AEFBC">
      <w:pPr>
        <w:widowControl/>
        <w:spacing w:line="48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7</w:t>
      </w:r>
      <w:r>
        <w:rPr>
          <w:rFonts w:ascii="Times New Roman" w:hAnsi="Times New Roman" w:cs="Times New Roman"/>
          <w:b/>
          <w:bCs/>
          <w:sz w:val="24"/>
        </w:rPr>
        <w:t>. Tumor models engineered with UGDH overexpression demonstrate worse prognostic outcomes.</w:t>
      </w:r>
    </w:p>
    <w:p w14:paraId="516E4BB6">
      <w:pPr>
        <w:widowControl/>
        <w:numPr>
          <w:ilvl w:val="0"/>
          <w:numId w:val="7"/>
        </w:numPr>
        <w:spacing w:line="480" w:lineRule="auto"/>
        <w:rPr>
          <w:rFonts w:ascii="Times New Roman" w:hAnsi="Times New Roman" w:cs="Times New Roman"/>
          <w:b/>
          <w:bCs/>
          <w:sz w:val="24"/>
        </w:rPr>
      </w:pPr>
      <w:r>
        <w:rPr>
          <w:rFonts w:ascii="Times New Roman" w:hAnsi="Times New Roman" w:cs="Times New Roman"/>
          <w:sz w:val="24"/>
        </w:rPr>
        <w:t>Representative bioluminescence images of tumor-bearing mice at the indicated time points.</w:t>
      </w:r>
      <w:r>
        <w:rPr>
          <w:rFonts w:hint="default" w:ascii="Times New Roman" w:hAnsi="Times New Roman" w:cs="Times New Roman"/>
          <w:sz w:val="24"/>
        </w:rPr>
        <w:t xml:space="preserve"> Mice were implanted with tumor cells </w:t>
      </w:r>
      <w:r>
        <w:rPr>
          <w:rFonts w:hint="eastAsia" w:ascii="Times New Roman" w:hAnsi="Times New Roman" w:cs="Times New Roman"/>
          <w:i w:val="0"/>
          <w:iCs w:val="0"/>
          <w:sz w:val="24"/>
          <w:lang w:val="en-US" w:eastAsia="zh-CN"/>
        </w:rPr>
        <w:t>transfected with UGDH</w:t>
      </w:r>
      <w:r>
        <w:rPr>
          <w:rFonts w:ascii="Times New Roman" w:hAnsi="Times New Roman" w:cs="Times New Roman"/>
          <w:i w:val="0"/>
          <w:iCs w:val="0"/>
          <w:sz w:val="24"/>
        </w:rPr>
        <w:t xml:space="preserve"> overexpression vector or empty vector control</w:t>
      </w:r>
      <w:r>
        <w:rPr>
          <w:rFonts w:hint="default" w:ascii="Times New Roman" w:hAnsi="Times New Roman" w:cs="Times New Roman"/>
          <w:sz w:val="24"/>
        </w:rPr>
        <w:t>. Bioluminescence signals reflect tumor burden in each group</w:t>
      </w:r>
      <w:r>
        <w:rPr>
          <w:rFonts w:ascii="Times New Roman" w:hAnsi="Times New Roman" w:cs="Times New Roman"/>
          <w:sz w:val="24"/>
        </w:rPr>
        <w:t xml:space="preserve"> (</w:t>
      </w:r>
      <w:r>
        <w:rPr>
          <w:rFonts w:hint="eastAsia" w:ascii="Times New Roman" w:hAnsi="Times New Roman" w:cs="Times New Roman"/>
          <w:i/>
          <w:iCs/>
          <w:sz w:val="24"/>
          <w:lang w:val="en-US" w:eastAsia="zh-CN"/>
        </w:rPr>
        <w:t>n</w:t>
      </w:r>
      <w:r>
        <w:rPr>
          <w:rFonts w:hint="eastAsia" w:ascii="Times New Roman" w:hAnsi="Times New Roman" w:cs="Times New Roman"/>
          <w:sz w:val="24"/>
          <w:lang w:val="en-US" w:eastAsia="zh-CN"/>
        </w:rPr>
        <w:t xml:space="preserve"> = 10</w:t>
      </w:r>
      <w:r>
        <w:rPr>
          <w:rFonts w:ascii="Times New Roman" w:hAnsi="Times New Roman" w:cs="Times New Roman"/>
          <w:sz w:val="24"/>
        </w:rPr>
        <w:t>).</w:t>
      </w:r>
    </w:p>
    <w:p w14:paraId="0F5B537F">
      <w:pPr>
        <w:widowControl/>
        <w:numPr>
          <w:ilvl w:val="0"/>
          <w:numId w:val="7"/>
        </w:numPr>
        <w:spacing w:line="480" w:lineRule="auto"/>
        <w:rPr>
          <w:rFonts w:ascii="Times New Roman" w:hAnsi="Times New Roman" w:cs="Times New Roman"/>
          <w:b/>
          <w:bCs/>
          <w:sz w:val="24"/>
        </w:rPr>
      </w:pPr>
      <w:r>
        <w:rPr>
          <w:rFonts w:ascii="Times New Roman" w:hAnsi="Times New Roman" w:cs="Times New Roman"/>
          <w:i w:val="0"/>
          <w:iCs w:val="0"/>
          <w:sz w:val="24"/>
        </w:rPr>
        <w:t>Quantification of bioluminescent imaging signal intensities (</w:t>
      </w:r>
      <w:r>
        <w:rPr>
          <w:rFonts w:ascii="Times New Roman" w:hAnsi="Times New Roman" w:cs="Times New Roman"/>
          <w:i/>
          <w:iCs/>
          <w:sz w:val="24"/>
        </w:rPr>
        <w:t>n</w:t>
      </w:r>
      <w:r>
        <w:rPr>
          <w:rFonts w:ascii="Times New Roman" w:hAnsi="Times New Roman" w:cs="Times New Roman"/>
          <w:i w:val="0"/>
          <w:iCs w:val="0"/>
          <w:sz w:val="24"/>
        </w:rPr>
        <w:t xml:space="preserve"> = 10).</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3D9EEDED">
      <w:pPr>
        <w:widowControl/>
        <w:numPr>
          <w:ilvl w:val="0"/>
          <w:numId w:val="7"/>
        </w:numPr>
        <w:spacing w:line="480" w:lineRule="auto"/>
        <w:rPr>
          <w:rFonts w:ascii="Times New Roman" w:hAnsi="Times New Roman" w:cs="Times New Roman"/>
          <w:b/>
          <w:bCs/>
          <w:sz w:val="24"/>
        </w:rPr>
      </w:pPr>
      <w:r>
        <w:rPr>
          <w:rFonts w:ascii="Times New Roman" w:hAnsi="Times New Roman" w:cs="Times New Roman"/>
          <w:i w:val="0"/>
          <w:iCs w:val="0"/>
          <w:sz w:val="24"/>
        </w:rPr>
        <w:t>Kaplan-Meier survival curves were generated for mice bearing tumors (</w:t>
      </w:r>
      <w:r>
        <w:rPr>
          <w:rFonts w:ascii="Times New Roman" w:hAnsi="Times New Roman" w:cs="Times New Roman"/>
          <w:i/>
          <w:iCs/>
          <w:sz w:val="24"/>
        </w:rPr>
        <w:t>n</w:t>
      </w:r>
      <w:r>
        <w:rPr>
          <w:rFonts w:ascii="Times New Roman" w:hAnsi="Times New Roman" w:cs="Times New Roman"/>
          <w:i w:val="0"/>
          <w:iCs w:val="0"/>
          <w:sz w:val="24"/>
        </w:rPr>
        <w:t xml:space="preserve"> = 10). </w:t>
      </w:r>
      <w:r>
        <w:rPr>
          <w:rFonts w:ascii="Times New Roman" w:hAnsi="Times New Roman" w:cs="Times New Roman"/>
          <w:i/>
          <w:iCs/>
          <w:sz w:val="24"/>
        </w:rPr>
        <w:t>P</w:t>
      </w:r>
      <w:r>
        <w:rPr>
          <w:rFonts w:ascii="Times New Roman" w:hAnsi="Times New Roman" w:cs="Times New Roman"/>
          <w:i w:val="0"/>
          <w:iCs w:val="0"/>
          <w:sz w:val="24"/>
        </w:rPr>
        <w:t xml:space="preserve"> value was determined by Log-rank test.</w:t>
      </w:r>
    </w:p>
    <w:p w14:paraId="151A7F2F">
      <w:pPr>
        <w:widowControl/>
        <w:numPr>
          <w:ilvl w:val="0"/>
          <w:numId w:val="7"/>
        </w:numPr>
        <w:spacing w:line="480" w:lineRule="auto"/>
        <w:rPr>
          <w:rFonts w:ascii="Times New Roman" w:hAnsi="Times New Roman" w:cs="Times New Roman"/>
          <w:b/>
          <w:bCs/>
          <w:sz w:val="24"/>
        </w:rPr>
      </w:pPr>
      <w:r>
        <w:rPr>
          <w:rFonts w:ascii="Times New Roman" w:hAnsi="Times New Roman" w:cs="Times New Roman"/>
          <w:sz w:val="24"/>
        </w:rPr>
        <w:t>Representative images of IHC staining of</w:t>
      </w:r>
      <w:r>
        <w:rPr>
          <w:rFonts w:hint="eastAsia" w:ascii="Times New Roman" w:hAnsi="Times New Roman" w:cs="Times New Roman"/>
          <w:sz w:val="24"/>
          <w:lang w:val="en-US" w:eastAsia="zh-CN"/>
        </w:rPr>
        <w:t xml:space="preserve"> mice</w:t>
      </w:r>
      <w:r>
        <w:rPr>
          <w:rFonts w:ascii="Times New Roman" w:hAnsi="Times New Roman" w:cs="Times New Roman"/>
          <w:sz w:val="24"/>
        </w:rPr>
        <w:t xml:space="preserve"> tumors with anti-UGDH and anti-SOX2 are shown. Scale bar, 100 μm.</w:t>
      </w:r>
    </w:p>
    <w:p w14:paraId="348DD8A2">
      <w:pPr>
        <w:widowControl/>
        <w:numPr>
          <w:ilvl w:val="0"/>
          <w:numId w:val="7"/>
        </w:numPr>
        <w:spacing w:line="480" w:lineRule="auto"/>
        <w:rPr>
          <w:rFonts w:ascii="Times New Roman" w:hAnsi="Times New Roman" w:cs="Times New Roman"/>
          <w:b/>
          <w:bCs/>
          <w:sz w:val="24"/>
        </w:rPr>
      </w:pPr>
      <w:r>
        <w:rPr>
          <w:rFonts w:ascii="Times New Roman" w:hAnsi="Times New Roman" w:cs="Times New Roman"/>
          <w:sz w:val="24"/>
        </w:rPr>
        <w:t>The histogram represents the quantitative evaluation of IHC staining (</w:t>
      </w:r>
      <w:r>
        <w:rPr>
          <w:rFonts w:ascii="Times New Roman" w:hAnsi="Times New Roman" w:cs="Times New Roman"/>
          <w:i/>
          <w:iCs/>
          <w:sz w:val="24"/>
        </w:rPr>
        <w:t>n</w:t>
      </w:r>
      <w:r>
        <w:rPr>
          <w:rFonts w:ascii="Times New Roman" w:hAnsi="Times New Roman" w:cs="Times New Roman"/>
          <w:sz w:val="24"/>
        </w:rPr>
        <w:t xml:space="preserve"> = 10). </w:t>
      </w:r>
      <w:r>
        <w:rPr>
          <w:rFonts w:ascii="Times New Roman" w:hAnsi="Times New Roman" w:cs="Times New Roman"/>
          <w:i/>
          <w:iCs/>
          <w:sz w:val="24"/>
        </w:rPr>
        <w:t>P</w:t>
      </w:r>
      <w:r>
        <w:rPr>
          <w:rFonts w:ascii="Times New Roman" w:hAnsi="Times New Roman" w:cs="Times New Roman"/>
          <w:sz w:val="24"/>
        </w:rPr>
        <w:t xml:space="preserve"> value was determined by Chi-squared test.</w:t>
      </w:r>
    </w:p>
    <w:p w14:paraId="1F378498">
      <w:pPr>
        <w:widowControl/>
        <w:numPr>
          <w:ilvl w:val="0"/>
          <w:numId w:val="7"/>
        </w:numPr>
        <w:spacing w:line="480" w:lineRule="auto"/>
        <w:rPr>
          <w:rFonts w:ascii="Times New Roman" w:hAnsi="Times New Roman" w:cs="Times New Roman"/>
          <w:b/>
          <w:bCs/>
          <w:sz w:val="24"/>
        </w:rPr>
      </w:pPr>
      <w:r>
        <w:rPr>
          <w:rFonts w:ascii="Times New Roman" w:hAnsi="Times New Roman" w:cs="Times New Roman"/>
          <w:sz w:val="24"/>
        </w:rPr>
        <w:t xml:space="preserve"> Western blot analysis of SOX2, OLIG2, NES</w:t>
      </w:r>
      <w:r>
        <w:rPr>
          <w:rFonts w:hint="eastAsia" w:ascii="Times New Roman" w:hAnsi="Times New Roman" w:cs="Times New Roman"/>
          <w:sz w:val="24"/>
          <w:lang w:val="en-US" w:eastAsia="zh-CN"/>
        </w:rPr>
        <w:t xml:space="preserve"> </w:t>
      </w:r>
      <w:r>
        <w:rPr>
          <w:rFonts w:ascii="Times New Roman" w:hAnsi="Times New Roman" w:cs="Times New Roman"/>
          <w:sz w:val="24"/>
        </w:rPr>
        <w:t>and GFAP expression in stem</w:t>
      </w:r>
      <w:r>
        <w:rPr>
          <w:rFonts w:hint="eastAsia" w:ascii="Times New Roman" w:hAnsi="Times New Roman" w:cs="Times New Roman"/>
          <w:sz w:val="24"/>
          <w:lang w:val="en-US" w:eastAsia="zh-CN"/>
        </w:rPr>
        <w:t>-</w:t>
      </w:r>
      <w:r>
        <w:rPr>
          <w:rFonts w:ascii="Times New Roman" w:hAnsi="Times New Roman" w:cs="Times New Roman"/>
          <w:sz w:val="24"/>
        </w:rPr>
        <w:t>like cells (SLCs) derived from the indicated cell lines.</w:t>
      </w:r>
    </w:p>
    <w:p w14:paraId="2FE6833A">
      <w:pPr>
        <w:spacing w:line="480" w:lineRule="auto"/>
        <w:rPr>
          <w:rFonts w:ascii="Times New Roman" w:hAnsi="Times New Roman" w:cs="Times New Roman"/>
          <w:b/>
          <w:bCs/>
          <w:sz w:val="24"/>
        </w:rPr>
      </w:pPr>
      <w:r>
        <w:rPr>
          <w:rFonts w:ascii="Times New Roman" w:hAnsi="Times New Roman" w:cs="Times New Roman"/>
          <w:b/>
          <w:bCs/>
          <w:sz w:val="24"/>
        </w:rPr>
        <w:br w:type="page"/>
      </w:r>
    </w:p>
    <w:p w14:paraId="29A636AD">
      <w:pPr>
        <w:widowControl/>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10" name="图片 10" descr="Supplementary Figure 8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ry Figure 8_画板 1"/>
                    <pic:cNvPicPr>
                      <a:picLocks noChangeAspect="1"/>
                    </pic:cNvPicPr>
                  </pic:nvPicPr>
                  <pic:blipFill>
                    <a:blip r:embed="rId12"/>
                    <a:stretch>
                      <a:fillRect/>
                    </a:stretch>
                  </pic:blipFill>
                  <pic:spPr>
                    <a:xfrm>
                      <a:off x="0" y="0"/>
                      <a:ext cx="5271135" cy="3728085"/>
                    </a:xfrm>
                    <a:prstGeom prst="rect">
                      <a:avLst/>
                    </a:prstGeom>
                  </pic:spPr>
                </pic:pic>
              </a:graphicData>
            </a:graphic>
          </wp:inline>
        </w:drawing>
      </w:r>
    </w:p>
    <w:p w14:paraId="78865B59">
      <w:pPr>
        <w:widowControl/>
        <w:spacing w:line="48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8</w:t>
      </w:r>
      <w:r>
        <w:rPr>
          <w:rFonts w:ascii="Times New Roman" w:hAnsi="Times New Roman" w:cs="Times New Roman"/>
          <w:b/>
          <w:bCs/>
          <w:sz w:val="24"/>
        </w:rPr>
        <w:t>. UGDH knockdown suppresses SOX2 expression and impairs sphere-forming capacity.</w:t>
      </w:r>
    </w:p>
    <w:p w14:paraId="688C4CA2">
      <w:pPr>
        <w:widowControl/>
        <w:numPr>
          <w:ilvl w:val="0"/>
          <w:numId w:val="8"/>
        </w:numPr>
        <w:spacing w:line="480" w:lineRule="auto"/>
        <w:rPr>
          <w:rFonts w:ascii="Times New Roman" w:hAnsi="Times New Roman" w:cs="Times New Roman"/>
          <w:b/>
          <w:bCs/>
          <w:sz w:val="24"/>
        </w:rPr>
      </w:pPr>
      <w:r>
        <w:rPr>
          <w:rFonts w:ascii="Times New Roman" w:hAnsi="Times New Roman" w:cs="Times New Roman"/>
          <w:i w:val="0"/>
          <w:iCs w:val="0"/>
          <w:sz w:val="24"/>
        </w:rPr>
        <w:t xml:space="preserve">Representative images of IF assays show SOX2 expression in </w:t>
      </w:r>
      <w:r>
        <w:rPr>
          <w:rFonts w:hint="eastAsia" w:ascii="Times New Roman" w:hAnsi="Times New Roman" w:cs="Times New Roman"/>
          <w:i w:val="0"/>
          <w:iCs w:val="0"/>
          <w:sz w:val="24"/>
          <w:lang w:val="en-US" w:eastAsia="zh-CN"/>
        </w:rPr>
        <w:t>HG7</w:t>
      </w:r>
      <w:r>
        <w:rPr>
          <w:rFonts w:ascii="Times New Roman" w:hAnsi="Times New Roman" w:cs="Times New Roman"/>
          <w:i w:val="0"/>
          <w:iCs w:val="0"/>
          <w:sz w:val="24"/>
        </w:rPr>
        <w:t xml:space="preserve"> </w:t>
      </w:r>
      <w:r>
        <w:rPr>
          <w:rFonts w:hint="eastAsia" w:ascii="Times New Roman" w:hAnsi="Times New Roman" w:cs="Times New Roman"/>
          <w:i w:val="0"/>
          <w:iCs w:val="0"/>
          <w:sz w:val="24"/>
          <w:lang w:val="en-US" w:eastAsia="zh-CN"/>
        </w:rPr>
        <w:t>SLC</w:t>
      </w:r>
      <w:r>
        <w:rPr>
          <w:rFonts w:ascii="Times New Roman" w:hAnsi="Times New Roman" w:cs="Times New Roman"/>
          <w:i w:val="0"/>
          <w:iCs w:val="0"/>
          <w:sz w:val="24"/>
        </w:rPr>
        <w:t>s with UGDH knockdown or not. Scale bar, 100 μm.</w:t>
      </w:r>
    </w:p>
    <w:p w14:paraId="6964CF1F">
      <w:pPr>
        <w:widowControl/>
        <w:numPr>
          <w:ilvl w:val="0"/>
          <w:numId w:val="8"/>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 xml:space="preserve">The </w:t>
      </w:r>
      <w:r>
        <w:rPr>
          <w:rFonts w:ascii="Times New Roman" w:hAnsi="Times New Roman" w:cs="Times New Roman"/>
          <w:sz w:val="24"/>
        </w:rPr>
        <w:t>qRT-PCR analysis of mRNA levels of SOX2, NES, OCT4, CD133, OLIG2 and GFAP after UGDH knockdown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5B6AC428">
      <w:pPr>
        <w:widowControl/>
        <w:numPr>
          <w:ilvl w:val="0"/>
          <w:numId w:val="8"/>
        </w:numPr>
        <w:spacing w:line="480" w:lineRule="auto"/>
        <w:rPr>
          <w:rFonts w:ascii="Times New Roman" w:hAnsi="Times New Roman" w:cs="Times New Roman"/>
          <w:b/>
          <w:bCs/>
          <w:sz w:val="24"/>
        </w:rPr>
      </w:pPr>
      <w:r>
        <w:rPr>
          <w:rFonts w:ascii="Times New Roman" w:hAnsi="Times New Roman" w:cs="Times New Roman"/>
          <w:sz w:val="24"/>
        </w:rPr>
        <w:t>Left: Sphere formation assays were performed in UGDH knockdown HG7 cells rescued with empty vector (EV) or r-UGDH</w:t>
      </w:r>
      <w:r>
        <w:rPr>
          <w:rFonts w:hint="eastAsia" w:ascii="Times New Roman" w:hAnsi="Times New Roman" w:cs="Times New Roman"/>
          <w:sz w:val="24"/>
          <w:lang w:val="en-US" w:eastAsia="zh-CN"/>
        </w:rPr>
        <w:t>.</w:t>
      </w:r>
      <w:r>
        <w:rPr>
          <w:rFonts w:ascii="Times New Roman" w:hAnsi="Times New Roman" w:cs="Times New Roman"/>
          <w:sz w:val="24"/>
        </w:rPr>
        <w:t xml:space="preserve"> Scale bar, 200 μm. Images are representative of three independent experiments. Right: Relative number of sphere formation are shown in histogram. Tumor spheres with diameters &gt; 50 μm were counted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9F421F4">
      <w:pPr>
        <w:widowControl/>
        <w:numPr>
          <w:ilvl w:val="0"/>
          <w:numId w:val="8"/>
        </w:numPr>
        <w:spacing w:line="480" w:lineRule="auto"/>
        <w:rPr>
          <w:rFonts w:ascii="Times New Roman" w:hAnsi="Times New Roman" w:cs="Times New Roman"/>
          <w:b/>
          <w:bCs/>
          <w:sz w:val="24"/>
        </w:rPr>
      </w:pPr>
      <w:r>
        <w:rPr>
          <w:rFonts w:ascii="Times New Roman" w:hAnsi="Times New Roman" w:cs="Times New Roman"/>
          <w:sz w:val="24"/>
        </w:rPr>
        <w:t xml:space="preserve">Limited dilution assays (LDA) were used to test self-renewal ability of UGDH knockdown </w:t>
      </w:r>
      <w:r>
        <w:rPr>
          <w:rFonts w:hint="eastAsia" w:ascii="Times New Roman" w:hAnsi="Times New Roman" w:cs="Times New Roman"/>
          <w:sz w:val="24"/>
          <w:lang w:val="en-US" w:eastAsia="zh-CN"/>
        </w:rPr>
        <w:t xml:space="preserve">LN229, </w:t>
      </w:r>
      <w:r>
        <w:rPr>
          <w:rFonts w:ascii="Times New Roman" w:hAnsi="Times New Roman" w:cs="Times New Roman"/>
          <w:sz w:val="24"/>
        </w:rPr>
        <w:t>HG7 SLCs rescued with empty vector (EV) or r-UGDH.</w:t>
      </w:r>
    </w:p>
    <w:p w14:paraId="18AC86FA">
      <w:pPr>
        <w:widowControl/>
        <w:numPr>
          <w:ilvl w:val="0"/>
          <w:numId w:val="8"/>
        </w:numPr>
        <w:spacing w:line="480" w:lineRule="auto"/>
        <w:rPr>
          <w:rFonts w:ascii="Times New Roman" w:hAnsi="Times New Roman" w:cs="Times New Roman"/>
          <w:b/>
          <w:bCs/>
          <w:sz w:val="24"/>
        </w:rPr>
      </w:pPr>
      <w:r>
        <w:rPr>
          <w:rFonts w:ascii="Times New Roman" w:hAnsi="Times New Roman" w:cs="Times New Roman"/>
          <w:sz w:val="24"/>
        </w:rPr>
        <w:t>Top: The Western blot analys</w:t>
      </w:r>
      <w:r>
        <w:rPr>
          <w:rFonts w:hint="eastAsia" w:ascii="Times New Roman" w:hAnsi="Times New Roman" w:cs="Times New Roman"/>
          <w:sz w:val="24"/>
          <w:lang w:val="en-US" w:eastAsia="zh-CN"/>
        </w:rPr>
        <w:t>e</w:t>
      </w:r>
      <w:r>
        <w:rPr>
          <w:rFonts w:ascii="Times New Roman" w:hAnsi="Times New Roman" w:cs="Times New Roman"/>
          <w:sz w:val="24"/>
        </w:rPr>
        <w:t xml:space="preserve">s show expression of SOX2 in UGDH knockdown </w:t>
      </w:r>
      <w:r>
        <w:rPr>
          <w:rFonts w:hint="eastAsia" w:ascii="Times New Roman" w:hAnsi="Times New Roman" w:cs="Times New Roman"/>
          <w:sz w:val="24"/>
          <w:lang w:val="en-US" w:eastAsia="zh-CN"/>
        </w:rPr>
        <w:t xml:space="preserve">LN229 and </w:t>
      </w:r>
      <w:r>
        <w:rPr>
          <w:rFonts w:ascii="Times New Roman" w:hAnsi="Times New Roman" w:cs="Times New Roman"/>
          <w:sz w:val="24"/>
        </w:rPr>
        <w:t xml:space="preserve">HG7 </w:t>
      </w:r>
      <w:r>
        <w:rPr>
          <w:rFonts w:hint="eastAsia" w:ascii="Times New Roman" w:hAnsi="Times New Roman" w:cs="Times New Roman"/>
          <w:sz w:val="24"/>
          <w:lang w:val="en-US" w:eastAsia="zh-CN"/>
        </w:rPr>
        <w:t>SLC</w:t>
      </w:r>
      <w:r>
        <w:rPr>
          <w:rFonts w:ascii="Times New Roman" w:hAnsi="Times New Roman" w:cs="Times New Roman"/>
          <w:sz w:val="24"/>
        </w:rPr>
        <w:t>s rescued with empty vector (EV) or r-UGDH. Data are representative of three independent experiments. Bottom: The SOX2 mRNA level was examined by qRT-PCR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2DC2EBDB">
      <w:pPr>
        <w:widowControl/>
        <w:numPr>
          <w:ilvl w:val="0"/>
          <w:numId w:val="8"/>
        </w:numPr>
        <w:spacing w:line="480" w:lineRule="auto"/>
        <w:rPr>
          <w:rFonts w:ascii="Times New Roman" w:hAnsi="Times New Roman" w:cs="Times New Roman"/>
          <w:b/>
          <w:bCs/>
          <w:sz w:val="24"/>
        </w:rPr>
      </w:pPr>
      <w:r>
        <w:rPr>
          <w:rFonts w:ascii="Times New Roman" w:hAnsi="Times New Roman" w:cs="Times New Roman"/>
          <w:sz w:val="24"/>
        </w:rPr>
        <w:t>The Western blot analys</w:t>
      </w:r>
      <w:r>
        <w:rPr>
          <w:rFonts w:hint="eastAsia" w:ascii="Times New Roman" w:hAnsi="Times New Roman" w:cs="Times New Roman"/>
          <w:sz w:val="24"/>
          <w:lang w:val="en-US" w:eastAsia="zh-CN"/>
        </w:rPr>
        <w:t>e</w:t>
      </w:r>
      <w:r>
        <w:rPr>
          <w:rFonts w:ascii="Times New Roman" w:hAnsi="Times New Roman" w:cs="Times New Roman"/>
          <w:sz w:val="24"/>
        </w:rPr>
        <w:t xml:space="preserve">s show expression of SOX2, UGDH in LN229, HG7 SLCs expressing sh-NT </w:t>
      </w:r>
      <w:r>
        <w:rPr>
          <w:rFonts w:hint="eastAsia" w:ascii="Times New Roman" w:hAnsi="Times New Roman" w:cs="Times New Roman"/>
          <w:sz w:val="24"/>
          <w:lang w:val="en-US" w:eastAsia="zh-CN"/>
        </w:rPr>
        <w:t>and</w:t>
      </w:r>
      <w:r>
        <w:rPr>
          <w:rFonts w:ascii="Times New Roman" w:hAnsi="Times New Roman" w:cs="Times New Roman"/>
          <w:sz w:val="24"/>
        </w:rPr>
        <w:t xml:space="preserve"> sh-UGDH were infected with or without SOX2 overexpressing.</w:t>
      </w:r>
    </w:p>
    <w:p w14:paraId="29DEEB87">
      <w:pPr>
        <w:widowControl/>
        <w:numPr>
          <w:ilvl w:val="0"/>
          <w:numId w:val="8"/>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 xml:space="preserve">Left: </w:t>
      </w:r>
      <w:r>
        <w:rPr>
          <w:rFonts w:ascii="Times New Roman" w:hAnsi="Times New Roman" w:cs="Times New Roman"/>
          <w:sz w:val="24"/>
        </w:rPr>
        <w:t>Sphere formation assays were performed in HG7 SLCs expressing sh-NT or sh-UGDH were infected with or without SOX2 overexpressing.</w:t>
      </w:r>
      <w:r>
        <w:rPr>
          <w:rFonts w:hint="eastAsia" w:ascii="Times New Roman" w:hAnsi="Times New Roman" w:cs="Times New Roman"/>
          <w:sz w:val="24"/>
          <w:lang w:val="en-US" w:eastAsia="zh-CN"/>
        </w:rPr>
        <w:t xml:space="preserve"> </w:t>
      </w:r>
      <w:r>
        <w:rPr>
          <w:rFonts w:ascii="Times New Roman" w:hAnsi="Times New Roman" w:cs="Times New Roman"/>
          <w:sz w:val="24"/>
        </w:rPr>
        <w:t>Scale bar, 200 μm</w:t>
      </w:r>
      <w:r>
        <w:rPr>
          <w:rFonts w:hint="eastAsia" w:ascii="Times New Roman" w:hAnsi="Times New Roman" w:cs="Times New Roman"/>
          <w:sz w:val="24"/>
          <w:lang w:val="en-US" w:eastAsia="zh-CN"/>
        </w:rPr>
        <w:t>. Right:</w:t>
      </w:r>
      <w:r>
        <w:rPr>
          <w:rFonts w:ascii="Times New Roman" w:hAnsi="Times New Roman" w:cs="Times New Roman"/>
          <w:sz w:val="24"/>
        </w:rPr>
        <w:t xml:space="preserve"> </w:t>
      </w:r>
      <w:r>
        <w:rPr>
          <w:rFonts w:ascii="Times New Roman" w:hAnsi="Times New Roman" w:cs="Times New Roman"/>
          <w:i w:val="0"/>
          <w:iCs w:val="0"/>
          <w:sz w:val="24"/>
        </w:rPr>
        <w:t>Relative number of sphere formation are shown in histogram. Tumor spheres with diameters &gt; 50 μm were counted (</w:t>
      </w:r>
      <w:r>
        <w:rPr>
          <w:rFonts w:ascii="Times New Roman" w:hAnsi="Times New Roman" w:cs="Times New Roman"/>
          <w:i/>
          <w:iCs/>
          <w:sz w:val="24"/>
        </w:rPr>
        <w:t>n</w:t>
      </w:r>
      <w:r>
        <w:rPr>
          <w:rFonts w:ascii="Times New Roman" w:hAnsi="Times New Roman" w:cs="Times New Roman"/>
          <w:i w:val="0"/>
          <w:iCs w:val="0"/>
          <w:sz w:val="24"/>
        </w:rPr>
        <w:t xml:space="preserve"> = 3).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67FE7202">
      <w:pPr>
        <w:spacing w:line="480" w:lineRule="auto"/>
        <w:rPr>
          <w:rFonts w:ascii="Times New Roman" w:hAnsi="Times New Roman" w:cs="Times New Roman"/>
          <w:b/>
          <w:bCs/>
          <w:sz w:val="24"/>
        </w:rPr>
      </w:pPr>
      <w:r>
        <w:rPr>
          <w:rFonts w:ascii="Times New Roman" w:hAnsi="Times New Roman" w:cs="Times New Roman"/>
          <w:b/>
          <w:bCs/>
          <w:sz w:val="24"/>
        </w:rPr>
        <w:br w:type="page"/>
      </w:r>
    </w:p>
    <w:p w14:paraId="72E90C0D">
      <w:pPr>
        <w:widowControl/>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25" name="图片 25" descr="Supplementary Figure 9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Supplementary Figure 9_画板 1"/>
                    <pic:cNvPicPr>
                      <a:picLocks noChangeAspect="1"/>
                    </pic:cNvPicPr>
                  </pic:nvPicPr>
                  <pic:blipFill>
                    <a:blip r:embed="rId13"/>
                    <a:stretch>
                      <a:fillRect/>
                    </a:stretch>
                  </pic:blipFill>
                  <pic:spPr>
                    <a:xfrm>
                      <a:off x="0" y="0"/>
                      <a:ext cx="5271135" cy="3728085"/>
                    </a:xfrm>
                    <a:prstGeom prst="rect">
                      <a:avLst/>
                    </a:prstGeom>
                  </pic:spPr>
                </pic:pic>
              </a:graphicData>
            </a:graphic>
          </wp:inline>
        </w:drawing>
      </w:r>
    </w:p>
    <w:p w14:paraId="6825FEDC">
      <w:pPr>
        <w:widowControl/>
        <w:spacing w:line="48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9</w:t>
      </w:r>
      <w:r>
        <w:rPr>
          <w:rFonts w:ascii="Times New Roman" w:hAnsi="Times New Roman" w:cs="Times New Roman"/>
          <w:b/>
          <w:bCs/>
          <w:sz w:val="24"/>
        </w:rPr>
        <w:t xml:space="preserve">. UGDH sustains </w:t>
      </w:r>
      <w:r>
        <w:rPr>
          <w:rFonts w:hint="eastAsia" w:ascii="Times New Roman" w:hAnsi="Times New Roman" w:cs="Times New Roman"/>
          <w:b/>
          <w:bCs/>
          <w:sz w:val="24"/>
          <w:lang w:val="en-US" w:eastAsia="zh-CN"/>
        </w:rPr>
        <w:t>GSC</w:t>
      </w:r>
      <w:r>
        <w:rPr>
          <w:rFonts w:ascii="Times New Roman" w:hAnsi="Times New Roman" w:cs="Times New Roman"/>
          <w:b/>
          <w:bCs/>
          <w:sz w:val="24"/>
        </w:rPr>
        <w:t xml:space="preserve"> stemness through SOX2 mRNA stabilization.</w:t>
      </w:r>
    </w:p>
    <w:p w14:paraId="718039F1">
      <w:pPr>
        <w:widowControl/>
        <w:numPr>
          <w:ilvl w:val="0"/>
          <w:numId w:val="9"/>
        </w:numPr>
        <w:spacing w:line="480" w:lineRule="auto"/>
        <w:rPr>
          <w:rFonts w:ascii="Times New Roman" w:hAnsi="Times New Roman" w:cs="Times New Roman"/>
          <w:b/>
          <w:bCs/>
          <w:sz w:val="24"/>
        </w:rPr>
      </w:pPr>
      <w:r>
        <w:rPr>
          <w:rFonts w:ascii="Times New Roman" w:hAnsi="Times New Roman" w:cs="Times New Roman"/>
          <w:sz w:val="24"/>
        </w:rPr>
        <w:t>Limited dilution assays (LDA) were used to test self-renewal ability</w:t>
      </w:r>
      <w:r>
        <w:rPr>
          <w:rFonts w:hint="eastAsia" w:ascii="Times New Roman" w:hAnsi="Times New Roman" w:cs="Times New Roman"/>
          <w:sz w:val="24"/>
          <w:lang w:val="en-US" w:eastAsia="zh-CN"/>
        </w:rPr>
        <w:t xml:space="preserve"> of LN229 and HG7 SLCs </w:t>
      </w:r>
      <w:r>
        <w:rPr>
          <w:rFonts w:ascii="Times New Roman" w:hAnsi="Times New Roman" w:cs="Times New Roman"/>
          <w:sz w:val="24"/>
        </w:rPr>
        <w:t>expressing sh-NT or sh-UGDH were infected with or without SOX2 overexpressing.</w:t>
      </w:r>
    </w:p>
    <w:p w14:paraId="5F3BD00E">
      <w:pPr>
        <w:widowControl/>
        <w:numPr>
          <w:ilvl w:val="0"/>
          <w:numId w:val="9"/>
        </w:numPr>
        <w:spacing w:line="480" w:lineRule="auto"/>
        <w:rPr>
          <w:rFonts w:ascii="Times New Roman" w:hAnsi="Times New Roman" w:cs="Times New Roman"/>
          <w:b/>
          <w:bCs/>
          <w:sz w:val="24"/>
        </w:rPr>
      </w:pPr>
      <w:r>
        <w:rPr>
          <w:rFonts w:ascii="Times New Roman" w:hAnsi="Times New Roman" w:cs="Times New Roman"/>
          <w:sz w:val="24"/>
        </w:rPr>
        <w:t>The Western blot analyses show expression of SOX2, UGDH in LN229, HG7 SLCs expressing sh-NT or sh-UGDH were infected with or without sh-SOX2 and r-SOX2.</w:t>
      </w:r>
    </w:p>
    <w:p w14:paraId="14A98C85">
      <w:pPr>
        <w:widowControl/>
        <w:numPr>
          <w:ilvl w:val="0"/>
          <w:numId w:val="9"/>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 xml:space="preserve">Left: </w:t>
      </w:r>
      <w:r>
        <w:rPr>
          <w:rFonts w:ascii="Times New Roman" w:hAnsi="Times New Roman" w:cs="Times New Roman"/>
          <w:sz w:val="24"/>
        </w:rPr>
        <w:t>Sphere formation assays were performed in HG7 SLCs expressing sh-NT or sh-UGDH were infected with or without sh-SOX2 and r-SOX2.</w:t>
      </w:r>
      <w:r>
        <w:rPr>
          <w:rFonts w:hint="eastAsia" w:ascii="Times New Roman" w:hAnsi="Times New Roman" w:cs="Times New Roman"/>
          <w:sz w:val="24"/>
          <w:lang w:val="en-US" w:eastAsia="zh-CN"/>
        </w:rPr>
        <w:t xml:space="preserve"> </w:t>
      </w:r>
      <w:r>
        <w:rPr>
          <w:rFonts w:ascii="Times New Roman" w:hAnsi="Times New Roman" w:cs="Times New Roman"/>
          <w:sz w:val="24"/>
        </w:rPr>
        <w:t>Scale bar, 200 μm</w:t>
      </w:r>
      <w:r>
        <w:rPr>
          <w:rFonts w:hint="eastAsia" w:ascii="Times New Roman" w:hAnsi="Times New Roman" w:cs="Times New Roman"/>
          <w:sz w:val="24"/>
          <w:lang w:val="en-US" w:eastAsia="zh-CN"/>
        </w:rPr>
        <w:t>.</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Right: </w:t>
      </w:r>
      <w:r>
        <w:rPr>
          <w:rFonts w:ascii="Times New Roman" w:hAnsi="Times New Roman" w:cs="Times New Roman"/>
          <w:i w:val="0"/>
          <w:iCs w:val="0"/>
          <w:sz w:val="24"/>
        </w:rPr>
        <w:t>Relative number of sphere formation are shown in histogram. Tumor spheres with diameters &gt; 50 μm were counted (</w:t>
      </w:r>
      <w:r>
        <w:rPr>
          <w:rFonts w:ascii="Times New Roman" w:hAnsi="Times New Roman" w:cs="Times New Roman"/>
          <w:i/>
          <w:iCs/>
          <w:sz w:val="24"/>
        </w:rPr>
        <w:t>n</w:t>
      </w:r>
      <w:r>
        <w:rPr>
          <w:rFonts w:ascii="Times New Roman" w:hAnsi="Times New Roman" w:cs="Times New Roman"/>
          <w:i w:val="0"/>
          <w:iCs w:val="0"/>
          <w:sz w:val="24"/>
        </w:rPr>
        <w:t xml:space="preserve"> = 3).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47807F37">
      <w:pPr>
        <w:widowControl/>
        <w:numPr>
          <w:ilvl w:val="0"/>
          <w:numId w:val="9"/>
        </w:numPr>
        <w:spacing w:line="480" w:lineRule="auto"/>
        <w:rPr>
          <w:rFonts w:ascii="Times New Roman" w:hAnsi="Times New Roman" w:cs="Times New Roman"/>
          <w:b/>
          <w:bCs/>
          <w:sz w:val="24"/>
        </w:rPr>
      </w:pPr>
      <w:r>
        <w:rPr>
          <w:rFonts w:ascii="Times New Roman" w:hAnsi="Times New Roman" w:cs="Times New Roman"/>
          <w:sz w:val="24"/>
        </w:rPr>
        <w:t>Limited dilution assays (LDA) were used to test self-renewal ability</w:t>
      </w:r>
      <w:r>
        <w:rPr>
          <w:rFonts w:hint="eastAsia" w:ascii="Times New Roman" w:hAnsi="Times New Roman" w:cs="Times New Roman"/>
          <w:sz w:val="24"/>
          <w:lang w:val="en-US" w:eastAsia="zh-CN"/>
        </w:rPr>
        <w:t xml:space="preserve"> of LN229 and HG7 SLCs </w:t>
      </w:r>
      <w:r>
        <w:rPr>
          <w:rFonts w:ascii="Times New Roman" w:hAnsi="Times New Roman" w:cs="Times New Roman"/>
          <w:sz w:val="24"/>
        </w:rPr>
        <w:t>expressing sh-NT or sh-UGDH were infected with or without sh-SOX2 and r-SOX2.</w:t>
      </w:r>
    </w:p>
    <w:p w14:paraId="279D43F6">
      <w:pPr>
        <w:widowControl/>
        <w:numPr>
          <w:ilvl w:val="0"/>
          <w:numId w:val="9"/>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HG7</w:t>
      </w:r>
      <w:r>
        <w:rPr>
          <w:rFonts w:ascii="Times New Roman" w:hAnsi="Times New Roman" w:cs="Times New Roman"/>
          <w:sz w:val="24"/>
        </w:rPr>
        <w:t xml:space="preserve"> </w:t>
      </w:r>
      <w:r>
        <w:rPr>
          <w:rFonts w:hint="eastAsia" w:ascii="Times New Roman" w:hAnsi="Times New Roman" w:cs="Times New Roman"/>
          <w:sz w:val="24"/>
          <w:lang w:val="en-US" w:eastAsia="zh-CN"/>
        </w:rPr>
        <w:t>SLC</w:t>
      </w:r>
      <w:r>
        <w:rPr>
          <w:rFonts w:ascii="Times New Roman" w:hAnsi="Times New Roman" w:cs="Times New Roman"/>
          <w:sz w:val="24"/>
        </w:rPr>
        <w:t>s were transfected sh-NT and sh-UGDH with or without rescued by r-UGDH, and luciferase activity of SOX2 promoter</w:t>
      </w:r>
      <w:r>
        <w:rPr>
          <w:rFonts w:hint="eastAsia" w:ascii="Times New Roman" w:hAnsi="Times New Roman" w:cs="Times New Roman"/>
          <w:sz w:val="24"/>
          <w:lang w:val="en-US" w:eastAsia="zh-CN"/>
        </w:rPr>
        <w:t xml:space="preserve"> reporter</w:t>
      </w:r>
      <w:r>
        <w:rPr>
          <w:rFonts w:ascii="Times New Roman" w:hAnsi="Times New Roman" w:cs="Times New Roman"/>
          <w:sz w:val="24"/>
        </w:rPr>
        <w:t xml:space="preserve"> was measured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sz w:val="24"/>
          <w:lang w:val="en-US" w:eastAsia="zh-CN"/>
        </w:rPr>
        <w:t>s t-test. ns (no significance).</w:t>
      </w:r>
    </w:p>
    <w:p w14:paraId="57450C2F">
      <w:pPr>
        <w:widowControl/>
        <w:numPr>
          <w:ilvl w:val="0"/>
          <w:numId w:val="9"/>
        </w:numPr>
        <w:spacing w:line="480" w:lineRule="auto"/>
        <w:rPr>
          <w:rFonts w:ascii="Times New Roman" w:hAnsi="Times New Roman" w:cs="Times New Roman"/>
          <w:b/>
          <w:bCs/>
          <w:sz w:val="24"/>
        </w:rPr>
      </w:pPr>
      <w:r>
        <w:rPr>
          <w:rFonts w:ascii="Times New Roman" w:hAnsi="Times New Roman" w:cs="Times New Roman"/>
          <w:sz w:val="24"/>
        </w:rPr>
        <w:t>UGDH knockdown HG7 SLCs rescued with empty vector (EV) or r-UGDH were treated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sz w:val="24"/>
          <w:lang w:val="en-US" w:eastAsia="zh-CN"/>
        </w:rPr>
        <w:t>s t-test.</w:t>
      </w:r>
    </w:p>
    <w:p w14:paraId="0EF13C6C">
      <w:pPr>
        <w:widowControl/>
        <w:numPr>
          <w:ilvl w:val="0"/>
          <w:numId w:val="9"/>
        </w:numPr>
        <w:spacing w:line="480" w:lineRule="auto"/>
        <w:rPr>
          <w:rFonts w:ascii="Times New Roman" w:hAnsi="Times New Roman" w:cs="Times New Roman"/>
          <w:b/>
          <w:bCs/>
          <w:sz w:val="24"/>
        </w:rPr>
      </w:pPr>
      <w:r>
        <w:rPr>
          <w:rFonts w:ascii="Times New Roman" w:hAnsi="Times New Roman" w:cs="Times New Roman"/>
          <w:sz w:val="24"/>
        </w:rPr>
        <w:t>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HG7 SLCs with or without UGDH knockdown were treated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sz w:val="24"/>
          <w:lang w:val="en-US" w:eastAsia="zh-CN"/>
        </w:rPr>
        <w:t>s t-test.</w:t>
      </w:r>
    </w:p>
    <w:p w14:paraId="57A7AA70">
      <w:pPr>
        <w:spacing w:line="480" w:lineRule="auto"/>
        <w:rPr>
          <w:rFonts w:ascii="Times New Roman" w:hAnsi="Times New Roman" w:cs="Times New Roman"/>
          <w:b/>
          <w:bCs/>
          <w:sz w:val="24"/>
        </w:rPr>
      </w:pPr>
      <w:r>
        <w:rPr>
          <w:rFonts w:ascii="Times New Roman" w:hAnsi="Times New Roman" w:cs="Times New Roman"/>
          <w:b/>
          <w:bCs/>
          <w:sz w:val="24"/>
        </w:rPr>
        <w:br w:type="page"/>
      </w:r>
    </w:p>
    <w:p w14:paraId="4E958401">
      <w:pPr>
        <w:widowControl/>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12" name="图片 12" descr="Supplementary Figure 10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ary Figure 10_画板 1"/>
                    <pic:cNvPicPr>
                      <a:picLocks noChangeAspect="1"/>
                    </pic:cNvPicPr>
                  </pic:nvPicPr>
                  <pic:blipFill>
                    <a:blip r:embed="rId14"/>
                    <a:stretch>
                      <a:fillRect/>
                    </a:stretch>
                  </pic:blipFill>
                  <pic:spPr>
                    <a:xfrm>
                      <a:off x="0" y="0"/>
                      <a:ext cx="5271135" cy="3728085"/>
                    </a:xfrm>
                    <a:prstGeom prst="rect">
                      <a:avLst/>
                    </a:prstGeom>
                  </pic:spPr>
                </pic:pic>
              </a:graphicData>
            </a:graphic>
          </wp:inline>
        </w:drawing>
      </w:r>
    </w:p>
    <w:p w14:paraId="255CB5F9">
      <w:pPr>
        <w:widowControl/>
        <w:spacing w:line="480" w:lineRule="auto"/>
        <w:rPr>
          <w:rFonts w:hint="eastAsia" w:ascii="Times New Roman" w:hAnsi="Times New Roman" w:cs="Times New Roman"/>
          <w:b/>
          <w:bCs/>
          <w:sz w:val="24"/>
        </w:rPr>
      </w:pPr>
      <w:r>
        <w:rPr>
          <w:rFonts w:ascii="Times New Roman" w:hAnsi="Times New Roman" w:cs="Times New Roman"/>
          <w:b/>
          <w:bCs/>
          <w:sz w:val="24"/>
        </w:rPr>
        <w:t xml:space="preserve">Supplementary Figure </w:t>
      </w:r>
      <w:r>
        <w:rPr>
          <w:rFonts w:hint="eastAsia" w:ascii="Times New Roman" w:hAnsi="Times New Roman" w:cs="Times New Roman"/>
          <w:b/>
          <w:bCs/>
          <w:sz w:val="24"/>
          <w:lang w:val="en-US" w:eastAsia="zh-CN"/>
        </w:rPr>
        <w:t>10</w:t>
      </w:r>
      <w:r>
        <w:rPr>
          <w:rFonts w:ascii="Times New Roman" w:hAnsi="Times New Roman" w:cs="Times New Roman"/>
          <w:b/>
          <w:bCs/>
          <w:sz w:val="24"/>
        </w:rPr>
        <w:t>. UGDH interacts with VIRMA to regulate SOX2 mRNA stability.</w:t>
      </w:r>
    </w:p>
    <w:p w14:paraId="58F5F999">
      <w:pPr>
        <w:widowControl/>
        <w:numPr>
          <w:ilvl w:val="0"/>
          <w:numId w:val="10"/>
        </w:numPr>
        <w:spacing w:line="480" w:lineRule="auto"/>
        <w:rPr>
          <w:rFonts w:ascii="Times New Roman" w:hAnsi="Times New Roman" w:cs="Times New Roman"/>
          <w:b/>
          <w:bCs/>
          <w:sz w:val="24"/>
        </w:rPr>
      </w:pPr>
      <w:r>
        <w:rPr>
          <w:rFonts w:ascii="Times New Roman" w:hAnsi="Times New Roman" w:cs="Times New Roman"/>
          <w:sz w:val="24"/>
        </w:rPr>
        <w:t xml:space="preserve">Immunoprecipitation (IP) </w:t>
      </w:r>
      <w:r>
        <w:rPr>
          <w:rFonts w:hint="eastAsia" w:ascii="Times New Roman" w:hAnsi="Times New Roman" w:cs="Times New Roman"/>
          <w:sz w:val="24"/>
          <w:lang w:val="en-US" w:eastAsia="zh-CN"/>
        </w:rPr>
        <w:t>samples</w:t>
      </w:r>
      <w:r>
        <w:rPr>
          <w:rFonts w:ascii="Times New Roman" w:hAnsi="Times New Roman" w:cs="Times New Roman"/>
          <w:sz w:val="24"/>
        </w:rPr>
        <w:t xml:space="preserve"> of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LN229 and HG7 SLCs</w:t>
      </w:r>
      <w:r>
        <w:rPr>
          <w:rFonts w:hint="eastAsia" w:ascii="Times New Roman" w:hAnsi="Times New Roman" w:cs="Times New Roman"/>
          <w:sz w:val="24"/>
          <w:lang w:val="en-US" w:eastAsia="zh-CN"/>
        </w:rPr>
        <w:t xml:space="preserve"> were extracted with anti-VIRMA and anti-IgG</w:t>
      </w:r>
      <w:r>
        <w:rPr>
          <w:rFonts w:ascii="Times New Roman" w:hAnsi="Times New Roman" w:cs="Times New Roman"/>
          <w:sz w:val="24"/>
        </w:rPr>
        <w:t>.</w:t>
      </w:r>
      <w:r>
        <w:rPr>
          <w:rFonts w:hint="eastAsia" w:ascii="Times New Roman" w:hAnsi="Times New Roman" w:cs="Times New Roman"/>
          <w:sz w:val="24"/>
          <w:lang w:val="en-US" w:eastAsia="zh-CN"/>
        </w:rPr>
        <w:t xml:space="preserve"> WB analyses are shown.</w:t>
      </w:r>
    </w:p>
    <w:p w14:paraId="6F753740">
      <w:pPr>
        <w:widowControl/>
        <w:numPr>
          <w:ilvl w:val="0"/>
          <w:numId w:val="10"/>
        </w:numPr>
        <w:spacing w:line="480" w:lineRule="auto"/>
        <w:rPr>
          <w:rFonts w:ascii="Times New Roman" w:hAnsi="Times New Roman" w:cs="Times New Roman"/>
          <w:b/>
          <w:bCs/>
          <w:sz w:val="24"/>
        </w:rPr>
      </w:pPr>
      <w:r>
        <w:rPr>
          <w:rFonts w:ascii="Times New Roman" w:hAnsi="Times New Roman" w:cs="Times New Roman"/>
          <w:sz w:val="24"/>
        </w:rPr>
        <w:t>Cytoplasmic and nuclear proteins from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cells were extracted separately for IP experiments. W</w:t>
      </w:r>
      <w:r>
        <w:rPr>
          <w:rFonts w:hint="eastAsia" w:ascii="Times New Roman" w:hAnsi="Times New Roman" w:cs="Times New Roman"/>
          <w:sz w:val="24"/>
          <w:lang w:val="en-US" w:eastAsia="zh-CN"/>
        </w:rPr>
        <w:t>B</w:t>
      </w:r>
      <w:r>
        <w:rPr>
          <w:rFonts w:ascii="Times New Roman" w:hAnsi="Times New Roman" w:cs="Times New Roman"/>
          <w:sz w:val="24"/>
        </w:rPr>
        <w:t xml:space="preserve"> analyses are shown.</w:t>
      </w:r>
    </w:p>
    <w:p w14:paraId="7ED575D4">
      <w:pPr>
        <w:widowControl/>
        <w:numPr>
          <w:ilvl w:val="0"/>
          <w:numId w:val="10"/>
        </w:numPr>
        <w:spacing w:line="480" w:lineRule="auto"/>
        <w:rPr>
          <w:rFonts w:ascii="Times New Roman" w:hAnsi="Times New Roman" w:cs="Times New Roman"/>
          <w:b/>
          <w:bCs/>
          <w:sz w:val="24"/>
        </w:rPr>
      </w:pPr>
      <w:r>
        <w:rPr>
          <w:rFonts w:ascii="Times New Roman" w:hAnsi="Times New Roman" w:cs="Times New Roman"/>
          <w:sz w:val="24"/>
        </w:rPr>
        <w:t>Immunofluorescence (IF) were performed with anti-UGDH and anti-VIRMA antibodies in adherent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HG7 SLCs. Scale bar, 10 μm.</w:t>
      </w:r>
    </w:p>
    <w:p w14:paraId="5E162F4A">
      <w:pPr>
        <w:widowControl/>
        <w:numPr>
          <w:ilvl w:val="0"/>
          <w:numId w:val="10"/>
        </w:numPr>
        <w:spacing w:line="480" w:lineRule="auto"/>
        <w:rPr>
          <w:rFonts w:ascii="Times New Roman" w:hAnsi="Times New Roman" w:cs="Times New Roman"/>
          <w:b/>
          <w:bCs/>
          <w:sz w:val="24"/>
        </w:rPr>
      </w:pPr>
      <w:r>
        <w:rPr>
          <w:rFonts w:ascii="Times New Roman" w:hAnsi="Times New Roman" w:cs="Times New Roman"/>
          <w:sz w:val="24"/>
        </w:rPr>
        <w:t>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LN229 </w:t>
      </w:r>
      <w:r>
        <w:rPr>
          <w:rFonts w:hint="eastAsia" w:ascii="Times New Roman" w:hAnsi="Times New Roman" w:cs="Times New Roman"/>
          <w:sz w:val="24"/>
          <w:lang w:val="en-US" w:eastAsia="zh-CN"/>
        </w:rPr>
        <w:t xml:space="preserve">and HG7 </w:t>
      </w:r>
      <w:r>
        <w:rPr>
          <w:rFonts w:ascii="Times New Roman" w:hAnsi="Times New Roman" w:cs="Times New Roman"/>
          <w:sz w:val="24"/>
        </w:rPr>
        <w:t>SLCs transfected with sh-NT or sh-VIRMA were treated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sz w:val="24"/>
          <w:lang w:val="en-US" w:eastAsia="zh-CN"/>
        </w:rPr>
        <w:t>s t-test.</w:t>
      </w:r>
    </w:p>
    <w:p w14:paraId="14210BAB">
      <w:pPr>
        <w:widowControl/>
        <w:numPr>
          <w:ilvl w:val="0"/>
          <w:numId w:val="10"/>
        </w:numPr>
        <w:spacing w:line="480" w:lineRule="auto"/>
        <w:rPr>
          <w:rFonts w:ascii="Times New Roman" w:hAnsi="Times New Roman" w:cs="Times New Roman"/>
          <w:b/>
          <w:bCs/>
          <w:sz w:val="24"/>
        </w:rPr>
      </w:pPr>
      <w:r>
        <w:rPr>
          <w:rFonts w:hint="eastAsia" w:ascii="Times New Roman" w:hAnsi="Times New Roman" w:cs="Times New Roman"/>
          <w:i w:val="0"/>
          <w:iCs w:val="0"/>
          <w:sz w:val="24"/>
          <w:lang w:val="en-US" w:eastAsia="zh-CN"/>
        </w:rPr>
        <w:t>HG7</w:t>
      </w:r>
      <w:r>
        <w:rPr>
          <w:rFonts w:ascii="Times New Roman" w:hAnsi="Times New Roman" w:cs="Times New Roman"/>
          <w:i w:val="0"/>
          <w:iCs w:val="0"/>
          <w:sz w:val="24"/>
        </w:rPr>
        <w:t xml:space="preserve"> SLCs transfected with UGDH OE </w:t>
      </w:r>
      <w:r>
        <w:rPr>
          <w:rFonts w:hint="eastAsia" w:ascii="Times New Roman" w:hAnsi="Times New Roman" w:cs="Times New Roman"/>
          <w:i w:val="0"/>
          <w:iCs w:val="0"/>
          <w:sz w:val="24"/>
          <w:lang w:val="en-US" w:eastAsia="zh-CN"/>
        </w:rPr>
        <w:t>with or without</w:t>
      </w:r>
      <w:r>
        <w:rPr>
          <w:rFonts w:ascii="Times New Roman" w:hAnsi="Times New Roman" w:cs="Times New Roman"/>
          <w:i w:val="0"/>
          <w:iCs w:val="0"/>
          <w:sz w:val="24"/>
        </w:rPr>
        <w:t xml:space="preserve"> sh-VIRMA</w:t>
      </w:r>
      <w:r>
        <w:rPr>
          <w:rFonts w:hint="eastAsia" w:ascii="Times New Roman" w:hAnsi="Times New Roman" w:cs="Times New Roman"/>
          <w:i w:val="0"/>
          <w:iCs w:val="0"/>
          <w:sz w:val="24"/>
          <w:lang w:val="en-US" w:eastAsia="zh-CN"/>
        </w:rPr>
        <w:t xml:space="preserve"> were</w:t>
      </w:r>
      <w:r>
        <w:rPr>
          <w:rFonts w:ascii="Times New Roman" w:hAnsi="Times New Roman" w:cs="Times New Roman"/>
          <w:i w:val="0"/>
          <w:iCs w:val="0"/>
          <w:sz w:val="24"/>
        </w:rPr>
        <w:t xml:space="preserve"> followed by treatment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i w:val="0"/>
          <w:iCs w:val="0"/>
          <w:sz w:val="24"/>
        </w:rPr>
        <w:t xml:space="preserve"> = 3).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10AEE68B">
      <w:pPr>
        <w:widowControl/>
        <w:numPr>
          <w:ilvl w:val="0"/>
          <w:numId w:val="10"/>
        </w:numPr>
        <w:spacing w:line="480" w:lineRule="auto"/>
        <w:rPr>
          <w:rFonts w:ascii="Times New Roman" w:hAnsi="Times New Roman" w:cs="Times New Roman"/>
          <w:b/>
          <w:bCs/>
          <w:sz w:val="24"/>
        </w:rPr>
      </w:pPr>
      <w:r>
        <w:rPr>
          <w:rFonts w:ascii="Times New Roman" w:hAnsi="Times New Roman" w:cs="Times New Roman"/>
          <w:sz w:val="24"/>
        </w:rPr>
        <w:t>RNA immunoprecipitation (RIP) assays were performed in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HG7 SLCs transfected with sh-NT or sh-UGDH using anti-VIRMA, followed by qRT-PCR analyses to assess precipitated SOX2 mRNA levels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0CF0BB5">
      <w:pPr>
        <w:widowControl/>
        <w:numPr>
          <w:ilvl w:val="0"/>
          <w:numId w:val="10"/>
        </w:numPr>
        <w:spacing w:line="480" w:lineRule="auto"/>
        <w:rPr>
          <w:rFonts w:ascii="Times New Roman" w:hAnsi="Times New Roman" w:cs="Times New Roman"/>
          <w:b/>
          <w:bCs/>
          <w:sz w:val="24"/>
        </w:rPr>
      </w:pPr>
      <w:r>
        <w:rPr>
          <w:rFonts w:ascii="Times New Roman" w:hAnsi="Times New Roman" w:cs="Times New Roman"/>
          <w:sz w:val="24"/>
        </w:rPr>
        <w:t>RNA immunoprecipitation (RIP) assays were performed in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HG7 SLCs transfected with sh-NT or sh-UGDH using anti-m</w:t>
      </w:r>
      <w:r>
        <w:rPr>
          <w:rFonts w:ascii="Times New Roman" w:hAnsi="Times New Roman" w:cs="Times New Roman"/>
          <w:sz w:val="24"/>
          <w:vertAlign w:val="superscript"/>
        </w:rPr>
        <w:t>6</w:t>
      </w:r>
      <w:r>
        <w:rPr>
          <w:rFonts w:ascii="Times New Roman" w:hAnsi="Times New Roman" w:cs="Times New Roman"/>
          <w:sz w:val="24"/>
        </w:rPr>
        <w:t>A, followed by qRT-PCR analyses to assess precipitated SOX2 mRNA levels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39BDF75C">
      <w:pPr>
        <w:widowControl/>
        <w:numPr>
          <w:ilvl w:val="0"/>
          <w:numId w:val="10"/>
        </w:numPr>
        <w:spacing w:line="480" w:lineRule="auto"/>
        <w:rPr>
          <w:rFonts w:ascii="Times New Roman" w:hAnsi="Times New Roman" w:cs="Times New Roman"/>
          <w:b/>
          <w:bCs/>
          <w:sz w:val="24"/>
        </w:rPr>
      </w:pPr>
      <w:r>
        <w:rPr>
          <w:rFonts w:ascii="Times New Roman" w:hAnsi="Times New Roman" w:cs="Times New Roman"/>
          <w:sz w:val="24"/>
        </w:rPr>
        <w:t xml:space="preserve">LN229 </w:t>
      </w:r>
      <w:r>
        <w:rPr>
          <w:rFonts w:hint="eastAsia" w:ascii="Times New Roman" w:hAnsi="Times New Roman" w:cs="Times New Roman"/>
          <w:sz w:val="24"/>
          <w:lang w:val="en-US" w:eastAsia="zh-CN"/>
        </w:rPr>
        <w:t xml:space="preserve">and HG7 </w:t>
      </w:r>
      <w:r>
        <w:rPr>
          <w:rFonts w:ascii="Times New Roman" w:hAnsi="Times New Roman" w:cs="Times New Roman"/>
          <w:sz w:val="24"/>
        </w:rPr>
        <w:t>SLCs with or without ATRX knockout were transfected with sh-NT or sh-UGDH, then cells were lysed to conduct pull-down assays by incubating cell lysates with or without biotin-SOX2 for 4 hours.</w:t>
      </w:r>
    </w:p>
    <w:p w14:paraId="47C745AF">
      <w:pPr>
        <w:spacing w:line="480" w:lineRule="auto"/>
        <w:rPr>
          <w:rFonts w:ascii="Times New Roman" w:hAnsi="Times New Roman" w:cs="Times New Roman"/>
          <w:b/>
          <w:bCs/>
          <w:sz w:val="24"/>
        </w:rPr>
      </w:pPr>
      <w:r>
        <w:rPr>
          <w:rFonts w:ascii="Times New Roman" w:hAnsi="Times New Roman" w:cs="Times New Roman"/>
          <w:b/>
          <w:bCs/>
          <w:sz w:val="24"/>
        </w:rPr>
        <w:br w:type="page"/>
      </w:r>
    </w:p>
    <w:p w14:paraId="3ABA5A58">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13" name="图片 13" descr="Supplementary Figure 1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mentary Figure 11_画板 1"/>
                    <pic:cNvPicPr>
                      <a:picLocks noChangeAspect="1"/>
                    </pic:cNvPicPr>
                  </pic:nvPicPr>
                  <pic:blipFill>
                    <a:blip r:embed="rId15"/>
                    <a:stretch>
                      <a:fillRect/>
                    </a:stretch>
                  </pic:blipFill>
                  <pic:spPr>
                    <a:xfrm>
                      <a:off x="0" y="0"/>
                      <a:ext cx="5271135" cy="3728085"/>
                    </a:xfrm>
                    <a:prstGeom prst="rect">
                      <a:avLst/>
                    </a:prstGeom>
                  </pic:spPr>
                </pic:pic>
              </a:graphicData>
            </a:graphic>
          </wp:inline>
        </w:drawing>
      </w:r>
    </w:p>
    <w:p w14:paraId="5CD0E3C2">
      <w:pPr>
        <w:spacing w:line="480" w:lineRule="auto"/>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1</w:t>
      </w:r>
      <w:r>
        <w:rPr>
          <w:rFonts w:ascii="Times New Roman" w:hAnsi="Times New Roman" w:cs="Times New Roman"/>
          <w:b/>
          <w:bCs/>
          <w:sz w:val="24"/>
        </w:rPr>
        <w:t>. IGF2BP1 recognizes m6A-modified SOX2 and enhances its stability.</w:t>
      </w:r>
    </w:p>
    <w:p w14:paraId="1A28A867">
      <w:pPr>
        <w:numPr>
          <w:ilvl w:val="0"/>
          <w:numId w:val="11"/>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ATRX</w:t>
      </w:r>
      <w:r>
        <w:rPr>
          <w:rFonts w:hint="eastAsia" w:ascii="Times New Roman" w:hAnsi="Times New Roman" w:cs="Times New Roman"/>
          <w:sz w:val="24"/>
          <w:vertAlign w:val="superscript"/>
          <w:lang w:val="en-US" w:eastAsia="zh-CN"/>
        </w:rPr>
        <w:t>EV</w:t>
      </w:r>
      <w:r>
        <w:rPr>
          <w:rFonts w:hint="eastAsia" w:ascii="Times New Roman" w:hAnsi="Times New Roman" w:cs="Times New Roman"/>
          <w:sz w:val="24"/>
          <w:lang w:val="en-US" w:eastAsia="zh-CN"/>
        </w:rPr>
        <w:t xml:space="preserve"> and ATRX</w:t>
      </w:r>
      <w:r>
        <w:rPr>
          <w:rFonts w:hint="eastAsia" w:ascii="Times New Roman" w:hAnsi="Times New Roman" w:cs="Times New Roman"/>
          <w:sz w:val="24"/>
          <w:vertAlign w:val="superscript"/>
          <w:lang w:val="en-US" w:eastAsia="zh-CN"/>
        </w:rPr>
        <w:t>KO</w:t>
      </w:r>
      <w:r>
        <w:rPr>
          <w:rFonts w:hint="eastAsia" w:ascii="Times New Roman" w:hAnsi="Times New Roman" w:cs="Times New Roman"/>
          <w:sz w:val="24"/>
          <w:lang w:val="en-US" w:eastAsia="zh-CN"/>
        </w:rPr>
        <w:t xml:space="preserve"> cells were transfected with sh-NT or sh-UGDH, and RNA immunoprecipitation (RIP) was performed using anti-VIRMA antibody. Precipitated SOX2 mRNA levels were measured by qRT</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 xml:space="preserve">PCR.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4D1475E">
      <w:pPr>
        <w:numPr>
          <w:ilvl w:val="0"/>
          <w:numId w:val="11"/>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ATRX</w:t>
      </w:r>
      <w:r>
        <w:rPr>
          <w:rFonts w:hint="eastAsia" w:ascii="Times New Roman" w:hAnsi="Times New Roman" w:cs="Times New Roman"/>
          <w:sz w:val="24"/>
          <w:vertAlign w:val="superscript"/>
          <w:lang w:val="en-US" w:eastAsia="zh-CN"/>
        </w:rPr>
        <w:t>EV</w:t>
      </w:r>
      <w:r>
        <w:rPr>
          <w:rFonts w:hint="eastAsia" w:ascii="Times New Roman" w:hAnsi="Times New Roman" w:cs="Times New Roman"/>
          <w:sz w:val="24"/>
          <w:lang w:val="en-US" w:eastAsia="zh-CN"/>
        </w:rPr>
        <w:t xml:space="preserve"> and ATRX</w:t>
      </w:r>
      <w:r>
        <w:rPr>
          <w:rFonts w:hint="eastAsia" w:ascii="Times New Roman" w:hAnsi="Times New Roman" w:cs="Times New Roman"/>
          <w:sz w:val="24"/>
          <w:vertAlign w:val="superscript"/>
          <w:lang w:val="en-US" w:eastAsia="zh-CN"/>
        </w:rPr>
        <w:t>KO</w:t>
      </w:r>
      <w:r>
        <w:rPr>
          <w:rFonts w:hint="eastAsia" w:ascii="Times New Roman" w:hAnsi="Times New Roman" w:cs="Times New Roman"/>
          <w:sz w:val="24"/>
          <w:lang w:val="en-US" w:eastAsia="zh-CN"/>
        </w:rPr>
        <w:t xml:space="preserve"> cells were transfected with sh-NT or sh-UGDH, and RNA immunoprecipitation (RIP) was performed using anti-m</w:t>
      </w:r>
      <w:r>
        <w:rPr>
          <w:rFonts w:hint="eastAsia" w:ascii="Times New Roman" w:hAnsi="Times New Roman" w:cs="Times New Roman"/>
          <w:sz w:val="24"/>
          <w:vertAlign w:val="superscript"/>
          <w:lang w:val="en-US" w:eastAsia="zh-CN"/>
        </w:rPr>
        <w:t>6</w:t>
      </w:r>
      <w:r>
        <w:rPr>
          <w:rFonts w:hint="eastAsia" w:ascii="Times New Roman" w:hAnsi="Times New Roman" w:cs="Times New Roman"/>
          <w:sz w:val="24"/>
          <w:lang w:val="en-US" w:eastAsia="zh-CN"/>
        </w:rPr>
        <w:t>A antibody. Precipitated SOX2 mRNA levels were measured by qRT</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 xml:space="preserve">PCR.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551A7A20">
      <w:pPr>
        <w:numPr>
          <w:ilvl w:val="0"/>
          <w:numId w:val="11"/>
        </w:numPr>
        <w:spacing w:line="480" w:lineRule="auto"/>
        <w:rPr>
          <w:rFonts w:ascii="Times New Roman" w:hAnsi="Times New Roman" w:cs="Times New Roman"/>
          <w:b/>
          <w:bCs/>
          <w:sz w:val="24"/>
        </w:rPr>
      </w:pPr>
      <w:r>
        <w:rPr>
          <w:rFonts w:ascii="Times New Roman" w:hAnsi="Times New Roman" w:cs="Times New Roman"/>
          <w:sz w:val="24"/>
        </w:rPr>
        <w:t>Cells were transfected with sh</w:t>
      </w:r>
      <w:r>
        <w:rPr>
          <w:rFonts w:ascii="Times New Roman" w:hAnsi="Times New Roman" w:cs="Times New Roman"/>
          <w:sz w:val="24"/>
        </w:rPr>
        <w:noBreakHyphen/>
      </w:r>
      <w:r>
        <w:rPr>
          <w:rFonts w:ascii="Times New Roman" w:hAnsi="Times New Roman" w:cs="Times New Roman"/>
          <w:sz w:val="24"/>
        </w:rPr>
        <w:t>NT or sh</w:t>
      </w:r>
      <w:r>
        <w:rPr>
          <w:rFonts w:ascii="Times New Roman" w:hAnsi="Times New Roman" w:cs="Times New Roman"/>
          <w:sz w:val="24"/>
        </w:rPr>
        <w:noBreakHyphen/>
      </w:r>
      <w:r>
        <w:rPr>
          <w:rFonts w:ascii="Times New Roman" w:hAnsi="Times New Roman" w:cs="Times New Roman"/>
          <w:sz w:val="24"/>
        </w:rPr>
        <w:t>UGDH along with a luciferase reporter construct driven by the SOX2</w:t>
      </w:r>
      <w:r>
        <w:rPr>
          <w:rFonts w:hint="eastAsia" w:ascii="Times New Roman" w:hAnsi="Times New Roman" w:cs="Times New Roman"/>
          <w:sz w:val="24"/>
          <w:lang w:val="en-US" w:eastAsia="zh-CN"/>
        </w:rPr>
        <w:t>-</w:t>
      </w:r>
      <w:r>
        <w:rPr>
          <w:rFonts w:ascii="Times New Roman" w:hAnsi="Times New Roman" w:cs="Times New Roman"/>
          <w:sz w:val="24"/>
        </w:rPr>
        <w:t xml:space="preserve">3' UTR. </w:t>
      </w:r>
      <w:r>
        <w:rPr>
          <w:rFonts w:hint="eastAsia" w:ascii="Times New Roman" w:hAnsi="Times New Roman" w:cs="Times New Roman"/>
          <w:sz w:val="24"/>
          <w:lang w:val="en-US" w:eastAsia="zh-CN"/>
        </w:rPr>
        <w:t>The</w:t>
      </w:r>
      <w:r>
        <w:rPr>
          <w:rFonts w:ascii="Times New Roman" w:hAnsi="Times New Roman" w:cs="Times New Roman"/>
          <w:sz w:val="24"/>
        </w:rPr>
        <w:t xml:space="preserve"> luciferase activity was measured</w:t>
      </w:r>
      <w:r>
        <w:rPr>
          <w:rFonts w:hint="eastAsia" w:ascii="Times New Roman" w:hAnsi="Times New Roman" w:cs="Times New Roman"/>
          <w:sz w:val="24"/>
          <w:lang w:val="en-US" w:eastAsia="zh-CN"/>
        </w:rPr>
        <w:t xml:space="preserve">.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73CC071F">
      <w:pPr>
        <w:numPr>
          <w:ilvl w:val="0"/>
          <w:numId w:val="11"/>
        </w:numPr>
        <w:spacing w:line="480" w:lineRule="auto"/>
        <w:rPr>
          <w:rFonts w:ascii="Times New Roman" w:hAnsi="Times New Roman" w:cs="Times New Roman"/>
          <w:b/>
          <w:bCs/>
          <w:sz w:val="24"/>
        </w:rPr>
      </w:pPr>
      <w:r>
        <w:rPr>
          <w:rFonts w:ascii="Times New Roman" w:hAnsi="Times New Roman" w:cs="Times New Roman"/>
          <w:sz w:val="24"/>
        </w:rPr>
        <w:t>Pull-down assays were performed by incubating the cell lysates of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SLCs with or without biotin-SOX2.</w:t>
      </w:r>
      <w:r>
        <w:rPr>
          <w:rFonts w:hint="eastAsia" w:ascii="Times New Roman" w:hAnsi="Times New Roman" w:cs="Times New Roman"/>
          <w:sz w:val="24"/>
          <w:lang w:val="en-US" w:eastAsia="zh-CN"/>
        </w:rPr>
        <w:t xml:space="preserve"> WB analyses using anti-IGF2BP1 are shown.</w:t>
      </w:r>
    </w:p>
    <w:p w14:paraId="753A26DF">
      <w:pPr>
        <w:numPr>
          <w:ilvl w:val="0"/>
          <w:numId w:val="11"/>
        </w:numPr>
        <w:spacing w:line="480" w:lineRule="auto"/>
        <w:rPr>
          <w:rFonts w:ascii="Times New Roman" w:hAnsi="Times New Roman" w:cs="Times New Roman"/>
          <w:b/>
          <w:bCs/>
          <w:sz w:val="24"/>
        </w:rPr>
      </w:pPr>
      <w:r>
        <w:rPr>
          <w:rFonts w:ascii="Times New Roman" w:hAnsi="Times New Roman" w:cs="Times New Roman"/>
          <w:sz w:val="24"/>
        </w:rPr>
        <w:t>Pull-down assays were performed by incubating the cell lysates of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SLCs with or without biotin-SOX2.</w:t>
      </w:r>
      <w:r>
        <w:rPr>
          <w:rFonts w:hint="eastAsia" w:ascii="Times New Roman" w:hAnsi="Times New Roman" w:cs="Times New Roman"/>
          <w:sz w:val="24"/>
          <w:lang w:val="en-US" w:eastAsia="zh-CN"/>
        </w:rPr>
        <w:t xml:space="preserve"> WB analyses using anti-IGF2BP2, anti-IGF2BP3, YTHDF1 and YTHDF2 are shown.</w:t>
      </w:r>
    </w:p>
    <w:p w14:paraId="52F22788">
      <w:pPr>
        <w:numPr>
          <w:ilvl w:val="0"/>
          <w:numId w:val="11"/>
        </w:numPr>
        <w:spacing w:line="480" w:lineRule="auto"/>
        <w:rPr>
          <w:rFonts w:ascii="Times New Roman" w:hAnsi="Times New Roman" w:cs="Times New Roman"/>
          <w:b/>
          <w:bCs/>
          <w:sz w:val="24"/>
        </w:rPr>
      </w:pPr>
      <w:r>
        <w:rPr>
          <w:rFonts w:ascii="Times New Roman" w:hAnsi="Times New Roman" w:cs="Times New Roman"/>
          <w:i w:val="0"/>
          <w:iCs w:val="0"/>
          <w:sz w:val="24"/>
        </w:rPr>
        <w:t xml:space="preserve">IGF2BP1 knockdown </w:t>
      </w:r>
      <w:r>
        <w:rPr>
          <w:rFonts w:hint="eastAsia" w:ascii="Times New Roman" w:hAnsi="Times New Roman" w:cs="Times New Roman"/>
          <w:i w:val="0"/>
          <w:iCs w:val="0"/>
          <w:sz w:val="24"/>
          <w:lang w:val="en-US" w:eastAsia="zh-CN"/>
        </w:rPr>
        <w:t>HG7</w:t>
      </w:r>
      <w:r>
        <w:rPr>
          <w:rFonts w:ascii="Times New Roman" w:hAnsi="Times New Roman" w:cs="Times New Roman"/>
          <w:i w:val="0"/>
          <w:iCs w:val="0"/>
          <w:sz w:val="24"/>
        </w:rPr>
        <w:t xml:space="preserve"> SLCs rescued with empty vector (EV) or r-IGF2BP1 followed by treatment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i w:val="0"/>
          <w:iCs w:val="0"/>
          <w:sz w:val="24"/>
        </w:rPr>
        <w:t xml:space="preserve"> = 3).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61842B3C">
      <w:pPr>
        <w:numPr>
          <w:ilvl w:val="0"/>
          <w:numId w:val="11"/>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LN229 and HG7 SLCs were transfected with sh-NT or sh-UGDH, and RNA immunoprecipitation (RIP) was performed using anti-IGF2BP1 antibody. Precipitated SOX2 mRNA levels were measured by qRT</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 xml:space="preserve">PCR.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EE36340">
      <w:pPr>
        <w:widowControl/>
        <w:spacing w:line="480" w:lineRule="auto"/>
        <w:jc w:val="left"/>
        <w:rPr>
          <w:rFonts w:ascii="Times New Roman" w:hAnsi="Times New Roman" w:cs="Times New Roman"/>
          <w:b/>
          <w:bCs/>
          <w:sz w:val="24"/>
        </w:rPr>
      </w:pPr>
      <w:r>
        <w:rPr>
          <w:rFonts w:ascii="Times New Roman" w:hAnsi="Times New Roman" w:cs="Times New Roman"/>
          <w:b/>
          <w:bCs/>
          <w:sz w:val="24"/>
        </w:rPr>
        <w:br w:type="page"/>
      </w:r>
    </w:p>
    <w:p w14:paraId="51DCCBB6">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14" name="图片 14" descr="Supplementary Figure 1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ary Figure 12_画板 1"/>
                    <pic:cNvPicPr>
                      <a:picLocks noChangeAspect="1"/>
                    </pic:cNvPicPr>
                  </pic:nvPicPr>
                  <pic:blipFill>
                    <a:blip r:embed="rId16"/>
                    <a:stretch>
                      <a:fillRect/>
                    </a:stretch>
                  </pic:blipFill>
                  <pic:spPr>
                    <a:xfrm>
                      <a:off x="0" y="0"/>
                      <a:ext cx="5271135" cy="3728085"/>
                    </a:xfrm>
                    <a:prstGeom prst="rect">
                      <a:avLst/>
                    </a:prstGeom>
                  </pic:spPr>
                </pic:pic>
              </a:graphicData>
            </a:graphic>
          </wp:inline>
        </w:drawing>
      </w:r>
    </w:p>
    <w:p w14:paraId="6000E924">
      <w:pPr>
        <w:spacing w:line="480" w:lineRule="auto"/>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2</w:t>
      </w:r>
      <w:r>
        <w:rPr>
          <w:rFonts w:ascii="Times New Roman" w:hAnsi="Times New Roman" w:cs="Times New Roman"/>
          <w:b/>
          <w:bCs/>
          <w:sz w:val="24"/>
        </w:rPr>
        <w:t>. The m6A sites of SOX2 affect its binding to VIRMA and IGF2BP1.</w:t>
      </w:r>
    </w:p>
    <w:p w14:paraId="1E7FEAB9">
      <w:pPr>
        <w:numPr>
          <w:ilvl w:val="0"/>
          <w:numId w:val="12"/>
        </w:numPr>
        <w:spacing w:line="480" w:lineRule="auto"/>
        <w:rPr>
          <w:rFonts w:ascii="Times New Roman" w:hAnsi="Times New Roman" w:cs="Times New Roman"/>
          <w:sz w:val="24"/>
        </w:rPr>
      </w:pPr>
      <w:r>
        <w:rPr>
          <w:rFonts w:ascii="Times New Roman" w:hAnsi="Times New Roman" w:cs="Times New Roman"/>
          <w:sz w:val="24"/>
        </w:rPr>
        <w:t>RNA immunoprecipitation (RIP) assays were performed in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HG7 SLCs transfected with wild-type or mutant SOX2-3</w:t>
      </w:r>
      <w:r>
        <w:rPr>
          <w:rFonts w:ascii="Times New Roman" w:hAnsi="Times New Roman" w:cs="Times New Roman"/>
          <w:i w:val="0"/>
          <w:iCs w:val="0"/>
          <w:sz w:val="24"/>
        </w:rPr>
        <w:t>'</w:t>
      </w:r>
      <w:r>
        <w:rPr>
          <w:rFonts w:hint="eastAsia" w:ascii="Times New Roman" w:hAnsi="Times New Roman" w:cs="Times New Roman"/>
          <w:i w:val="0"/>
          <w:iCs w:val="0"/>
          <w:sz w:val="24"/>
          <w:lang w:val="en-US" w:eastAsia="zh-CN"/>
        </w:rPr>
        <w:t xml:space="preserve"> </w:t>
      </w:r>
      <w:r>
        <w:rPr>
          <w:rFonts w:ascii="Times New Roman" w:hAnsi="Times New Roman" w:cs="Times New Roman"/>
          <w:sz w:val="24"/>
        </w:rPr>
        <w:t xml:space="preserve">UTR. The relative precipitated SOX2 mRNA levels </w:t>
      </w:r>
      <w:r>
        <w:rPr>
          <w:rFonts w:hint="eastAsia" w:ascii="Times New Roman" w:hAnsi="Times New Roman" w:cs="Times New Roman"/>
          <w:sz w:val="24"/>
          <w:lang w:val="en-US" w:eastAsia="zh-CN"/>
        </w:rPr>
        <w:t xml:space="preserve">of anti-VIRMA </w:t>
      </w:r>
      <w:r>
        <w:rPr>
          <w:rFonts w:ascii="Times New Roman" w:hAnsi="Times New Roman" w:cs="Times New Roman"/>
          <w:sz w:val="24"/>
        </w:rPr>
        <w:t>were examined by qRT-PCR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C5C7A60">
      <w:pPr>
        <w:numPr>
          <w:ilvl w:val="0"/>
          <w:numId w:val="12"/>
        </w:numPr>
        <w:spacing w:line="480" w:lineRule="auto"/>
        <w:rPr>
          <w:rFonts w:ascii="Times New Roman" w:hAnsi="Times New Roman" w:cs="Times New Roman"/>
          <w:sz w:val="24"/>
        </w:rPr>
      </w:pPr>
      <w:r>
        <w:rPr>
          <w:rFonts w:ascii="Times New Roman" w:hAnsi="Times New Roman" w:cs="Times New Roman"/>
          <w:sz w:val="24"/>
        </w:rPr>
        <w:t>RNA immunoprecipitation (RIP) assays were performed in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HG7 SLCs transfected with wild-type or mutant SOX2-3</w:t>
      </w:r>
      <w:r>
        <w:rPr>
          <w:rFonts w:ascii="Times New Roman" w:hAnsi="Times New Roman" w:cs="Times New Roman"/>
          <w:i w:val="0"/>
          <w:iCs w:val="0"/>
          <w:sz w:val="24"/>
        </w:rPr>
        <w:t>'</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UTR. The relative precipitated SOX2 mRNA levels </w:t>
      </w:r>
      <w:r>
        <w:rPr>
          <w:rFonts w:hint="eastAsia" w:ascii="Times New Roman" w:hAnsi="Times New Roman" w:cs="Times New Roman"/>
          <w:sz w:val="24"/>
          <w:lang w:val="en-US" w:eastAsia="zh-CN"/>
        </w:rPr>
        <w:t xml:space="preserve">of anti-IGF2BP1 </w:t>
      </w:r>
      <w:r>
        <w:rPr>
          <w:rFonts w:ascii="Times New Roman" w:hAnsi="Times New Roman" w:cs="Times New Roman"/>
          <w:sz w:val="24"/>
        </w:rPr>
        <w:t>were examined by qRT-PCR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72CF6D12">
      <w:pPr>
        <w:numPr>
          <w:ilvl w:val="0"/>
          <w:numId w:val="12"/>
        </w:numPr>
        <w:spacing w:line="480" w:lineRule="auto"/>
        <w:rPr>
          <w:rFonts w:ascii="Times New Roman" w:hAnsi="Times New Roman" w:cs="Times New Roman"/>
          <w:sz w:val="24"/>
        </w:rPr>
      </w:pPr>
      <w:r>
        <w:rPr>
          <w:rFonts w:ascii="Times New Roman" w:hAnsi="Times New Roman" w:cs="Times New Roman"/>
          <w:sz w:val="24"/>
        </w:rPr>
        <w:t>RNA immunoprecipitation (RIP) assays were performed in 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LN229 and HG7 SLCs transfected with wild-type or mutant SOX2-3</w:t>
      </w:r>
      <w:r>
        <w:rPr>
          <w:rFonts w:ascii="Times New Roman" w:hAnsi="Times New Roman" w:cs="Times New Roman"/>
          <w:i w:val="0"/>
          <w:iCs w:val="0"/>
          <w:sz w:val="24"/>
        </w:rPr>
        <w:t>'</w:t>
      </w:r>
      <w:r>
        <w:rPr>
          <w:rFonts w:hint="eastAsia" w:ascii="Times New Roman" w:hAnsi="Times New Roman" w:cs="Times New Roman"/>
          <w:sz w:val="24"/>
          <w:lang w:val="en-US" w:eastAsia="zh-CN"/>
        </w:rPr>
        <w:t xml:space="preserve"> </w:t>
      </w:r>
      <w:r>
        <w:rPr>
          <w:rFonts w:ascii="Times New Roman" w:hAnsi="Times New Roman" w:cs="Times New Roman"/>
          <w:sz w:val="24"/>
        </w:rPr>
        <w:t>UTR. The relative precipitated SOX2 mRNA levels</w:t>
      </w:r>
      <w:r>
        <w:rPr>
          <w:rFonts w:hint="eastAsia" w:ascii="Times New Roman" w:hAnsi="Times New Roman" w:cs="Times New Roman"/>
          <w:sz w:val="24"/>
          <w:lang w:val="en-US" w:eastAsia="zh-CN"/>
        </w:rPr>
        <w:t xml:space="preserve"> of anti-m</w:t>
      </w:r>
      <w:r>
        <w:rPr>
          <w:rFonts w:hint="eastAsia" w:ascii="Times New Roman" w:hAnsi="Times New Roman" w:cs="Times New Roman"/>
          <w:sz w:val="24"/>
          <w:vertAlign w:val="superscript"/>
          <w:lang w:val="en-US" w:eastAsia="zh-CN"/>
        </w:rPr>
        <w:t>6</w:t>
      </w:r>
      <w:r>
        <w:rPr>
          <w:rFonts w:hint="eastAsia" w:ascii="Times New Roman" w:hAnsi="Times New Roman" w:cs="Times New Roman"/>
          <w:sz w:val="24"/>
          <w:lang w:val="en-US" w:eastAsia="zh-CN"/>
        </w:rPr>
        <w:t>A</w:t>
      </w:r>
      <w:r>
        <w:rPr>
          <w:rFonts w:ascii="Times New Roman" w:hAnsi="Times New Roman" w:cs="Times New Roman"/>
          <w:sz w:val="24"/>
        </w:rPr>
        <w:t xml:space="preserve"> were examined by qRT-PCR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1A982E39">
      <w:pPr>
        <w:numPr>
          <w:ilvl w:val="0"/>
          <w:numId w:val="12"/>
        </w:numPr>
        <w:spacing w:line="480" w:lineRule="auto"/>
        <w:rPr>
          <w:rFonts w:ascii="Times New Roman" w:hAnsi="Times New Roman" w:cs="Times New Roman"/>
          <w:sz w:val="24"/>
        </w:rPr>
      </w:pPr>
      <w:r>
        <w:rPr>
          <w:rFonts w:hint="eastAsia" w:ascii="Times New Roman" w:hAnsi="Times New Roman" w:cs="Times New Roman"/>
          <w:sz w:val="24"/>
          <w:lang w:val="en-US" w:eastAsia="zh-CN"/>
        </w:rPr>
        <w:t>ATRX</w:t>
      </w:r>
      <w:r>
        <w:rPr>
          <w:rFonts w:hint="eastAsia" w:ascii="Times New Roman" w:hAnsi="Times New Roman" w:cs="Times New Roman"/>
          <w:sz w:val="24"/>
          <w:vertAlign w:val="superscript"/>
          <w:lang w:val="en-US" w:eastAsia="zh-CN"/>
        </w:rPr>
        <w:t>KO</w:t>
      </w:r>
      <w:r>
        <w:rPr>
          <w:rFonts w:hint="eastAsia" w:ascii="Times New Roman" w:hAnsi="Times New Roman" w:cs="Times New Roman"/>
          <w:sz w:val="24"/>
          <w:lang w:val="en-US" w:eastAsia="zh-CN"/>
        </w:rPr>
        <w:t xml:space="preserve"> SLC</w:t>
      </w:r>
      <w:r>
        <w:rPr>
          <w:rFonts w:ascii="Times New Roman" w:hAnsi="Times New Roman" w:cs="Times New Roman"/>
          <w:sz w:val="24"/>
        </w:rPr>
        <w:t>s were transfected with wild-type or mutant SOX2-3</w:t>
      </w:r>
      <w:r>
        <w:rPr>
          <w:rFonts w:ascii="Times New Roman" w:hAnsi="Times New Roman" w:cs="Times New Roman"/>
          <w:i w:val="0"/>
          <w:iCs w:val="0"/>
          <w:sz w:val="24"/>
        </w:rPr>
        <w:t>'</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UTR along with a luciferase reporter. </w:t>
      </w:r>
      <w:r>
        <w:rPr>
          <w:rFonts w:hint="eastAsia" w:ascii="Times New Roman" w:hAnsi="Times New Roman" w:cs="Times New Roman"/>
          <w:sz w:val="24"/>
          <w:lang w:val="en-US" w:eastAsia="zh-CN"/>
        </w:rPr>
        <w:t>The</w:t>
      </w:r>
      <w:r>
        <w:rPr>
          <w:rFonts w:ascii="Times New Roman" w:hAnsi="Times New Roman" w:cs="Times New Roman"/>
          <w:sz w:val="24"/>
        </w:rPr>
        <w:t xml:space="preserve"> luciferase activity was measured</w:t>
      </w:r>
      <w:r>
        <w:rPr>
          <w:rFonts w:hint="eastAsia" w:ascii="Times New Roman" w:hAnsi="Times New Roman" w:cs="Times New Roman"/>
          <w:sz w:val="24"/>
          <w:lang w:val="en-US" w:eastAsia="zh-CN"/>
        </w:rPr>
        <w:t xml:space="preserve">.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5B31FCB9">
      <w:pPr>
        <w:numPr>
          <w:ilvl w:val="0"/>
          <w:numId w:val="12"/>
        </w:numPr>
        <w:spacing w:line="480" w:lineRule="auto"/>
        <w:rPr>
          <w:rFonts w:ascii="Times New Roman" w:hAnsi="Times New Roman" w:cs="Times New Roman"/>
          <w:b/>
          <w:bCs/>
          <w:sz w:val="24"/>
        </w:rPr>
      </w:pPr>
      <w:r>
        <w:rPr>
          <w:rFonts w:ascii="Times New Roman" w:hAnsi="Times New Roman" w:cs="Times New Roman"/>
          <w:sz w:val="24"/>
        </w:rPr>
        <w:t>HG7 SLCs were transfected with wild-type or mutant SOX2-3</w:t>
      </w:r>
      <w:r>
        <w:rPr>
          <w:rFonts w:ascii="Times New Roman" w:hAnsi="Times New Roman" w:cs="Times New Roman"/>
          <w:i w:val="0"/>
          <w:iCs w:val="0"/>
          <w:sz w:val="24"/>
        </w:rPr>
        <w:t>'</w:t>
      </w:r>
      <w:r>
        <w:rPr>
          <w:rFonts w:ascii="Times New Roman" w:hAnsi="Times New Roman" w:cs="Times New Roman"/>
          <w:sz w:val="24"/>
        </w:rPr>
        <w:t xml:space="preserve"> UTR were treated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r>
        <w:rPr>
          <w:rFonts w:ascii="Times New Roman" w:hAnsi="Times New Roman" w:cs="Times New Roman"/>
          <w:b/>
          <w:bCs/>
          <w:sz w:val="24"/>
        </w:rPr>
        <w:br w:type="page"/>
      </w:r>
    </w:p>
    <w:p w14:paraId="06C02051">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15" name="图片 15" descr="Supplementary Figure 13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ary Figure 13_画板 1"/>
                    <pic:cNvPicPr>
                      <a:picLocks noChangeAspect="1"/>
                    </pic:cNvPicPr>
                  </pic:nvPicPr>
                  <pic:blipFill>
                    <a:blip r:embed="rId17"/>
                    <a:stretch>
                      <a:fillRect/>
                    </a:stretch>
                  </pic:blipFill>
                  <pic:spPr>
                    <a:xfrm>
                      <a:off x="0" y="0"/>
                      <a:ext cx="5271135" cy="3728085"/>
                    </a:xfrm>
                    <a:prstGeom prst="rect">
                      <a:avLst/>
                    </a:prstGeom>
                  </pic:spPr>
                </pic:pic>
              </a:graphicData>
            </a:graphic>
          </wp:inline>
        </w:drawing>
      </w:r>
    </w:p>
    <w:p w14:paraId="333F1ED2">
      <w:pPr>
        <w:spacing w:line="480" w:lineRule="auto"/>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3</w:t>
      </w:r>
      <w:r>
        <w:rPr>
          <w:rFonts w:ascii="Times New Roman" w:hAnsi="Times New Roman" w:cs="Times New Roman"/>
          <w:b/>
          <w:bCs/>
          <w:sz w:val="24"/>
        </w:rPr>
        <w:t>. UGDH's metabolic function influences SOX2</w:t>
      </w:r>
      <w:r>
        <w:rPr>
          <w:rFonts w:hint="eastAsia" w:ascii="Times New Roman" w:hAnsi="Times New Roman" w:cs="Times New Roman"/>
          <w:b/>
          <w:bCs/>
          <w:sz w:val="24"/>
          <w:lang w:val="en-US" w:eastAsia="zh-CN"/>
        </w:rPr>
        <w:t xml:space="preserve"> mRNA stability</w:t>
      </w:r>
      <w:r>
        <w:rPr>
          <w:rFonts w:ascii="Times New Roman" w:hAnsi="Times New Roman" w:cs="Times New Roman"/>
          <w:b/>
          <w:bCs/>
          <w:sz w:val="24"/>
        </w:rPr>
        <w:t>.</w:t>
      </w:r>
    </w:p>
    <w:p w14:paraId="13A46FA3">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HG7 SLCs were transfected with sh-UGDH and Flag-UGDH (WT) or Flag-UGDH (ED), then the enzymatic activity was measured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65B7A23">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The Western blot analys</w:t>
      </w:r>
      <w:r>
        <w:rPr>
          <w:rFonts w:hint="eastAsia" w:ascii="Times New Roman" w:hAnsi="Times New Roman" w:cs="Times New Roman"/>
          <w:sz w:val="24"/>
          <w:lang w:val="en-US" w:eastAsia="zh-CN"/>
        </w:rPr>
        <w:t>e</w:t>
      </w:r>
      <w:r>
        <w:rPr>
          <w:rFonts w:ascii="Times New Roman" w:hAnsi="Times New Roman" w:cs="Times New Roman"/>
          <w:sz w:val="24"/>
        </w:rPr>
        <w:t xml:space="preserve">s </w:t>
      </w:r>
      <w:r>
        <w:rPr>
          <w:rFonts w:hint="eastAsia" w:ascii="Times New Roman" w:hAnsi="Times New Roman" w:cs="Times New Roman"/>
          <w:sz w:val="24"/>
          <w:lang w:val="en-US" w:eastAsia="zh-CN"/>
        </w:rPr>
        <w:t>of UGDH level in</w:t>
      </w:r>
      <w:r>
        <w:rPr>
          <w:rFonts w:ascii="Times New Roman" w:hAnsi="Times New Roman" w:cs="Times New Roman"/>
          <w:sz w:val="24"/>
        </w:rPr>
        <w:t xml:space="preserve"> LN229 and HG7 SLCs transfected with sh-NT or sh-UGDH rescued with r-UGDH (WT) or r-UGDH (ED)</w:t>
      </w:r>
      <w:r>
        <w:rPr>
          <w:rFonts w:hint="eastAsia" w:ascii="Times New Roman" w:hAnsi="Times New Roman" w:cs="Times New Roman"/>
          <w:sz w:val="24"/>
          <w:lang w:val="en-US" w:eastAsia="zh-CN"/>
        </w:rPr>
        <w:t xml:space="preserve"> are shown</w:t>
      </w:r>
      <w:r>
        <w:rPr>
          <w:rFonts w:ascii="Times New Roman" w:hAnsi="Times New Roman" w:cs="Times New Roman"/>
          <w:sz w:val="24"/>
        </w:rPr>
        <w:t>.</w:t>
      </w:r>
    </w:p>
    <w:p w14:paraId="1E6953DA">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The UDP-Glc and UDP-GlcUA intracellular concentrations of HG7 SLCs transfected with sh-NT or sh-UGDH rescued with r-UGDH (WT) or r-UGDH (ED) were measured</w:t>
      </w:r>
      <w:r>
        <w:rPr>
          <w:rFonts w:hint="eastAsia" w:ascii="Times New Roman" w:hAnsi="Times New Roman" w:cs="Times New Roman"/>
          <w:sz w:val="24"/>
          <w:lang w:val="en-US" w:eastAsia="zh-CN"/>
        </w:rPr>
        <w:t xml:space="preserve"> (</w:t>
      </w:r>
      <w:r>
        <w:rPr>
          <w:rFonts w:hint="eastAsia" w:ascii="Times New Roman" w:hAnsi="Times New Roman" w:cs="Times New Roman"/>
          <w:i/>
          <w:iCs/>
          <w:sz w:val="24"/>
          <w:lang w:val="en-US" w:eastAsia="zh-CN"/>
        </w:rPr>
        <w:t>n</w:t>
      </w:r>
      <w:r>
        <w:rPr>
          <w:rFonts w:hint="eastAsia" w:ascii="Times New Roman" w:hAnsi="Times New Roman" w:cs="Times New Roman"/>
          <w:sz w:val="24"/>
          <w:lang w:val="en-US" w:eastAsia="zh-CN"/>
        </w:rPr>
        <w:t xml:space="preserve"> = 3)</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49C2A271">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ATRX</w:t>
      </w:r>
      <w:r>
        <w:rPr>
          <w:rFonts w:ascii="Times New Roman" w:hAnsi="Times New Roman" w:cs="Times New Roman"/>
          <w:sz w:val="24"/>
          <w:vertAlign w:val="superscript"/>
        </w:rPr>
        <w:t>EV</w:t>
      </w:r>
      <w:r>
        <w:rPr>
          <w:rFonts w:ascii="Times New Roman" w:hAnsi="Times New Roman" w:cs="Times New Roman"/>
          <w:sz w:val="24"/>
        </w:rPr>
        <w:t>/ATRX</w:t>
      </w:r>
      <w:r>
        <w:rPr>
          <w:rFonts w:ascii="Times New Roman" w:hAnsi="Times New Roman" w:cs="Times New Roman"/>
          <w:sz w:val="24"/>
          <w:vertAlign w:val="superscript"/>
        </w:rPr>
        <w:t>KO</w:t>
      </w:r>
      <w:r>
        <w:rPr>
          <w:rFonts w:ascii="Times New Roman" w:hAnsi="Times New Roman" w:cs="Times New Roman"/>
          <w:sz w:val="24"/>
        </w:rPr>
        <w:t xml:space="preserve"> HG7 SLCs with UGDH knockdown were rescued with r-UGDH (WT) or r-UGDH (ED). Pull-down assays were conducted by incubating the cell lysates with or without biotin-SOX2 for 4 hours.</w:t>
      </w:r>
    </w:p>
    <w:p w14:paraId="4ADEB77F">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HG7 SLCs were transfected with sh-UGDH and rescued by r-UGDH (WT) or r-UGDH (ED), followed by treatment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5D3252EF">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The Western blot analysis confirmed the expression of SLC35D1 and UGDH</w:t>
      </w:r>
      <w:r>
        <w:rPr>
          <w:rFonts w:hint="eastAsia" w:ascii="Times New Roman" w:hAnsi="Times New Roman" w:cs="Times New Roman"/>
          <w:sz w:val="24"/>
          <w:lang w:val="en-US" w:eastAsia="zh-CN"/>
        </w:rPr>
        <w:t xml:space="preserve"> of cell transfected with Flag-SLC35D1</w:t>
      </w:r>
      <w:r>
        <w:rPr>
          <w:rFonts w:ascii="Times New Roman" w:hAnsi="Times New Roman" w:cs="Times New Roman"/>
          <w:sz w:val="24"/>
        </w:rPr>
        <w:t>.</w:t>
      </w:r>
    </w:p>
    <w:p w14:paraId="6EA485D2">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Representative images of IF assays confirmed Flag-SLC35D1 expression in HG7 SLCs. Scale bar, 50 μm.</w:t>
      </w:r>
    </w:p>
    <w:p w14:paraId="38AEB1D1">
      <w:pPr>
        <w:numPr>
          <w:ilvl w:val="0"/>
          <w:numId w:val="13"/>
        </w:numPr>
        <w:spacing w:line="480" w:lineRule="auto"/>
        <w:rPr>
          <w:rFonts w:ascii="Times New Roman" w:hAnsi="Times New Roman" w:cs="Times New Roman"/>
          <w:b/>
          <w:bCs/>
          <w:sz w:val="24"/>
        </w:rPr>
      </w:pPr>
      <w:r>
        <w:rPr>
          <w:rFonts w:ascii="Times New Roman" w:hAnsi="Times New Roman" w:cs="Times New Roman"/>
          <w:sz w:val="24"/>
        </w:rPr>
        <w:t>Left: SLC35D1-overexpressing cells, with or without UGDH knockdown, were supplemented with UDP-GlcUA (5 mM). Then the intracellular UDP-GlcUA levels were measured (</w:t>
      </w:r>
      <w:r>
        <w:rPr>
          <w:rFonts w:ascii="Times New Roman" w:hAnsi="Times New Roman" w:cs="Times New Roman"/>
          <w:i/>
          <w:iCs/>
          <w:sz w:val="24"/>
        </w:rPr>
        <w:t>n</w:t>
      </w:r>
      <w:r>
        <w:rPr>
          <w:rFonts w:ascii="Times New Roman" w:hAnsi="Times New Roman" w:cs="Times New Roman"/>
          <w:sz w:val="24"/>
        </w:rPr>
        <w:t xml:space="preserve"> = 3). Right: SLC35D1-overexpressing cells, with or without UGDH knockdown, were supplemented with UDP-GlcUA (5 mM). Then the SOX2 mRNA levels were measured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 xml:space="preserve">P </w:t>
      </w:r>
      <w:r>
        <w:rPr>
          <w:rFonts w:hint="eastAsia" w:ascii="Times New Roman" w:hAnsi="Times New Roman" w:cs="Times New Roman"/>
          <w:sz w:val="24"/>
          <w:lang w:val="en-US" w:eastAsia="zh-CN"/>
        </w:rPr>
        <w:t xml:space="preserve">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0DECF13A">
      <w:pPr>
        <w:numPr>
          <w:ilvl w:val="0"/>
          <w:numId w:val="13"/>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 xml:space="preserve">LN229 and </w:t>
      </w:r>
      <w:r>
        <w:rPr>
          <w:rFonts w:ascii="Times New Roman" w:hAnsi="Times New Roman" w:cs="Times New Roman"/>
          <w:sz w:val="24"/>
        </w:rPr>
        <w:t>HG7 SLCs</w:t>
      </w:r>
      <w:r>
        <w:rPr>
          <w:rFonts w:hint="eastAsia" w:ascii="Times New Roman" w:hAnsi="Times New Roman" w:cs="Times New Roman"/>
          <w:sz w:val="24"/>
          <w:lang w:val="en-US" w:eastAsia="zh-CN"/>
        </w:rPr>
        <w:t xml:space="preserve"> overexpressing SLC35D1,</w:t>
      </w:r>
      <w:r>
        <w:rPr>
          <w:rFonts w:ascii="Times New Roman" w:hAnsi="Times New Roman" w:cs="Times New Roman"/>
          <w:sz w:val="24"/>
        </w:rPr>
        <w:t xml:space="preserve"> transfected with sh-NT or sh-UGDH</w:t>
      </w:r>
      <w:r>
        <w:rPr>
          <w:rFonts w:hint="eastAsia" w:ascii="Times New Roman" w:hAnsi="Times New Roman" w:cs="Times New Roman"/>
          <w:sz w:val="24"/>
          <w:lang w:val="en-US" w:eastAsia="zh-CN"/>
        </w:rPr>
        <w:t>,</w:t>
      </w:r>
      <w:r>
        <w:rPr>
          <w:rFonts w:ascii="Times New Roman" w:hAnsi="Times New Roman" w:cs="Times New Roman"/>
          <w:sz w:val="24"/>
        </w:rPr>
        <w:t xml:space="preserve"> were supplemented with or without UDP-GlcUA (5mM), followed by treatment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55EF04E0">
      <w:pPr>
        <w:spacing w:line="480" w:lineRule="auto"/>
        <w:rPr>
          <w:rFonts w:ascii="Times New Roman" w:hAnsi="Times New Roman" w:cs="Times New Roman"/>
          <w:b/>
          <w:bCs/>
          <w:sz w:val="24"/>
        </w:rPr>
      </w:pPr>
      <w:r>
        <w:rPr>
          <w:rFonts w:ascii="Times New Roman" w:hAnsi="Times New Roman" w:cs="Times New Roman"/>
          <w:b/>
          <w:bCs/>
          <w:sz w:val="24"/>
        </w:rPr>
        <w:br w:type="page"/>
      </w:r>
    </w:p>
    <w:p w14:paraId="4D2F4796">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6" name="图片 6" descr="Supplementary Figure 14_画板 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ry Figure 14_画板 1_画板 1"/>
                    <pic:cNvPicPr>
                      <a:picLocks noChangeAspect="1"/>
                    </pic:cNvPicPr>
                  </pic:nvPicPr>
                  <pic:blipFill>
                    <a:blip r:embed="rId18"/>
                    <a:stretch>
                      <a:fillRect/>
                    </a:stretch>
                  </pic:blipFill>
                  <pic:spPr>
                    <a:xfrm>
                      <a:off x="0" y="0"/>
                      <a:ext cx="5271135" cy="3728085"/>
                    </a:xfrm>
                    <a:prstGeom prst="rect">
                      <a:avLst/>
                    </a:prstGeom>
                  </pic:spPr>
                </pic:pic>
              </a:graphicData>
            </a:graphic>
          </wp:inline>
        </w:drawing>
      </w:r>
    </w:p>
    <w:p w14:paraId="59111308">
      <w:pPr>
        <w:spacing w:line="480" w:lineRule="auto"/>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4</w:t>
      </w:r>
      <w:r>
        <w:rPr>
          <w:rFonts w:ascii="Times New Roman" w:hAnsi="Times New Roman" w:cs="Times New Roman"/>
          <w:b/>
          <w:bCs/>
          <w:sz w:val="24"/>
        </w:rPr>
        <w:t>. UDP</w:t>
      </w:r>
      <w:r>
        <w:rPr>
          <w:rFonts w:ascii="Times New Roman" w:hAnsi="Times New Roman" w:cs="Times New Roman"/>
          <w:b/>
          <w:bCs/>
          <w:sz w:val="24"/>
        </w:rPr>
        <w:noBreakHyphen/>
      </w:r>
      <w:r>
        <w:rPr>
          <w:rFonts w:ascii="Times New Roman" w:hAnsi="Times New Roman" w:cs="Times New Roman"/>
          <w:b/>
          <w:bCs/>
          <w:sz w:val="24"/>
        </w:rPr>
        <w:t>Glc suppresses tumor cell sphere formation and destabilizes SOX2 mRNA.</w:t>
      </w:r>
    </w:p>
    <w:p w14:paraId="29DA27A6">
      <w:pPr>
        <w:numPr>
          <w:ilvl w:val="0"/>
          <w:numId w:val="14"/>
        </w:numPr>
        <w:spacing w:line="480" w:lineRule="auto"/>
        <w:rPr>
          <w:rFonts w:ascii="Times New Roman" w:hAnsi="Times New Roman" w:cs="Times New Roman"/>
          <w:b/>
          <w:bCs/>
          <w:sz w:val="24"/>
        </w:rPr>
      </w:pPr>
      <w:r>
        <w:rPr>
          <w:rFonts w:ascii="Times New Roman" w:hAnsi="Times New Roman" w:cs="Times New Roman"/>
          <w:sz w:val="24"/>
        </w:rPr>
        <w:t>SLC35D1-overexpressing LN229 and HG7 SLCs, with or without UGDH knockdown, were supplemented with UDP-GlcUA (5 mM). Then the cellular HA levels were measured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312FE332">
      <w:pPr>
        <w:numPr>
          <w:ilvl w:val="0"/>
          <w:numId w:val="14"/>
        </w:numPr>
        <w:spacing w:line="480" w:lineRule="auto"/>
        <w:rPr>
          <w:rFonts w:ascii="Times New Roman" w:hAnsi="Times New Roman" w:cs="Times New Roman"/>
          <w:b/>
          <w:bCs/>
          <w:sz w:val="24"/>
        </w:rPr>
      </w:pPr>
      <w:r>
        <w:rPr>
          <w:rFonts w:ascii="Times New Roman" w:hAnsi="Times New Roman" w:cs="Times New Roman"/>
          <w:sz w:val="24"/>
        </w:rPr>
        <w:t>SLC35D1-overexpressing LN229 and HG7 SLCs, with or without UGDH knockdown, were supplemented with UDP-GlcUA (5 mM). Then the SOX2 mRNA levels were measured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152BD17B">
      <w:pPr>
        <w:numPr>
          <w:ilvl w:val="0"/>
          <w:numId w:val="14"/>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Left: LN229</w:t>
      </w:r>
      <w:r>
        <w:rPr>
          <w:rFonts w:ascii="Times New Roman" w:hAnsi="Times New Roman" w:cs="Times New Roman"/>
          <w:sz w:val="24"/>
        </w:rPr>
        <w:t xml:space="preserve"> SLCs, with or without UGDH knockdown, were supplemented with different dose of HA. The concentrations of cellular HA were determined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Right: </w:t>
      </w:r>
      <w:r>
        <w:rPr>
          <w:rFonts w:ascii="Times New Roman" w:hAnsi="Times New Roman" w:cs="Times New Roman"/>
          <w:sz w:val="24"/>
        </w:rPr>
        <w:t>The sphere formation assays were performed. Tumor spheres with diameters &gt; 50 μm were counted (</w:t>
      </w:r>
      <w:r>
        <w:rPr>
          <w:rFonts w:ascii="Times New Roman" w:hAnsi="Times New Roman" w:cs="Times New Roman"/>
          <w:i/>
          <w:iCs/>
          <w:sz w:val="24"/>
        </w:rPr>
        <w:t>n</w:t>
      </w:r>
      <w:r>
        <w:rPr>
          <w:rFonts w:ascii="Times New Roman" w:hAnsi="Times New Roman" w:cs="Times New Roman"/>
          <w:sz w:val="24"/>
        </w:rPr>
        <w:t xml:space="preserve"> = 3).</w:t>
      </w:r>
      <w:r>
        <w:rPr>
          <w:rFonts w:hint="eastAsia" w:ascii="Times New Roman" w:hAnsi="Times New Roman" w:cs="Times New Roman"/>
          <w:sz w:val="24"/>
          <w:lang w:val="en-US" w:eastAsia="zh-CN"/>
        </w:rPr>
        <w:t xml:space="preserve">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4D1006C4">
      <w:pPr>
        <w:numPr>
          <w:ilvl w:val="0"/>
          <w:numId w:val="14"/>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Left: HG7</w:t>
      </w:r>
      <w:r>
        <w:rPr>
          <w:rFonts w:ascii="Times New Roman" w:hAnsi="Times New Roman" w:cs="Times New Roman"/>
          <w:sz w:val="24"/>
        </w:rPr>
        <w:t xml:space="preserve"> SLCs, with or without UGDH knockdown, were supplemented with different dose of HA. The concentrations of cellular HA were determined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Right: </w:t>
      </w:r>
      <w:r>
        <w:rPr>
          <w:rFonts w:ascii="Times New Roman" w:hAnsi="Times New Roman" w:cs="Times New Roman"/>
          <w:sz w:val="24"/>
        </w:rPr>
        <w:t>The sphere formation assays were performed. Tumor spheres with diameters &gt; 50 μm were counted (</w:t>
      </w:r>
      <w:r>
        <w:rPr>
          <w:rFonts w:ascii="Times New Roman" w:hAnsi="Times New Roman" w:cs="Times New Roman"/>
          <w:i/>
          <w:iCs/>
          <w:sz w:val="24"/>
        </w:rPr>
        <w:t>n</w:t>
      </w:r>
      <w:r>
        <w:rPr>
          <w:rFonts w:ascii="Times New Roman" w:hAnsi="Times New Roman" w:cs="Times New Roman"/>
          <w:sz w:val="24"/>
        </w:rPr>
        <w:t xml:space="preserve"> = 3).</w:t>
      </w:r>
      <w:r>
        <w:rPr>
          <w:rFonts w:hint="eastAsia" w:ascii="Times New Roman" w:hAnsi="Times New Roman" w:cs="Times New Roman"/>
          <w:sz w:val="24"/>
          <w:lang w:val="en-US" w:eastAsia="zh-CN"/>
        </w:rPr>
        <w:t xml:space="preserve">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7AE0780C">
      <w:pPr>
        <w:numPr>
          <w:ilvl w:val="0"/>
          <w:numId w:val="14"/>
        </w:numPr>
        <w:spacing w:line="480" w:lineRule="auto"/>
        <w:rPr>
          <w:rFonts w:ascii="Times New Roman" w:hAnsi="Times New Roman" w:cs="Times New Roman"/>
          <w:b/>
          <w:bCs/>
          <w:sz w:val="24"/>
        </w:rPr>
      </w:pPr>
      <w:r>
        <w:rPr>
          <w:rFonts w:ascii="Times New Roman" w:hAnsi="Times New Roman" w:cs="Times New Roman"/>
          <w:i w:val="0"/>
          <w:iCs w:val="0"/>
          <w:sz w:val="24"/>
        </w:rPr>
        <w:t xml:space="preserve">Sphere formation assays were performed in LN229 </w:t>
      </w:r>
      <w:r>
        <w:rPr>
          <w:rFonts w:hint="eastAsia" w:ascii="Times New Roman" w:hAnsi="Times New Roman" w:cs="Times New Roman"/>
          <w:i w:val="0"/>
          <w:iCs w:val="0"/>
          <w:sz w:val="24"/>
          <w:lang w:val="en-US" w:eastAsia="zh-CN"/>
        </w:rPr>
        <w:t>and HG7 SLC</w:t>
      </w:r>
      <w:r>
        <w:rPr>
          <w:rFonts w:ascii="Times New Roman" w:hAnsi="Times New Roman" w:cs="Times New Roman"/>
          <w:i w:val="0"/>
          <w:iCs w:val="0"/>
          <w:sz w:val="24"/>
        </w:rPr>
        <w:t xml:space="preserve">s </w:t>
      </w:r>
      <w:r>
        <w:rPr>
          <w:rFonts w:hint="eastAsia" w:ascii="Times New Roman" w:hAnsi="Times New Roman" w:cs="Times New Roman"/>
          <w:i w:val="0"/>
          <w:iCs w:val="0"/>
          <w:sz w:val="24"/>
          <w:lang w:val="en-US" w:eastAsia="zh-CN"/>
        </w:rPr>
        <w:t>with different dose of HA</w:t>
      </w:r>
      <w:r>
        <w:rPr>
          <w:rFonts w:ascii="Times New Roman" w:hAnsi="Times New Roman" w:cs="Times New Roman"/>
          <w:i w:val="0"/>
          <w:iCs w:val="0"/>
          <w:sz w:val="24"/>
        </w:rPr>
        <w:t>; Scale bar, 200 μm. Images are representative of three independent experiments.</w:t>
      </w:r>
    </w:p>
    <w:p w14:paraId="5CBD78C4">
      <w:pPr>
        <w:numPr>
          <w:ilvl w:val="0"/>
          <w:numId w:val="14"/>
        </w:numPr>
        <w:spacing w:line="480" w:lineRule="auto"/>
        <w:rPr>
          <w:rFonts w:ascii="Times New Roman" w:hAnsi="Times New Roman" w:cs="Times New Roman"/>
          <w:b/>
          <w:bCs/>
          <w:sz w:val="24"/>
        </w:rPr>
      </w:pPr>
      <w:r>
        <w:rPr>
          <w:rFonts w:hint="eastAsia" w:ascii="Times New Roman" w:hAnsi="Times New Roman" w:cs="Times New Roman"/>
          <w:sz w:val="24"/>
          <w:lang w:val="en-US" w:eastAsia="zh-CN"/>
        </w:rPr>
        <w:t>The qPCR analysis of SOX2 were performed in LN229 and HG7 SLCs with or without UDP-Glc (5 mM) supplemented (</w:t>
      </w:r>
      <w:r>
        <w:rPr>
          <w:rFonts w:hint="eastAsia" w:ascii="Times New Roman" w:hAnsi="Times New Roman" w:cs="Times New Roman"/>
          <w:i/>
          <w:iCs/>
          <w:sz w:val="24"/>
          <w:lang w:val="en-US" w:eastAsia="zh-CN"/>
        </w:rPr>
        <w:t>n</w:t>
      </w:r>
      <w:r>
        <w:rPr>
          <w:rFonts w:hint="eastAsia" w:ascii="Times New Roman" w:hAnsi="Times New Roman" w:cs="Times New Roman"/>
          <w:sz w:val="24"/>
          <w:lang w:val="en-US" w:eastAsia="zh-CN"/>
        </w:rPr>
        <w:t xml:space="preserve"> = 3).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6BCED4B6">
      <w:pPr>
        <w:numPr>
          <w:ilvl w:val="0"/>
          <w:numId w:val="14"/>
        </w:numPr>
        <w:spacing w:line="480" w:lineRule="auto"/>
        <w:rPr>
          <w:rFonts w:ascii="Times New Roman" w:hAnsi="Times New Roman" w:cs="Times New Roman"/>
          <w:b/>
          <w:bCs/>
          <w:sz w:val="24"/>
        </w:rPr>
      </w:pPr>
      <w:r>
        <w:rPr>
          <w:rFonts w:ascii="Times New Roman" w:hAnsi="Times New Roman" w:cs="Times New Roman"/>
          <w:sz w:val="24"/>
        </w:rPr>
        <w:t>HG7 SLCs</w:t>
      </w:r>
      <w:r>
        <w:rPr>
          <w:rFonts w:hint="eastAsia" w:ascii="Times New Roman" w:hAnsi="Times New Roman" w:cs="Times New Roman"/>
          <w:sz w:val="24"/>
          <w:lang w:val="en-US" w:eastAsia="zh-CN"/>
        </w:rPr>
        <w:t xml:space="preserve"> </w:t>
      </w:r>
      <w:r>
        <w:rPr>
          <w:rFonts w:ascii="Times New Roman" w:hAnsi="Times New Roman" w:cs="Times New Roman"/>
          <w:sz w:val="24"/>
        </w:rPr>
        <w:t>were supplemented with or without UDP-Glc (5mM), followed by treatment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7B4C0176">
      <w:pPr>
        <w:numPr>
          <w:ilvl w:val="0"/>
          <w:numId w:val="14"/>
        </w:numPr>
        <w:spacing w:line="480" w:lineRule="auto"/>
        <w:rPr>
          <w:rFonts w:ascii="Times New Roman" w:hAnsi="Times New Roman" w:cs="Times New Roman"/>
          <w:b/>
          <w:bCs/>
          <w:sz w:val="24"/>
        </w:rPr>
      </w:pPr>
      <w:r>
        <w:rPr>
          <w:rFonts w:ascii="Times New Roman" w:hAnsi="Times New Roman" w:cs="Times New Roman"/>
          <w:i w:val="0"/>
          <w:iCs w:val="0"/>
          <w:sz w:val="24"/>
        </w:rPr>
        <w:t xml:space="preserve">Sphere formation assays were performed in </w:t>
      </w:r>
      <w:r>
        <w:rPr>
          <w:rFonts w:hint="eastAsia" w:ascii="Times New Roman" w:hAnsi="Times New Roman" w:cs="Times New Roman"/>
          <w:i w:val="0"/>
          <w:iCs w:val="0"/>
          <w:sz w:val="24"/>
          <w:lang w:val="en-US" w:eastAsia="zh-CN"/>
        </w:rPr>
        <w:t>HG7</w:t>
      </w:r>
      <w:r>
        <w:rPr>
          <w:rFonts w:ascii="Times New Roman" w:hAnsi="Times New Roman" w:cs="Times New Roman"/>
          <w:i w:val="0"/>
          <w:iCs w:val="0"/>
          <w:sz w:val="24"/>
        </w:rPr>
        <w:t xml:space="preserve"> </w:t>
      </w:r>
      <w:r>
        <w:rPr>
          <w:rFonts w:hint="eastAsia" w:ascii="Times New Roman" w:hAnsi="Times New Roman" w:cs="Times New Roman"/>
          <w:i w:val="0"/>
          <w:iCs w:val="0"/>
          <w:sz w:val="24"/>
          <w:lang w:val="en-US" w:eastAsia="zh-CN"/>
        </w:rPr>
        <w:t>SLC</w:t>
      </w:r>
      <w:r>
        <w:rPr>
          <w:rFonts w:ascii="Times New Roman" w:hAnsi="Times New Roman" w:cs="Times New Roman"/>
          <w:i w:val="0"/>
          <w:iCs w:val="0"/>
          <w:sz w:val="24"/>
        </w:rPr>
        <w:t xml:space="preserve">s </w:t>
      </w:r>
      <w:r>
        <w:rPr>
          <w:rFonts w:hint="eastAsia" w:ascii="Times New Roman" w:hAnsi="Times New Roman" w:cs="Times New Roman"/>
          <w:i w:val="0"/>
          <w:iCs w:val="0"/>
          <w:sz w:val="24"/>
          <w:lang w:val="en-US" w:eastAsia="zh-CN"/>
        </w:rPr>
        <w:t>with different dose of UDP-Glc</w:t>
      </w:r>
      <w:r>
        <w:rPr>
          <w:rFonts w:ascii="Times New Roman" w:hAnsi="Times New Roman" w:cs="Times New Roman"/>
          <w:i w:val="0"/>
          <w:iCs w:val="0"/>
          <w:sz w:val="24"/>
        </w:rPr>
        <w:t>; Scale bar, 200 μm. Images are representative of three independent experiments.</w:t>
      </w:r>
    </w:p>
    <w:p w14:paraId="726B2007">
      <w:pPr>
        <w:numPr>
          <w:ilvl w:val="0"/>
          <w:numId w:val="14"/>
        </w:numPr>
        <w:spacing w:line="480" w:lineRule="auto"/>
        <w:rPr>
          <w:rFonts w:ascii="Times New Roman" w:hAnsi="Times New Roman" w:cs="Times New Roman"/>
          <w:b/>
          <w:bCs/>
          <w:sz w:val="24"/>
        </w:rPr>
      </w:pPr>
      <w:r>
        <w:rPr>
          <w:rFonts w:hint="eastAsia" w:ascii="Times New Roman" w:hAnsi="Times New Roman" w:cs="Times New Roman"/>
          <w:i w:val="0"/>
          <w:iCs w:val="0"/>
          <w:sz w:val="24"/>
          <w:lang w:val="en-US" w:eastAsia="zh-CN"/>
        </w:rPr>
        <w:t>Left: HG7</w:t>
      </w:r>
      <w:r>
        <w:rPr>
          <w:rFonts w:ascii="Times New Roman" w:hAnsi="Times New Roman" w:cs="Times New Roman"/>
          <w:i w:val="0"/>
          <w:iCs w:val="0"/>
          <w:sz w:val="24"/>
        </w:rPr>
        <w:t xml:space="preserve"> SLCs were supplemented with different dose of </w:t>
      </w:r>
      <w:r>
        <w:rPr>
          <w:rFonts w:hint="eastAsia" w:ascii="Times New Roman" w:hAnsi="Times New Roman" w:cs="Times New Roman"/>
          <w:i w:val="0"/>
          <w:iCs w:val="0"/>
          <w:sz w:val="24"/>
          <w:lang w:val="en-US" w:eastAsia="zh-CN"/>
        </w:rPr>
        <w:t>UDP-Glc</w:t>
      </w:r>
      <w:r>
        <w:rPr>
          <w:rFonts w:ascii="Times New Roman" w:hAnsi="Times New Roman" w:cs="Times New Roman"/>
          <w:i w:val="0"/>
          <w:iCs w:val="0"/>
          <w:sz w:val="24"/>
        </w:rPr>
        <w:t xml:space="preserve">. The concentrations of cellular </w:t>
      </w:r>
      <w:r>
        <w:rPr>
          <w:rFonts w:hint="eastAsia" w:ascii="Times New Roman" w:hAnsi="Times New Roman" w:cs="Times New Roman"/>
          <w:i w:val="0"/>
          <w:iCs w:val="0"/>
          <w:sz w:val="24"/>
          <w:lang w:val="en-US" w:eastAsia="zh-CN"/>
        </w:rPr>
        <w:t>UDP-Glc</w:t>
      </w:r>
      <w:r>
        <w:rPr>
          <w:rFonts w:ascii="Times New Roman" w:hAnsi="Times New Roman" w:cs="Times New Roman"/>
          <w:i w:val="0"/>
          <w:iCs w:val="0"/>
          <w:sz w:val="24"/>
        </w:rPr>
        <w:t xml:space="preserve"> were determined (</w:t>
      </w:r>
      <w:r>
        <w:rPr>
          <w:rFonts w:ascii="Times New Roman" w:hAnsi="Times New Roman" w:cs="Times New Roman"/>
          <w:i/>
          <w:iCs/>
          <w:sz w:val="24"/>
        </w:rPr>
        <w:t>n</w:t>
      </w:r>
      <w:r>
        <w:rPr>
          <w:rFonts w:ascii="Times New Roman" w:hAnsi="Times New Roman" w:cs="Times New Roman"/>
          <w:i w:val="0"/>
          <w:iCs w:val="0"/>
          <w:sz w:val="24"/>
        </w:rPr>
        <w:t xml:space="preserve"> = 3).</w:t>
      </w:r>
      <w:r>
        <w:rPr>
          <w:rFonts w:hint="eastAsia" w:ascii="Times New Roman" w:hAnsi="Times New Roman" w:cs="Times New Roman"/>
          <w:i w:val="0"/>
          <w:iCs w:val="0"/>
          <w:sz w:val="24"/>
          <w:lang w:val="en-US" w:eastAsia="zh-CN"/>
        </w:rPr>
        <w:t xml:space="preserve"> Right: </w:t>
      </w:r>
      <w:r>
        <w:rPr>
          <w:rFonts w:ascii="Times New Roman" w:hAnsi="Times New Roman" w:cs="Times New Roman"/>
          <w:i w:val="0"/>
          <w:iCs w:val="0"/>
          <w:sz w:val="24"/>
        </w:rPr>
        <w:t>Relative number of sphere formation are shown in histogram. Tumor spheres with diameters &gt; 50 μm were counted (</w:t>
      </w:r>
      <w:r>
        <w:rPr>
          <w:rFonts w:ascii="Times New Roman" w:hAnsi="Times New Roman" w:cs="Times New Roman"/>
          <w:i/>
          <w:iCs/>
          <w:sz w:val="24"/>
        </w:rPr>
        <w:t>n</w:t>
      </w:r>
      <w:r>
        <w:rPr>
          <w:rFonts w:ascii="Times New Roman" w:hAnsi="Times New Roman" w:cs="Times New Roman"/>
          <w:i w:val="0"/>
          <w:iCs w:val="0"/>
          <w:sz w:val="24"/>
        </w:rPr>
        <w:t xml:space="preserve"> = 3).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6B83A5E8">
      <w:pPr>
        <w:spacing w:line="480" w:lineRule="auto"/>
        <w:rPr>
          <w:rFonts w:ascii="Times New Roman" w:hAnsi="Times New Roman" w:cs="Times New Roman"/>
          <w:b/>
          <w:bCs/>
          <w:sz w:val="24"/>
        </w:rPr>
      </w:pPr>
      <w:r>
        <w:rPr>
          <w:rFonts w:ascii="Times New Roman" w:hAnsi="Times New Roman" w:cs="Times New Roman"/>
          <w:b/>
          <w:bCs/>
          <w:sz w:val="24"/>
        </w:rPr>
        <w:br w:type="page"/>
      </w:r>
    </w:p>
    <w:p w14:paraId="472F99B2">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3" name="图片 3" descr="Supplementary Figure 15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15_画板 1"/>
                    <pic:cNvPicPr>
                      <a:picLocks noChangeAspect="1"/>
                    </pic:cNvPicPr>
                  </pic:nvPicPr>
                  <pic:blipFill>
                    <a:blip r:embed="rId19"/>
                    <a:stretch>
                      <a:fillRect/>
                    </a:stretch>
                  </pic:blipFill>
                  <pic:spPr>
                    <a:xfrm>
                      <a:off x="0" y="0"/>
                      <a:ext cx="5271135" cy="3728085"/>
                    </a:xfrm>
                    <a:prstGeom prst="rect">
                      <a:avLst/>
                    </a:prstGeom>
                  </pic:spPr>
                </pic:pic>
              </a:graphicData>
            </a:graphic>
          </wp:inline>
        </w:drawing>
      </w:r>
    </w:p>
    <w:p w14:paraId="0DBC2DE8">
      <w:pPr>
        <w:spacing w:line="480" w:lineRule="auto"/>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5</w:t>
      </w:r>
      <w:r>
        <w:rPr>
          <w:rFonts w:ascii="Times New Roman" w:hAnsi="Times New Roman" w:cs="Times New Roman"/>
          <w:b/>
          <w:bCs/>
          <w:sz w:val="24"/>
        </w:rPr>
        <w:t>. Suppressing UDP</w:t>
      </w:r>
      <w:r>
        <w:rPr>
          <w:rFonts w:ascii="Times New Roman" w:hAnsi="Times New Roman" w:cs="Times New Roman"/>
          <w:b/>
          <w:bCs/>
          <w:sz w:val="24"/>
        </w:rPr>
        <w:noBreakHyphen/>
      </w:r>
      <w:r>
        <w:rPr>
          <w:rFonts w:ascii="Times New Roman" w:hAnsi="Times New Roman" w:cs="Times New Roman"/>
          <w:b/>
          <w:bCs/>
          <w:sz w:val="24"/>
        </w:rPr>
        <w:t>Glc production promotes tumor sphere</w:t>
      </w:r>
      <w:r>
        <w:rPr>
          <w:rFonts w:hint="eastAsia" w:ascii="Times New Roman" w:hAnsi="Times New Roman" w:cs="Times New Roman"/>
          <w:b/>
          <w:bCs/>
          <w:sz w:val="24"/>
          <w:lang w:val="en-US" w:eastAsia="zh-CN"/>
        </w:rPr>
        <w:t>-</w:t>
      </w:r>
      <w:r>
        <w:rPr>
          <w:rFonts w:ascii="Times New Roman" w:hAnsi="Times New Roman" w:cs="Times New Roman"/>
          <w:b/>
          <w:bCs/>
          <w:sz w:val="24"/>
        </w:rPr>
        <w:t>forming capacity</w:t>
      </w:r>
    </w:p>
    <w:p w14:paraId="2F6051F1">
      <w:pPr>
        <w:numPr>
          <w:ilvl w:val="0"/>
          <w:numId w:val="15"/>
        </w:numPr>
        <w:spacing w:line="480" w:lineRule="auto"/>
        <w:rPr>
          <w:rFonts w:hint="default" w:ascii="Times New Roman" w:hAnsi="Times New Roman" w:cs="Times New Roman" w:eastAsiaTheme="minorEastAsia"/>
          <w:b/>
          <w:bCs/>
          <w:sz w:val="24"/>
          <w:lang w:val="en-US" w:eastAsia="zh-CN"/>
        </w:rPr>
      </w:pPr>
      <w:r>
        <w:rPr>
          <w:rFonts w:hint="eastAsia" w:ascii="Times New Roman" w:hAnsi="Times New Roman" w:cs="Times New Roman"/>
          <w:b w:val="0"/>
          <w:bCs w:val="0"/>
          <w:sz w:val="24"/>
          <w:lang w:val="en-US" w:eastAsia="zh-CN"/>
        </w:rPr>
        <w:t xml:space="preserve">Left: WB analysis of UGP2 expression in LN229 and HG7 SLCs transfected with sh-UGP2 with or without rescue. Right: </w:t>
      </w:r>
      <w:r>
        <w:rPr>
          <w:rFonts w:ascii="Times New Roman" w:hAnsi="Times New Roman" w:cs="Times New Roman"/>
          <w:sz w:val="24"/>
        </w:rPr>
        <w:t>The concentrations of cellular HA were determined</w:t>
      </w:r>
      <w:r>
        <w:rPr>
          <w:rFonts w:hint="eastAsia" w:ascii="Times New Roman" w:hAnsi="Times New Roman" w:cs="Times New Roman"/>
          <w:sz w:val="24"/>
          <w:lang w:val="en-US" w:eastAsia="zh-CN"/>
        </w:rPr>
        <w:t xml:space="preserve"> (</w:t>
      </w:r>
      <w:r>
        <w:rPr>
          <w:rFonts w:hint="eastAsia" w:ascii="Times New Roman" w:hAnsi="Times New Roman" w:cs="Times New Roman"/>
          <w:i/>
          <w:iCs/>
          <w:sz w:val="24"/>
          <w:lang w:val="en-US" w:eastAsia="zh-CN"/>
        </w:rPr>
        <w:t>n</w:t>
      </w:r>
      <w:r>
        <w:rPr>
          <w:rFonts w:hint="eastAsia" w:ascii="Times New Roman" w:hAnsi="Times New Roman" w:cs="Times New Roman"/>
          <w:sz w:val="24"/>
          <w:lang w:val="en-US" w:eastAsia="zh-CN"/>
        </w:rPr>
        <w:t xml:space="preserve"> = 3).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756B1A34">
      <w:pPr>
        <w:numPr>
          <w:ilvl w:val="0"/>
          <w:numId w:val="15"/>
        </w:numPr>
        <w:spacing w:line="480" w:lineRule="auto"/>
        <w:rPr>
          <w:rFonts w:hint="default" w:ascii="Times New Roman" w:hAnsi="Times New Roman" w:cs="Times New Roman" w:eastAsiaTheme="minorEastAsia"/>
          <w:b/>
          <w:bCs/>
          <w:sz w:val="24"/>
          <w:lang w:val="en-US" w:eastAsia="zh-CN"/>
        </w:rPr>
      </w:pPr>
      <w:r>
        <w:rPr>
          <w:rFonts w:hint="eastAsia" w:ascii="Times New Roman" w:hAnsi="Times New Roman" w:cs="Times New Roman"/>
          <w:b w:val="0"/>
          <w:bCs w:val="0"/>
          <w:sz w:val="24"/>
          <w:lang w:val="en-US" w:eastAsia="zh-CN"/>
        </w:rPr>
        <w:t>WB analyses of UGP2 and UGDH expression in LN229 and HG7 SLCs transfected with sh-UGDH or sh-UGP2 or both.</w:t>
      </w:r>
    </w:p>
    <w:p w14:paraId="2496CE05">
      <w:pPr>
        <w:numPr>
          <w:ilvl w:val="0"/>
          <w:numId w:val="15"/>
        </w:numPr>
        <w:spacing w:line="480" w:lineRule="auto"/>
        <w:rPr>
          <w:rFonts w:hint="default" w:ascii="Times New Roman" w:hAnsi="Times New Roman" w:cs="Times New Roman" w:eastAsiaTheme="minorEastAsia"/>
          <w:b/>
          <w:bCs/>
          <w:sz w:val="24"/>
          <w:lang w:val="en-US" w:eastAsia="zh-CN"/>
        </w:rPr>
      </w:pPr>
      <w:r>
        <w:rPr>
          <w:rFonts w:ascii="Times New Roman" w:hAnsi="Times New Roman" w:cs="Times New Roman"/>
          <w:i w:val="0"/>
          <w:iCs w:val="0"/>
          <w:sz w:val="24"/>
        </w:rPr>
        <w:t xml:space="preserve">Sphere formation assays were performed in </w:t>
      </w:r>
      <w:r>
        <w:rPr>
          <w:rFonts w:hint="eastAsia" w:ascii="Times New Roman" w:hAnsi="Times New Roman" w:cs="Times New Roman"/>
          <w:i w:val="0"/>
          <w:iCs w:val="0"/>
          <w:sz w:val="24"/>
          <w:lang w:val="en-US" w:eastAsia="zh-CN"/>
        </w:rPr>
        <w:t>HG7</w:t>
      </w:r>
      <w:r>
        <w:rPr>
          <w:rFonts w:ascii="Times New Roman" w:hAnsi="Times New Roman" w:cs="Times New Roman"/>
          <w:i w:val="0"/>
          <w:iCs w:val="0"/>
          <w:sz w:val="24"/>
        </w:rPr>
        <w:t xml:space="preserve"> </w:t>
      </w:r>
      <w:r>
        <w:rPr>
          <w:rFonts w:hint="eastAsia" w:ascii="Times New Roman" w:hAnsi="Times New Roman" w:cs="Times New Roman"/>
          <w:i w:val="0"/>
          <w:iCs w:val="0"/>
          <w:sz w:val="24"/>
          <w:lang w:val="en-US" w:eastAsia="zh-CN"/>
        </w:rPr>
        <w:t>SLC</w:t>
      </w:r>
      <w:r>
        <w:rPr>
          <w:rFonts w:ascii="Times New Roman" w:hAnsi="Times New Roman" w:cs="Times New Roman"/>
          <w:i w:val="0"/>
          <w:iCs w:val="0"/>
          <w:sz w:val="24"/>
        </w:rPr>
        <w:t xml:space="preserve">s </w:t>
      </w:r>
      <w:r>
        <w:rPr>
          <w:rFonts w:hint="eastAsia" w:ascii="Times New Roman" w:hAnsi="Times New Roman" w:cs="Times New Roman"/>
          <w:b w:val="0"/>
          <w:bCs w:val="0"/>
          <w:sz w:val="24"/>
          <w:lang w:val="en-US" w:eastAsia="zh-CN"/>
        </w:rPr>
        <w:t>transfected with sh-UGDH or sh-UGP2 or both</w:t>
      </w:r>
      <w:r>
        <w:rPr>
          <w:rFonts w:ascii="Times New Roman" w:hAnsi="Times New Roman" w:cs="Times New Roman"/>
          <w:i w:val="0"/>
          <w:iCs w:val="0"/>
          <w:sz w:val="24"/>
        </w:rPr>
        <w:t>; Scale bar, 200 μm. Images are representative of three independent experiments.</w:t>
      </w:r>
    </w:p>
    <w:p w14:paraId="22AC0EE5">
      <w:pPr>
        <w:numPr>
          <w:ilvl w:val="0"/>
          <w:numId w:val="15"/>
        </w:numPr>
        <w:spacing w:line="480" w:lineRule="auto"/>
        <w:rPr>
          <w:rFonts w:hint="default" w:ascii="Times New Roman" w:hAnsi="Times New Roman" w:cs="Times New Roman" w:eastAsiaTheme="minorEastAsia"/>
          <w:b/>
          <w:bCs/>
          <w:sz w:val="24"/>
          <w:lang w:val="en-US" w:eastAsia="zh-CN"/>
        </w:rPr>
      </w:pPr>
      <w:r>
        <w:rPr>
          <w:rFonts w:ascii="Times New Roman" w:hAnsi="Times New Roman" w:cs="Times New Roman"/>
          <w:sz w:val="24"/>
        </w:rPr>
        <w:t>The sphere formation assays</w:t>
      </w:r>
      <w:r>
        <w:rPr>
          <w:rFonts w:hint="eastAsia" w:ascii="Times New Roman" w:hAnsi="Times New Roman" w:cs="Times New Roman"/>
          <w:sz w:val="24"/>
          <w:lang w:val="en-US" w:eastAsia="zh-CN"/>
        </w:rPr>
        <w:t xml:space="preserve"> of </w:t>
      </w:r>
      <w:r>
        <w:rPr>
          <w:rFonts w:hint="eastAsia" w:ascii="Times New Roman" w:hAnsi="Times New Roman" w:cs="Times New Roman"/>
          <w:i w:val="0"/>
          <w:iCs w:val="0"/>
          <w:sz w:val="24"/>
          <w:lang w:val="en-US" w:eastAsia="zh-CN"/>
        </w:rPr>
        <w:t>HG7</w:t>
      </w:r>
      <w:r>
        <w:rPr>
          <w:rFonts w:ascii="Times New Roman" w:hAnsi="Times New Roman" w:cs="Times New Roman"/>
          <w:i w:val="0"/>
          <w:iCs w:val="0"/>
          <w:sz w:val="24"/>
        </w:rPr>
        <w:t xml:space="preserve"> </w:t>
      </w:r>
      <w:r>
        <w:rPr>
          <w:rFonts w:hint="eastAsia" w:ascii="Times New Roman" w:hAnsi="Times New Roman" w:cs="Times New Roman"/>
          <w:i w:val="0"/>
          <w:iCs w:val="0"/>
          <w:sz w:val="24"/>
          <w:lang w:val="en-US" w:eastAsia="zh-CN"/>
        </w:rPr>
        <w:t>SLC</w:t>
      </w:r>
      <w:r>
        <w:rPr>
          <w:rFonts w:ascii="Times New Roman" w:hAnsi="Times New Roman" w:cs="Times New Roman"/>
          <w:i w:val="0"/>
          <w:iCs w:val="0"/>
          <w:sz w:val="24"/>
        </w:rPr>
        <w:t>s</w:t>
      </w:r>
      <w:r>
        <w:rPr>
          <w:rFonts w:hint="eastAsia" w:ascii="Times New Roman" w:hAnsi="Times New Roman" w:cs="Times New Roman"/>
          <w:i w:val="0"/>
          <w:iCs w:val="0"/>
          <w:sz w:val="24"/>
          <w:lang w:val="en-US" w:eastAsia="zh-CN"/>
        </w:rPr>
        <w:t>,</w:t>
      </w:r>
      <w:r>
        <w:rPr>
          <w:rFonts w:ascii="Times New Roman" w:hAnsi="Times New Roman" w:cs="Times New Roman"/>
          <w:i w:val="0"/>
          <w:iCs w:val="0"/>
          <w:sz w:val="24"/>
        </w:rPr>
        <w:t xml:space="preserve"> </w:t>
      </w:r>
      <w:r>
        <w:rPr>
          <w:rFonts w:hint="eastAsia" w:ascii="Times New Roman" w:hAnsi="Times New Roman" w:cs="Times New Roman"/>
          <w:b w:val="0"/>
          <w:bCs w:val="0"/>
          <w:sz w:val="24"/>
          <w:lang w:val="en-US" w:eastAsia="zh-CN"/>
        </w:rPr>
        <w:t>transfected with sh-UGDH or sh-UGP2 or both,</w:t>
      </w:r>
      <w:r>
        <w:rPr>
          <w:rFonts w:ascii="Times New Roman" w:hAnsi="Times New Roman" w:cs="Times New Roman"/>
          <w:sz w:val="24"/>
        </w:rPr>
        <w:t xml:space="preserve"> were performed. Tumor spheres with diameters &gt; 50 μm were counted (</w:t>
      </w:r>
      <w:r>
        <w:rPr>
          <w:rFonts w:ascii="Times New Roman" w:hAnsi="Times New Roman" w:cs="Times New Roman"/>
          <w:i/>
          <w:iCs/>
          <w:sz w:val="24"/>
        </w:rPr>
        <w:t>n</w:t>
      </w:r>
      <w:r>
        <w:rPr>
          <w:rFonts w:ascii="Times New Roman" w:hAnsi="Times New Roman" w:cs="Times New Roman"/>
          <w:sz w:val="24"/>
        </w:rPr>
        <w:t xml:space="preserve"> = 3).</w:t>
      </w:r>
      <w:r>
        <w:rPr>
          <w:rFonts w:hint="eastAsia" w:ascii="Times New Roman" w:hAnsi="Times New Roman" w:cs="Times New Roman"/>
          <w:sz w:val="24"/>
          <w:lang w:val="en-US" w:eastAsia="zh-CN"/>
        </w:rPr>
        <w:t xml:space="preserve"> 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7011B9EC">
      <w:pPr>
        <w:numPr>
          <w:ilvl w:val="0"/>
          <w:numId w:val="15"/>
        </w:numPr>
        <w:spacing w:line="480" w:lineRule="auto"/>
        <w:rPr>
          <w:rFonts w:hint="default" w:ascii="Times New Roman" w:hAnsi="Times New Roman" w:cs="Times New Roman" w:eastAsiaTheme="minorEastAsia"/>
          <w:b/>
          <w:bCs/>
          <w:sz w:val="24"/>
          <w:lang w:val="en-US" w:eastAsia="zh-CN"/>
        </w:rPr>
      </w:pPr>
      <w:r>
        <w:rPr>
          <w:rFonts w:hint="eastAsia" w:ascii="Times New Roman" w:hAnsi="Times New Roman" w:cs="Times New Roman"/>
          <w:sz w:val="24"/>
          <w:lang w:val="en-US" w:eastAsia="zh-CN"/>
        </w:rPr>
        <w:t xml:space="preserve">LN229 and </w:t>
      </w:r>
      <w:r>
        <w:rPr>
          <w:rFonts w:ascii="Times New Roman" w:hAnsi="Times New Roman" w:cs="Times New Roman"/>
          <w:sz w:val="24"/>
        </w:rPr>
        <w:t>HG7 SLCs</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were </w:t>
      </w:r>
      <w:r>
        <w:rPr>
          <w:rFonts w:hint="eastAsia" w:ascii="Times New Roman" w:hAnsi="Times New Roman" w:cs="Times New Roman"/>
          <w:b w:val="0"/>
          <w:bCs w:val="0"/>
          <w:sz w:val="24"/>
          <w:lang w:val="en-US" w:eastAsia="zh-CN"/>
        </w:rPr>
        <w:t>transfected with sh-UGDH or sh-UGP2 or both</w:t>
      </w:r>
      <w:r>
        <w:rPr>
          <w:rFonts w:ascii="Times New Roman" w:hAnsi="Times New Roman" w:cs="Times New Roman"/>
          <w:sz w:val="24"/>
        </w:rPr>
        <w:t>, followed by treatment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9299C7E">
      <w:pPr>
        <w:numPr>
          <w:ilvl w:val="0"/>
          <w:numId w:val="15"/>
        </w:numPr>
        <w:spacing w:line="480" w:lineRule="auto"/>
        <w:rPr>
          <w:rFonts w:hint="default" w:ascii="Times New Roman" w:hAnsi="Times New Roman" w:cs="Times New Roman" w:eastAsiaTheme="minorEastAsia"/>
          <w:b/>
          <w:bCs/>
          <w:sz w:val="24"/>
          <w:lang w:val="en-US" w:eastAsia="zh-CN"/>
        </w:rPr>
      </w:pPr>
      <w:r>
        <w:rPr>
          <w:rFonts w:ascii="Times New Roman" w:hAnsi="Times New Roman" w:cs="Times New Roman"/>
          <w:i w:val="0"/>
          <w:iCs w:val="0"/>
          <w:sz w:val="24"/>
        </w:rPr>
        <w:t>Quantification of bioluminescent imaging signal intensities</w:t>
      </w:r>
      <w:r>
        <w:rPr>
          <w:rFonts w:hint="eastAsia" w:ascii="Times New Roman" w:hAnsi="Times New Roman" w:cs="Times New Roman"/>
          <w:i w:val="0"/>
          <w:iCs w:val="0"/>
          <w:sz w:val="24"/>
          <w:lang w:val="en-US" w:eastAsia="zh-CN"/>
        </w:rPr>
        <w:t xml:space="preserve"> of mice bearing tumor</w:t>
      </w:r>
      <w:r>
        <w:rPr>
          <w:rFonts w:ascii="Times New Roman" w:hAnsi="Times New Roman" w:cs="Times New Roman"/>
          <w:i w:val="0"/>
          <w:iCs w:val="0"/>
          <w:sz w:val="24"/>
        </w:rPr>
        <w:t xml:space="preserve"> (</w:t>
      </w:r>
      <w:r>
        <w:rPr>
          <w:rFonts w:ascii="Times New Roman" w:hAnsi="Times New Roman" w:cs="Times New Roman"/>
          <w:i/>
          <w:iCs/>
          <w:sz w:val="24"/>
        </w:rPr>
        <w:t>n</w:t>
      </w:r>
      <w:r>
        <w:rPr>
          <w:rFonts w:ascii="Times New Roman" w:hAnsi="Times New Roman" w:cs="Times New Roman"/>
          <w:i w:val="0"/>
          <w:iCs w:val="0"/>
          <w:sz w:val="24"/>
        </w:rPr>
        <w:t xml:space="preserve"> = 10).</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46C4AB4F">
      <w:pPr>
        <w:numPr>
          <w:ilvl w:val="0"/>
          <w:numId w:val="15"/>
        </w:numPr>
        <w:spacing w:line="480" w:lineRule="auto"/>
        <w:rPr>
          <w:rFonts w:hint="default" w:ascii="Times New Roman" w:hAnsi="Times New Roman" w:cs="Times New Roman" w:eastAsiaTheme="minorEastAsia"/>
          <w:b w:val="0"/>
          <w:bCs w:val="0"/>
          <w:sz w:val="24"/>
          <w:lang w:val="en-US" w:eastAsia="zh-CN"/>
        </w:rPr>
      </w:pPr>
      <w:r>
        <w:rPr>
          <w:rFonts w:hint="default" w:ascii="Times New Roman" w:hAnsi="Times New Roman" w:cs="Times New Roman" w:eastAsiaTheme="minorEastAsia"/>
          <w:b w:val="0"/>
          <w:bCs w:val="0"/>
          <w:sz w:val="24"/>
          <w:lang w:val="en-US" w:eastAsia="zh-CN"/>
        </w:rPr>
        <w:t>Binding mode of the UGDH</w:t>
      </w:r>
      <w:r>
        <w:rPr>
          <w:rFonts w:hint="eastAsia" w:ascii="Times New Roman" w:hAnsi="Times New Roman" w:cs="Times New Roman"/>
          <w:b w:val="0"/>
          <w:bCs w:val="0"/>
          <w:sz w:val="24"/>
          <w:lang w:val="en-US" w:eastAsia="zh-CN"/>
        </w:rPr>
        <w:t>-</w:t>
      </w:r>
      <w:r>
        <w:rPr>
          <w:rFonts w:hint="default" w:ascii="Times New Roman" w:hAnsi="Times New Roman" w:cs="Times New Roman" w:eastAsiaTheme="minorEastAsia"/>
          <w:b w:val="0"/>
          <w:bCs w:val="0"/>
          <w:sz w:val="24"/>
          <w:lang w:val="en-US" w:eastAsia="zh-CN"/>
        </w:rPr>
        <w:t>VIRMA complex. UGDH is shown in blue and VIRMA in pink. Yellow dashed lines indicate hydrogen bonds, and purple dashed lines indicate salt bridges.</w:t>
      </w:r>
    </w:p>
    <w:p w14:paraId="1E51F302">
      <w:pPr>
        <w:numPr>
          <w:ilvl w:val="0"/>
          <w:numId w:val="15"/>
        </w:numPr>
        <w:spacing w:line="480" w:lineRule="auto"/>
        <w:rPr>
          <w:rFonts w:hint="default" w:ascii="Times New Roman" w:hAnsi="Times New Roman" w:cs="Times New Roman" w:eastAsiaTheme="minorEastAsia"/>
          <w:b w:val="0"/>
          <w:bCs w:val="0"/>
          <w:sz w:val="24"/>
          <w:lang w:val="en-US" w:eastAsia="zh-CN"/>
        </w:rPr>
      </w:pPr>
      <w:r>
        <w:rPr>
          <w:rFonts w:hint="eastAsia" w:ascii="Times New Roman" w:hAnsi="Times New Roman" w:cs="Times New Roman"/>
          <w:b w:val="0"/>
          <w:bCs w:val="0"/>
          <w:sz w:val="24"/>
          <w:lang w:val="en-US" w:eastAsia="zh-CN"/>
        </w:rPr>
        <w:t>Recombinant VIRMA was pretreated with or without UDP</w:t>
      </w:r>
      <w:r>
        <w:rPr>
          <w:rFonts w:hint="eastAsia" w:ascii="Times New Roman" w:hAnsi="Times New Roman" w:cs="Times New Roman"/>
          <w:b w:val="0"/>
          <w:bCs w:val="0"/>
          <w:sz w:val="24"/>
          <w:lang w:val="en-US" w:eastAsia="zh-CN"/>
        </w:rPr>
        <w:noBreakHyphen/>
      </w:r>
      <w:r>
        <w:rPr>
          <w:rFonts w:hint="eastAsia" w:ascii="Times New Roman" w:hAnsi="Times New Roman" w:cs="Times New Roman"/>
          <w:b w:val="0"/>
          <w:bCs w:val="0"/>
          <w:sz w:val="24"/>
          <w:lang w:val="en-US" w:eastAsia="zh-CN"/>
        </w:rPr>
        <w:t>Glc, then mixed with UGDH. Immunoprecipitation (IP) with anti-UGDH followed by WB analyses.</w:t>
      </w:r>
    </w:p>
    <w:p w14:paraId="6D2FDD39">
      <w:pPr>
        <w:rPr>
          <w:rFonts w:ascii="Times New Roman" w:hAnsi="Times New Roman" w:cs="Times New Roman"/>
          <w:b/>
          <w:bCs/>
          <w:sz w:val="24"/>
        </w:rPr>
      </w:pPr>
      <w:r>
        <w:rPr>
          <w:rFonts w:ascii="Times New Roman" w:hAnsi="Times New Roman" w:cs="Times New Roman"/>
          <w:b/>
          <w:bCs/>
          <w:sz w:val="24"/>
        </w:rPr>
        <w:br w:type="page"/>
      </w:r>
    </w:p>
    <w:p w14:paraId="0BAE7434">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17" name="图片 17" descr="Supplementary Figure 16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upplementary Figure 16_画板 1"/>
                    <pic:cNvPicPr>
                      <a:picLocks noChangeAspect="1"/>
                    </pic:cNvPicPr>
                  </pic:nvPicPr>
                  <pic:blipFill>
                    <a:blip r:embed="rId20"/>
                    <a:stretch>
                      <a:fillRect/>
                    </a:stretch>
                  </pic:blipFill>
                  <pic:spPr>
                    <a:xfrm>
                      <a:off x="0" y="0"/>
                      <a:ext cx="5271135" cy="3728085"/>
                    </a:xfrm>
                    <a:prstGeom prst="rect">
                      <a:avLst/>
                    </a:prstGeom>
                  </pic:spPr>
                </pic:pic>
              </a:graphicData>
            </a:graphic>
          </wp:inline>
        </w:drawing>
      </w:r>
    </w:p>
    <w:p w14:paraId="03C5C9AE">
      <w:pPr>
        <w:spacing w:line="480" w:lineRule="auto"/>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6</w:t>
      </w:r>
      <w:r>
        <w:rPr>
          <w:rFonts w:ascii="Times New Roman" w:hAnsi="Times New Roman" w:cs="Times New Roman"/>
          <w:b/>
          <w:bCs/>
          <w:sz w:val="24"/>
        </w:rPr>
        <w:t>. The R524A mutation in VIRMA eliminates UDP-Glc inhibition of VIRMA binding to SOX2.</w:t>
      </w:r>
    </w:p>
    <w:p w14:paraId="0828186F">
      <w:pPr>
        <w:numPr>
          <w:ilvl w:val="0"/>
          <w:numId w:val="16"/>
        </w:numPr>
        <w:spacing w:line="480" w:lineRule="auto"/>
        <w:rPr>
          <w:rFonts w:ascii="Times New Roman" w:hAnsi="Times New Roman" w:cs="Times New Roman"/>
          <w:b/>
          <w:bCs/>
          <w:sz w:val="24"/>
        </w:rPr>
      </w:pPr>
      <w:r>
        <w:rPr>
          <w:rFonts w:ascii="Times New Roman" w:hAnsi="Times New Roman" w:cs="Times New Roman"/>
          <w:sz w:val="24"/>
        </w:rPr>
        <w:t>The recombinant His-VIRMA-WT, His-VIRMA-R524A and His-VIRMA-R522A (5 μg) was incubated with biotin-SOX2 (1 μM) and followed by pull-down assays.</w:t>
      </w:r>
    </w:p>
    <w:p w14:paraId="053E1AD7">
      <w:pPr>
        <w:numPr>
          <w:ilvl w:val="0"/>
          <w:numId w:val="16"/>
        </w:numPr>
        <w:spacing w:line="480" w:lineRule="auto"/>
        <w:rPr>
          <w:rFonts w:ascii="Times New Roman" w:hAnsi="Times New Roman" w:cs="Times New Roman"/>
          <w:b/>
          <w:bCs/>
          <w:sz w:val="24"/>
        </w:rPr>
      </w:pPr>
      <w:r>
        <w:rPr>
          <w:rFonts w:ascii="Times New Roman" w:hAnsi="Times New Roman" w:cs="Times New Roman"/>
          <w:sz w:val="24"/>
        </w:rPr>
        <w:t>The recombinant His-VIRMA-WT and His-VIRMA-R522A (5 μg) was incubated with biotin-SOX2 (1 μM) with or without UDP-Glc. Then followed by pull-down assays.</w:t>
      </w:r>
    </w:p>
    <w:p w14:paraId="3A986CA4">
      <w:pPr>
        <w:numPr>
          <w:ilvl w:val="0"/>
          <w:numId w:val="16"/>
        </w:numPr>
        <w:spacing w:line="480" w:lineRule="auto"/>
        <w:rPr>
          <w:rFonts w:ascii="Times New Roman" w:hAnsi="Times New Roman" w:cs="Times New Roman"/>
          <w:b/>
          <w:bCs/>
          <w:sz w:val="24"/>
        </w:rPr>
      </w:pPr>
      <w:r>
        <w:rPr>
          <w:rFonts w:ascii="Times New Roman" w:hAnsi="Times New Roman" w:cs="Times New Roman"/>
          <w:sz w:val="24"/>
        </w:rPr>
        <w:t>Isothermal titration calorimetry assays were performed with purified recombinant His-VIRMA-R524A (0.1 mM) and UDP-Glc (1 mM) or UDP-GlcUA (1 mM). Kd, dissociation constant.</w:t>
      </w:r>
    </w:p>
    <w:p w14:paraId="048CB4CF">
      <w:pPr>
        <w:numPr>
          <w:ilvl w:val="0"/>
          <w:numId w:val="16"/>
        </w:numPr>
        <w:spacing w:line="480" w:lineRule="auto"/>
        <w:rPr>
          <w:rFonts w:ascii="Times New Roman" w:hAnsi="Times New Roman" w:cs="Times New Roman"/>
          <w:b/>
          <w:bCs/>
          <w:sz w:val="24"/>
        </w:rPr>
      </w:pPr>
      <w:r>
        <w:rPr>
          <w:rFonts w:ascii="Times New Roman" w:hAnsi="Times New Roman" w:cs="Times New Roman"/>
          <w:sz w:val="24"/>
        </w:rPr>
        <w:t xml:space="preserve">The expression of VIRMA </w:t>
      </w:r>
      <w:r>
        <w:rPr>
          <w:rFonts w:hint="eastAsia" w:ascii="Times New Roman" w:hAnsi="Times New Roman" w:cs="Times New Roman"/>
          <w:sz w:val="24"/>
          <w:lang w:val="en-US" w:eastAsia="zh-CN"/>
        </w:rPr>
        <w:t>in ATRX</w:t>
      </w:r>
      <w:r>
        <w:rPr>
          <w:rFonts w:hint="eastAsia" w:ascii="Times New Roman" w:hAnsi="Times New Roman" w:cs="Times New Roman"/>
          <w:sz w:val="24"/>
          <w:vertAlign w:val="superscript"/>
          <w:lang w:val="en-US" w:eastAsia="zh-CN"/>
        </w:rPr>
        <w:t>EV</w:t>
      </w:r>
      <w:r>
        <w:rPr>
          <w:rFonts w:hint="eastAsia" w:ascii="Times New Roman" w:hAnsi="Times New Roman" w:cs="Times New Roman"/>
          <w:sz w:val="24"/>
          <w:lang w:val="en-US" w:eastAsia="zh-CN"/>
        </w:rPr>
        <w:t xml:space="preserve"> and ATRX</w:t>
      </w:r>
      <w:r>
        <w:rPr>
          <w:rFonts w:hint="eastAsia" w:ascii="Times New Roman" w:hAnsi="Times New Roman" w:cs="Times New Roman"/>
          <w:sz w:val="24"/>
          <w:vertAlign w:val="superscript"/>
          <w:lang w:val="en-US" w:eastAsia="zh-CN"/>
        </w:rPr>
        <w:t>KO</w:t>
      </w:r>
      <w:r>
        <w:rPr>
          <w:rFonts w:hint="eastAsia" w:ascii="Times New Roman" w:hAnsi="Times New Roman" w:cs="Times New Roman"/>
          <w:sz w:val="24"/>
          <w:lang w:val="en-US" w:eastAsia="zh-CN"/>
        </w:rPr>
        <w:t xml:space="preserve"> cells, expressing WT or R524A VIRMA, </w:t>
      </w:r>
      <w:r>
        <w:rPr>
          <w:rFonts w:ascii="Times New Roman" w:hAnsi="Times New Roman" w:cs="Times New Roman"/>
          <w:sz w:val="24"/>
        </w:rPr>
        <w:t>w</w:t>
      </w:r>
      <w:r>
        <w:rPr>
          <w:rFonts w:hint="eastAsia" w:ascii="Times New Roman" w:hAnsi="Times New Roman" w:cs="Times New Roman"/>
          <w:sz w:val="24"/>
          <w:lang w:val="en-US" w:eastAsia="zh-CN"/>
        </w:rPr>
        <w:t>ere</w:t>
      </w:r>
      <w:r>
        <w:rPr>
          <w:rFonts w:ascii="Times New Roman" w:hAnsi="Times New Roman" w:cs="Times New Roman"/>
          <w:sz w:val="24"/>
        </w:rPr>
        <w:t xml:space="preserve"> examined by </w:t>
      </w:r>
      <w:r>
        <w:rPr>
          <w:rFonts w:hint="eastAsia" w:ascii="Times New Roman" w:hAnsi="Times New Roman" w:cs="Times New Roman"/>
          <w:sz w:val="24"/>
          <w:lang w:val="en-US" w:eastAsia="zh-CN"/>
        </w:rPr>
        <w:t>WB</w:t>
      </w:r>
      <w:r>
        <w:rPr>
          <w:rFonts w:ascii="Times New Roman" w:hAnsi="Times New Roman" w:cs="Times New Roman"/>
          <w:sz w:val="24"/>
        </w:rPr>
        <w:t xml:space="preserve"> analyses.</w:t>
      </w:r>
    </w:p>
    <w:p w14:paraId="25012BE3">
      <w:pPr>
        <w:numPr>
          <w:ilvl w:val="0"/>
          <w:numId w:val="16"/>
        </w:numPr>
        <w:spacing w:line="480" w:lineRule="auto"/>
        <w:rPr>
          <w:rFonts w:ascii="Times New Roman" w:hAnsi="Times New Roman" w:cs="Times New Roman"/>
          <w:b/>
          <w:bCs/>
          <w:sz w:val="24"/>
        </w:rPr>
      </w:pPr>
      <w:r>
        <w:rPr>
          <w:rFonts w:ascii="Times New Roman" w:hAnsi="Times New Roman" w:cs="Times New Roman"/>
          <w:sz w:val="24"/>
        </w:rPr>
        <w:t>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HG7 SLCs with VIRMA knockdown were rescued by VIRMA-WT or VIRMA-R524A. The Western blot analys</w:t>
      </w:r>
      <w:r>
        <w:rPr>
          <w:rFonts w:hint="eastAsia" w:ascii="Times New Roman" w:hAnsi="Times New Roman" w:cs="Times New Roman"/>
          <w:sz w:val="24"/>
          <w:lang w:val="en-US" w:eastAsia="zh-CN"/>
        </w:rPr>
        <w:t>e</w:t>
      </w:r>
      <w:r>
        <w:rPr>
          <w:rFonts w:ascii="Times New Roman" w:hAnsi="Times New Roman" w:cs="Times New Roman"/>
          <w:sz w:val="24"/>
        </w:rPr>
        <w:t xml:space="preserve">s </w:t>
      </w:r>
      <w:r>
        <w:rPr>
          <w:rFonts w:hint="eastAsia" w:ascii="Times New Roman" w:hAnsi="Times New Roman" w:cs="Times New Roman"/>
          <w:sz w:val="24"/>
          <w:lang w:val="en-US" w:eastAsia="zh-CN"/>
        </w:rPr>
        <w:t xml:space="preserve">were performed to </w:t>
      </w:r>
      <w:r>
        <w:rPr>
          <w:rFonts w:ascii="Times New Roman" w:hAnsi="Times New Roman" w:cs="Times New Roman"/>
          <w:sz w:val="24"/>
        </w:rPr>
        <w:t>confirm the expression of VIRMA and SOX2.</w:t>
      </w:r>
    </w:p>
    <w:p w14:paraId="38FD7044">
      <w:pPr>
        <w:numPr>
          <w:ilvl w:val="0"/>
          <w:numId w:val="16"/>
        </w:numPr>
        <w:spacing w:line="480" w:lineRule="auto"/>
        <w:rPr>
          <w:rFonts w:ascii="Times New Roman" w:hAnsi="Times New Roman" w:cs="Times New Roman"/>
          <w:b/>
          <w:bCs/>
          <w:sz w:val="24"/>
        </w:rPr>
      </w:pPr>
      <w:r>
        <w:rPr>
          <w:rFonts w:ascii="Times New Roman" w:hAnsi="Times New Roman" w:cs="Times New Roman"/>
          <w:sz w:val="24"/>
        </w:rPr>
        <w:t>Pull-down assays were performed by incubating the cell lysates with or without biotin-SOX2</w:t>
      </w:r>
      <w:r>
        <w:rPr>
          <w:rFonts w:hint="eastAsia" w:ascii="Times New Roman" w:hAnsi="Times New Roman" w:cs="Times New Roman"/>
          <w:sz w:val="24"/>
          <w:lang w:val="en-US" w:eastAsia="zh-CN"/>
        </w:rPr>
        <w:t xml:space="preserve"> in ATRX</w:t>
      </w:r>
      <w:r>
        <w:rPr>
          <w:rFonts w:hint="eastAsia" w:ascii="Times New Roman" w:hAnsi="Times New Roman" w:cs="Times New Roman"/>
          <w:sz w:val="24"/>
          <w:vertAlign w:val="superscript"/>
          <w:lang w:val="en-US" w:eastAsia="zh-CN"/>
        </w:rPr>
        <w:t>EV</w:t>
      </w:r>
      <w:r>
        <w:rPr>
          <w:rFonts w:hint="eastAsia" w:ascii="Times New Roman" w:hAnsi="Times New Roman" w:cs="Times New Roman"/>
          <w:sz w:val="24"/>
          <w:lang w:val="en-US" w:eastAsia="zh-CN"/>
        </w:rPr>
        <w:t xml:space="preserve"> or ATRX</w:t>
      </w:r>
      <w:r>
        <w:rPr>
          <w:rFonts w:hint="eastAsia" w:ascii="Times New Roman" w:hAnsi="Times New Roman" w:cs="Times New Roman"/>
          <w:sz w:val="24"/>
          <w:vertAlign w:val="superscript"/>
          <w:lang w:val="en-US" w:eastAsia="zh-CN"/>
        </w:rPr>
        <w:t>KO</w:t>
      </w:r>
      <w:r>
        <w:rPr>
          <w:rFonts w:hint="eastAsia" w:ascii="Times New Roman" w:hAnsi="Times New Roman" w:cs="Times New Roman"/>
          <w:sz w:val="24"/>
          <w:lang w:val="en-US" w:eastAsia="zh-CN"/>
        </w:rPr>
        <w:t xml:space="preserve"> HG7 SLCs expressing WT or R524A VIRMA</w:t>
      </w:r>
      <w:r>
        <w:rPr>
          <w:rFonts w:ascii="Times New Roman" w:hAnsi="Times New Roman" w:cs="Times New Roman"/>
          <w:sz w:val="24"/>
        </w:rPr>
        <w:t>.</w:t>
      </w:r>
      <w:r>
        <w:rPr>
          <w:rFonts w:hint="eastAsia" w:ascii="Times New Roman" w:hAnsi="Times New Roman" w:cs="Times New Roman"/>
          <w:sz w:val="24"/>
          <w:lang w:val="en-US" w:eastAsia="zh-CN"/>
        </w:rPr>
        <w:t xml:space="preserve"> WB analyses are shown.</w:t>
      </w:r>
    </w:p>
    <w:p w14:paraId="49B48C24">
      <w:pPr>
        <w:numPr>
          <w:ilvl w:val="0"/>
          <w:numId w:val="16"/>
        </w:numPr>
        <w:spacing w:line="480" w:lineRule="auto"/>
        <w:rPr>
          <w:rFonts w:ascii="Times New Roman" w:hAnsi="Times New Roman" w:cs="Times New Roman"/>
          <w:b/>
          <w:bCs/>
          <w:sz w:val="24"/>
        </w:rPr>
      </w:pPr>
      <w:r>
        <w:rPr>
          <w:rFonts w:ascii="Times New Roman" w:hAnsi="Times New Roman" w:cs="Times New Roman"/>
          <w:sz w:val="24"/>
        </w:rPr>
        <w:t>ATRX</w:t>
      </w:r>
      <w:r>
        <w:rPr>
          <w:rFonts w:ascii="Times New Roman" w:hAnsi="Times New Roman" w:cs="Times New Roman"/>
          <w:sz w:val="24"/>
          <w:vertAlign w:val="superscript"/>
        </w:rPr>
        <w:t>EV</w:t>
      </w:r>
      <w:r>
        <w:rPr>
          <w:rFonts w:ascii="Times New Roman" w:hAnsi="Times New Roman" w:cs="Times New Roman"/>
          <w:sz w:val="24"/>
        </w:rPr>
        <w:t xml:space="preserve"> and ATRX</w:t>
      </w:r>
      <w:r>
        <w:rPr>
          <w:rFonts w:ascii="Times New Roman" w:hAnsi="Times New Roman" w:cs="Times New Roman"/>
          <w:sz w:val="24"/>
          <w:vertAlign w:val="superscript"/>
        </w:rPr>
        <w:t>KO</w:t>
      </w:r>
      <w:r>
        <w:rPr>
          <w:rFonts w:ascii="Times New Roman" w:hAnsi="Times New Roman" w:cs="Times New Roman"/>
          <w:sz w:val="24"/>
        </w:rPr>
        <w:t xml:space="preserve"> LN229 SLCs with VIRMA knockdown were rescued by VIRMA-WT or VIRMA-R524A. RIP-PCR were performed</w:t>
      </w:r>
      <w:r>
        <w:rPr>
          <w:rFonts w:hint="eastAsia" w:ascii="Times New Roman" w:hAnsi="Times New Roman" w:cs="Times New Roman"/>
          <w:sz w:val="24"/>
          <w:lang w:val="en-US" w:eastAsia="zh-CN"/>
        </w:rPr>
        <w:t xml:space="preserve"> by anti-VIRMA</w:t>
      </w:r>
      <w:r>
        <w:rPr>
          <w:rFonts w:ascii="Times New Roman" w:hAnsi="Times New Roman" w:cs="Times New Roman"/>
          <w:sz w:val="24"/>
        </w:rPr>
        <w:t xml:space="preserve"> to determine the mRNA </w:t>
      </w:r>
      <w:r>
        <w:rPr>
          <w:rFonts w:hint="eastAsia" w:ascii="Times New Roman" w:hAnsi="Times New Roman" w:cs="Times New Roman"/>
          <w:sz w:val="24"/>
          <w:lang w:val="en-US" w:eastAsia="zh-CN"/>
        </w:rPr>
        <w:t>enrichment levels</w:t>
      </w:r>
      <w:r>
        <w:rPr>
          <w:rFonts w:ascii="Times New Roman" w:hAnsi="Times New Roman" w:cs="Times New Roman"/>
          <w:sz w:val="24"/>
        </w:rPr>
        <w:t xml:space="preserve"> of GFAP, NES, OCT4, CD133 and OLIG2</w:t>
      </w:r>
      <w:r>
        <w:rPr>
          <w:rFonts w:hint="eastAsia" w:ascii="Times New Roman" w:hAnsi="Times New Roman" w:cs="Times New Roman"/>
          <w:sz w:val="24"/>
          <w:lang w:val="en-US" w:eastAsia="zh-CN"/>
        </w:rPr>
        <w:t xml:space="preserve"> (</w:t>
      </w:r>
      <w:r>
        <w:rPr>
          <w:rFonts w:hint="eastAsia" w:ascii="Times New Roman" w:hAnsi="Times New Roman" w:cs="Times New Roman"/>
          <w:i/>
          <w:iCs/>
          <w:sz w:val="24"/>
          <w:lang w:val="en-US" w:eastAsia="zh-CN"/>
        </w:rPr>
        <w:t>n</w:t>
      </w:r>
      <w:r>
        <w:rPr>
          <w:rFonts w:hint="eastAsia" w:ascii="Times New Roman" w:hAnsi="Times New Roman" w:cs="Times New Roman"/>
          <w:sz w:val="24"/>
          <w:lang w:val="en-US" w:eastAsia="zh-CN"/>
        </w:rPr>
        <w:t xml:space="preserve"> = 3)</w:t>
      </w:r>
      <w:r>
        <w:rPr>
          <w:rFonts w:ascii="Times New Roman" w:hAnsi="Times New Roman" w:cs="Times New Roman"/>
          <w:sz w:val="24"/>
        </w:rPr>
        <w:t xml:space="preserve">. </w:t>
      </w:r>
      <w:r>
        <w:rPr>
          <w:rFonts w:hint="eastAsia" w:ascii="Times New Roman" w:hAnsi="Times New Roman" w:cs="Times New Roman"/>
          <w:i w:val="0"/>
          <w:iCs w:val="0"/>
          <w:sz w:val="24"/>
        </w:rPr>
        <w:t>Data are presented as the mean ± S.D.</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2E711AEB">
      <w:pPr>
        <w:spacing w:line="480" w:lineRule="auto"/>
        <w:rPr>
          <w:rFonts w:ascii="Times New Roman" w:hAnsi="Times New Roman" w:cs="Times New Roman"/>
          <w:b/>
          <w:bCs/>
          <w:sz w:val="24"/>
        </w:rPr>
      </w:pPr>
      <w:r>
        <w:rPr>
          <w:rFonts w:ascii="Times New Roman" w:hAnsi="Times New Roman" w:cs="Times New Roman"/>
          <w:b/>
          <w:bCs/>
          <w:sz w:val="24"/>
        </w:rPr>
        <w:br w:type="page"/>
      </w:r>
    </w:p>
    <w:p w14:paraId="79D72E62">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20" name="图片 20" descr="Supplementary Figure 17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upplementary Figure 17_画板 1"/>
                    <pic:cNvPicPr>
                      <a:picLocks noChangeAspect="1"/>
                    </pic:cNvPicPr>
                  </pic:nvPicPr>
                  <pic:blipFill>
                    <a:blip r:embed="rId21"/>
                    <a:stretch>
                      <a:fillRect/>
                    </a:stretch>
                  </pic:blipFill>
                  <pic:spPr>
                    <a:xfrm>
                      <a:off x="0" y="0"/>
                      <a:ext cx="5271135" cy="3728085"/>
                    </a:xfrm>
                    <a:prstGeom prst="rect">
                      <a:avLst/>
                    </a:prstGeom>
                  </pic:spPr>
                </pic:pic>
              </a:graphicData>
            </a:graphic>
          </wp:inline>
        </w:drawing>
      </w:r>
    </w:p>
    <w:p w14:paraId="19EE1C1E">
      <w:pPr>
        <w:spacing w:line="480" w:lineRule="auto"/>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7</w:t>
      </w:r>
      <w:r>
        <w:rPr>
          <w:rFonts w:ascii="Times New Roman" w:hAnsi="Times New Roman" w:cs="Times New Roman"/>
          <w:b/>
          <w:bCs/>
          <w:sz w:val="24"/>
        </w:rPr>
        <w:t>. The R524A mutation in VIRMA relieves UDP</w:t>
      </w:r>
      <w:r>
        <w:rPr>
          <w:rFonts w:hint="eastAsia" w:ascii="Times New Roman" w:hAnsi="Times New Roman" w:cs="Times New Roman"/>
          <w:b/>
          <w:bCs/>
          <w:sz w:val="24"/>
          <w:lang w:val="en-US" w:eastAsia="zh-CN"/>
        </w:rPr>
        <w:t>-</w:t>
      </w:r>
      <w:r>
        <w:rPr>
          <w:rFonts w:ascii="Times New Roman" w:hAnsi="Times New Roman" w:cs="Times New Roman"/>
          <w:b/>
          <w:bCs/>
          <w:sz w:val="24"/>
        </w:rPr>
        <w:t>Glc suppression of SOX2 m</w:t>
      </w:r>
      <w:r>
        <w:rPr>
          <w:rFonts w:hint="eastAsia" w:ascii="Times New Roman" w:hAnsi="Times New Roman" w:cs="Times New Roman"/>
          <w:b/>
          <w:bCs/>
          <w:sz w:val="24"/>
          <w:vertAlign w:val="superscript"/>
          <w:lang w:val="en-US" w:eastAsia="zh-CN"/>
        </w:rPr>
        <w:t>6</w:t>
      </w:r>
      <w:r>
        <w:rPr>
          <w:rFonts w:ascii="Times New Roman" w:hAnsi="Times New Roman" w:cs="Times New Roman"/>
          <w:b/>
          <w:bCs/>
          <w:sz w:val="24"/>
        </w:rPr>
        <w:t>A modification and enhances tumor sphere formation.</w:t>
      </w:r>
    </w:p>
    <w:p w14:paraId="4F1B5A30">
      <w:pPr>
        <w:numPr>
          <w:ilvl w:val="0"/>
          <w:numId w:val="17"/>
        </w:numPr>
        <w:spacing w:line="480" w:lineRule="auto"/>
        <w:rPr>
          <w:rFonts w:ascii="Times New Roman" w:hAnsi="Times New Roman" w:cs="Times New Roman"/>
          <w:sz w:val="24"/>
        </w:rPr>
      </w:pPr>
      <w:r>
        <w:rPr>
          <w:rFonts w:ascii="Times New Roman" w:hAnsi="Times New Roman" w:cs="Times New Roman"/>
          <w:sz w:val="24"/>
        </w:rPr>
        <w:t>ATRX</w:t>
      </w:r>
      <w:r>
        <w:rPr>
          <w:rFonts w:ascii="Times New Roman" w:hAnsi="Times New Roman" w:cs="Times New Roman"/>
          <w:sz w:val="24"/>
          <w:vertAlign w:val="superscript"/>
        </w:rPr>
        <w:t>EV</w:t>
      </w:r>
      <w:r>
        <w:rPr>
          <w:rFonts w:ascii="Times New Roman" w:hAnsi="Times New Roman" w:cs="Times New Roman"/>
          <w:sz w:val="24"/>
        </w:rPr>
        <w:t>/ATRX</w:t>
      </w:r>
      <w:r>
        <w:rPr>
          <w:rFonts w:ascii="Times New Roman" w:hAnsi="Times New Roman" w:cs="Times New Roman"/>
          <w:sz w:val="24"/>
          <w:vertAlign w:val="superscript"/>
        </w:rPr>
        <w:t>KO</w:t>
      </w:r>
      <w:r>
        <w:rPr>
          <w:rFonts w:ascii="Times New Roman" w:hAnsi="Times New Roman" w:cs="Times New Roman"/>
          <w:sz w:val="24"/>
        </w:rPr>
        <w:t xml:space="preserve"> LN229 SLCs with VIRMA knockdown were rescued by VIRMA-WT or VIRMA-R524A. RIP-PCR were performed to determine the mRNA </w:t>
      </w:r>
      <w:r>
        <w:rPr>
          <w:rFonts w:hint="eastAsia" w:ascii="Times New Roman" w:hAnsi="Times New Roman" w:cs="Times New Roman"/>
          <w:sz w:val="24"/>
          <w:lang w:val="en-US" w:eastAsia="zh-CN"/>
        </w:rPr>
        <w:t xml:space="preserve">enrichment </w:t>
      </w:r>
      <w:r>
        <w:rPr>
          <w:rFonts w:ascii="Times New Roman" w:hAnsi="Times New Roman" w:cs="Times New Roman"/>
          <w:sz w:val="24"/>
        </w:rPr>
        <w:t>levels of SOX2, GFAP, NES, OCT4, CD133 and OLIG2</w:t>
      </w:r>
      <w:r>
        <w:rPr>
          <w:rFonts w:hint="eastAsia" w:ascii="Times New Roman" w:hAnsi="Times New Roman" w:cs="Times New Roman"/>
          <w:sz w:val="24"/>
          <w:lang w:val="en-US" w:eastAsia="zh-CN"/>
        </w:rPr>
        <w:t xml:space="preserve"> (</w:t>
      </w:r>
      <w:r>
        <w:rPr>
          <w:rFonts w:hint="eastAsia" w:ascii="Times New Roman" w:hAnsi="Times New Roman" w:cs="Times New Roman"/>
          <w:i/>
          <w:iCs/>
          <w:sz w:val="24"/>
          <w:lang w:val="en-US" w:eastAsia="zh-CN"/>
        </w:rPr>
        <w:t>n</w:t>
      </w:r>
      <w:r>
        <w:rPr>
          <w:rFonts w:hint="eastAsia" w:ascii="Times New Roman" w:hAnsi="Times New Roman" w:cs="Times New Roman"/>
          <w:sz w:val="24"/>
          <w:lang w:val="en-US" w:eastAsia="zh-CN"/>
        </w:rPr>
        <w:t xml:space="preserve"> = 3)</w:t>
      </w: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675FD58D">
      <w:pPr>
        <w:numPr>
          <w:ilvl w:val="0"/>
          <w:numId w:val="17"/>
        </w:numPr>
        <w:spacing w:line="480" w:lineRule="auto"/>
        <w:rPr>
          <w:rFonts w:ascii="Times New Roman" w:hAnsi="Times New Roman" w:cs="Times New Roman"/>
          <w:sz w:val="24"/>
        </w:rPr>
      </w:pPr>
      <w:r>
        <w:rPr>
          <w:rFonts w:hint="eastAsia" w:ascii="Times New Roman" w:hAnsi="Times New Roman" w:cs="Times New Roman"/>
          <w:sz w:val="24"/>
          <w:lang w:val="en-US" w:eastAsia="zh-CN"/>
        </w:rPr>
        <w:t xml:space="preserve">LN229 and </w:t>
      </w:r>
      <w:r>
        <w:rPr>
          <w:rFonts w:ascii="Times New Roman" w:hAnsi="Times New Roman" w:cs="Times New Roman"/>
          <w:sz w:val="24"/>
        </w:rPr>
        <w:t>HG7 ATRX</w:t>
      </w:r>
      <w:r>
        <w:rPr>
          <w:rFonts w:ascii="Times New Roman" w:hAnsi="Times New Roman" w:cs="Times New Roman"/>
          <w:sz w:val="24"/>
          <w:vertAlign w:val="superscript"/>
        </w:rPr>
        <w:t>EV</w:t>
      </w:r>
      <w:r>
        <w:rPr>
          <w:rFonts w:ascii="Times New Roman" w:hAnsi="Times New Roman" w:cs="Times New Roman"/>
          <w:sz w:val="24"/>
        </w:rPr>
        <w:t xml:space="preserve"> or ATRX</w:t>
      </w:r>
      <w:r>
        <w:rPr>
          <w:rFonts w:ascii="Times New Roman" w:hAnsi="Times New Roman" w:cs="Times New Roman"/>
          <w:sz w:val="24"/>
          <w:vertAlign w:val="superscript"/>
        </w:rPr>
        <w:t>KO</w:t>
      </w:r>
      <w:r>
        <w:rPr>
          <w:rFonts w:ascii="Times New Roman" w:hAnsi="Times New Roman" w:cs="Times New Roman"/>
          <w:sz w:val="24"/>
        </w:rPr>
        <w:t xml:space="preserve"> SLCs rescued by wild-type or mutant VIRMA were treated with actinomycin D (1 μg/mL). The remaining SOX2 mRNA were examined by qRT-PCR at indicated time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Data are presented as the mean ± S.D.</w:t>
      </w:r>
      <w:r>
        <w:rPr>
          <w:rFonts w:hint="eastAsia" w:ascii="Times New Roman" w:hAnsi="Times New Roman" w:cs="Times New Roman"/>
          <w:i/>
          <w:iCs/>
          <w:sz w:val="24"/>
          <w:lang w:val="en-US" w:eastAsia="zh-CN"/>
        </w:rPr>
        <w:t xml:space="preserve"> 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62907490">
      <w:pPr>
        <w:numPr>
          <w:ilvl w:val="0"/>
          <w:numId w:val="17"/>
        </w:numPr>
        <w:spacing w:line="480" w:lineRule="auto"/>
        <w:rPr>
          <w:rFonts w:ascii="Times New Roman" w:hAnsi="Times New Roman" w:cs="Times New Roman"/>
          <w:sz w:val="24"/>
        </w:rPr>
      </w:pPr>
      <w:r>
        <w:rPr>
          <w:rFonts w:hint="eastAsia" w:ascii="Times New Roman" w:hAnsi="Times New Roman" w:cs="Times New Roman"/>
          <w:sz w:val="24"/>
          <w:lang w:val="en-US" w:eastAsia="zh-CN"/>
        </w:rPr>
        <w:t xml:space="preserve">Left: </w:t>
      </w:r>
      <w:r>
        <w:rPr>
          <w:rFonts w:ascii="Times New Roman" w:hAnsi="Times New Roman" w:cs="Times New Roman"/>
          <w:sz w:val="24"/>
        </w:rPr>
        <w:t>Sphere formation assays were performed using HG7 ATRX</w:t>
      </w:r>
      <w:r>
        <w:rPr>
          <w:rFonts w:ascii="Times New Roman" w:hAnsi="Times New Roman" w:cs="Times New Roman"/>
          <w:sz w:val="24"/>
          <w:vertAlign w:val="superscript"/>
        </w:rPr>
        <w:t>EV</w:t>
      </w:r>
      <w:r>
        <w:rPr>
          <w:rFonts w:ascii="Times New Roman" w:hAnsi="Times New Roman" w:cs="Times New Roman"/>
          <w:sz w:val="24"/>
        </w:rPr>
        <w:t xml:space="preserve"> or ATRX</w:t>
      </w:r>
      <w:r>
        <w:rPr>
          <w:rFonts w:ascii="Times New Roman" w:hAnsi="Times New Roman" w:cs="Times New Roman"/>
          <w:sz w:val="24"/>
          <w:vertAlign w:val="superscript"/>
        </w:rPr>
        <w:t>KO</w:t>
      </w:r>
      <w:r>
        <w:rPr>
          <w:rFonts w:ascii="Times New Roman" w:hAnsi="Times New Roman" w:cs="Times New Roman"/>
          <w:sz w:val="24"/>
        </w:rPr>
        <w:t xml:space="preserve"> rescued with either wild-type or mutant VIRMA. </w:t>
      </w:r>
      <w:r>
        <w:rPr>
          <w:rFonts w:ascii="Times New Roman" w:hAnsi="Times New Roman" w:cs="Times New Roman"/>
          <w:i w:val="0"/>
          <w:iCs w:val="0"/>
          <w:sz w:val="24"/>
        </w:rPr>
        <w:t>Images are representative of three independent experiments.</w:t>
      </w:r>
      <w:r>
        <w:rPr>
          <w:rFonts w:hint="eastAsia" w:ascii="Times New Roman" w:hAnsi="Times New Roman" w:cs="Times New Roman"/>
          <w:i w:val="0"/>
          <w:iCs w:val="0"/>
          <w:sz w:val="24"/>
          <w:lang w:val="en-US" w:eastAsia="zh-CN"/>
        </w:rPr>
        <w:t xml:space="preserve"> </w:t>
      </w:r>
      <w:r>
        <w:rPr>
          <w:rFonts w:ascii="Times New Roman" w:hAnsi="Times New Roman" w:cs="Times New Roman"/>
          <w:i w:val="0"/>
          <w:iCs w:val="0"/>
          <w:sz w:val="24"/>
        </w:rPr>
        <w:t>Scale bar, 200 μm.</w:t>
      </w:r>
      <w:r>
        <w:rPr>
          <w:rFonts w:hint="eastAsia" w:ascii="Times New Roman" w:hAnsi="Times New Roman" w:cs="Times New Roman"/>
          <w:i w:val="0"/>
          <w:iCs w:val="0"/>
          <w:sz w:val="24"/>
          <w:lang w:val="en-US" w:eastAsia="zh-CN"/>
        </w:rPr>
        <w:t xml:space="preserve"> Right: </w:t>
      </w:r>
      <w:r>
        <w:rPr>
          <w:rFonts w:ascii="Times New Roman" w:hAnsi="Times New Roman" w:cs="Times New Roman"/>
          <w:i w:val="0"/>
          <w:iCs w:val="0"/>
          <w:sz w:val="24"/>
        </w:rPr>
        <w:t>Relative number of sphere formation are shown in histogram.</w:t>
      </w:r>
      <w:r>
        <w:rPr>
          <w:rFonts w:hint="eastAsia" w:ascii="Times New Roman" w:hAnsi="Times New Roman" w:cs="Times New Roman"/>
          <w:i w:val="0"/>
          <w:iCs w:val="0"/>
          <w:sz w:val="24"/>
          <w:lang w:val="en-US" w:eastAsia="zh-CN"/>
        </w:rPr>
        <w:t xml:space="preserve"> </w:t>
      </w:r>
      <w:r>
        <w:rPr>
          <w:rFonts w:ascii="Times New Roman" w:hAnsi="Times New Roman" w:cs="Times New Roman"/>
          <w:sz w:val="24"/>
        </w:rPr>
        <w:t>Tumor spheres with diameters &gt; 50 μm were counted (</w:t>
      </w:r>
      <w:r>
        <w:rPr>
          <w:rFonts w:ascii="Times New Roman" w:hAnsi="Times New Roman" w:cs="Times New Roman"/>
          <w:i/>
          <w:iCs/>
          <w:sz w:val="24"/>
        </w:rPr>
        <w:t>n</w:t>
      </w:r>
      <w:r>
        <w:rPr>
          <w:rFonts w:ascii="Times New Roman" w:hAnsi="Times New Roman" w:cs="Times New Roman"/>
          <w:sz w:val="24"/>
        </w:rPr>
        <w:t xml:space="preserve"> = 3). </w:t>
      </w:r>
      <w:r>
        <w:rPr>
          <w:rFonts w:hint="eastAsia" w:ascii="Times New Roman" w:hAnsi="Times New Roman" w:cs="Times New Roman"/>
          <w:sz w:val="24"/>
          <w:lang w:val="en-US" w:eastAsia="zh-CN"/>
        </w:rPr>
        <w:t xml:space="preserve">Data are presented as the mean ± S.D.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5AD49932">
      <w:pPr>
        <w:numPr>
          <w:ilvl w:val="0"/>
          <w:numId w:val="17"/>
        </w:numPr>
        <w:spacing w:line="480" w:lineRule="auto"/>
        <w:rPr>
          <w:rFonts w:ascii="Times New Roman" w:hAnsi="Times New Roman" w:cs="Times New Roman"/>
          <w:sz w:val="24"/>
        </w:rPr>
      </w:pPr>
      <w:r>
        <w:rPr>
          <w:rFonts w:ascii="Times New Roman" w:hAnsi="Times New Roman" w:cs="Times New Roman"/>
          <w:sz w:val="24"/>
        </w:rPr>
        <w:t>Quantification of bioluminescent imaging signal intensities</w:t>
      </w:r>
      <w:r>
        <w:rPr>
          <w:rFonts w:hint="eastAsia" w:ascii="Times New Roman" w:hAnsi="Times New Roman" w:cs="Times New Roman"/>
          <w:sz w:val="24"/>
          <w:lang w:val="en-US" w:eastAsia="zh-CN"/>
        </w:rPr>
        <w:t xml:space="preserve"> of mice bearing tumor</w:t>
      </w:r>
      <w:r>
        <w:rPr>
          <w:rFonts w:ascii="Times New Roman" w:hAnsi="Times New Roman" w:cs="Times New Roman"/>
          <w:sz w:val="24"/>
        </w:rPr>
        <w:t xml:space="preserve"> (</w:t>
      </w:r>
      <w:r>
        <w:rPr>
          <w:rFonts w:ascii="Times New Roman" w:hAnsi="Times New Roman" w:cs="Times New Roman"/>
          <w:i/>
          <w:iCs/>
          <w:sz w:val="24"/>
        </w:rPr>
        <w:t>n</w:t>
      </w:r>
      <w:r>
        <w:rPr>
          <w:rFonts w:ascii="Times New Roman" w:hAnsi="Times New Roman" w:cs="Times New Roman"/>
          <w:sz w:val="24"/>
        </w:rPr>
        <w:t xml:space="preserve"> = 10).</w:t>
      </w:r>
      <w:r>
        <w:rPr>
          <w:rFonts w:hint="eastAsia" w:ascii="Times New Roman" w:hAnsi="Times New Roman" w:cs="Times New Roman"/>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sz w:val="24"/>
          <w:lang w:val="en-US" w:eastAsia="zh-CN"/>
        </w:rPr>
        <w:t xml:space="preserve"> value was determined by </w:t>
      </w:r>
      <w:r>
        <w:rPr>
          <w:rFonts w:hint="eastAsia" w:ascii="Times New Roman" w:hAnsi="Times New Roman" w:cs="Times New Roman"/>
          <w:i w:val="0"/>
          <w:iCs w:val="0"/>
          <w:sz w:val="24"/>
          <w:lang w:val="en-US" w:eastAsia="zh-CN"/>
        </w:rPr>
        <w:t>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r>
        <w:rPr>
          <w:rFonts w:hint="eastAsia" w:ascii="Times New Roman" w:hAnsi="Times New Roman" w:cs="Times New Roman"/>
          <w:sz w:val="24"/>
          <w:lang w:val="en-US" w:eastAsia="zh-CN"/>
        </w:rPr>
        <w:t>.</w:t>
      </w:r>
    </w:p>
    <w:p w14:paraId="2905E7AF">
      <w:pPr>
        <w:numPr>
          <w:ilvl w:val="0"/>
          <w:numId w:val="17"/>
        </w:numPr>
        <w:spacing w:line="480" w:lineRule="auto"/>
        <w:rPr>
          <w:rFonts w:ascii="Times New Roman" w:hAnsi="Times New Roman" w:cs="Times New Roman"/>
          <w:sz w:val="24"/>
        </w:rPr>
      </w:pPr>
      <w:r>
        <w:rPr>
          <w:rFonts w:ascii="Times New Roman" w:hAnsi="Times New Roman" w:cs="Times New Roman"/>
          <w:sz w:val="24"/>
        </w:rPr>
        <w:t>Kaplan-Meier survival curves were generated for mice bearing tumors (</w:t>
      </w:r>
      <w:r>
        <w:rPr>
          <w:rFonts w:ascii="Times New Roman" w:hAnsi="Times New Roman" w:cs="Times New Roman"/>
          <w:i/>
          <w:iCs/>
          <w:sz w:val="24"/>
        </w:rPr>
        <w:t>n</w:t>
      </w:r>
      <w:r>
        <w:rPr>
          <w:rFonts w:ascii="Times New Roman" w:hAnsi="Times New Roman" w:cs="Times New Roman"/>
          <w:sz w:val="24"/>
        </w:rPr>
        <w:t xml:space="preserve"> = 10 mice). </w:t>
      </w:r>
      <w:r>
        <w:rPr>
          <w:rFonts w:ascii="Times New Roman" w:hAnsi="Times New Roman" w:cs="Times New Roman"/>
          <w:i/>
          <w:iCs/>
          <w:sz w:val="24"/>
        </w:rPr>
        <w:t>P</w:t>
      </w:r>
      <w:r>
        <w:rPr>
          <w:rFonts w:ascii="Times New Roman" w:hAnsi="Times New Roman" w:cs="Times New Roman"/>
          <w:sz w:val="24"/>
        </w:rPr>
        <w:t xml:space="preserve"> value was determined by Log-rank test.</w:t>
      </w:r>
    </w:p>
    <w:p w14:paraId="6295FA37">
      <w:pPr>
        <w:rPr>
          <w:rFonts w:ascii="Times New Roman" w:hAnsi="Times New Roman" w:cs="Times New Roman"/>
          <w:b/>
          <w:bCs/>
          <w:sz w:val="24"/>
        </w:rPr>
      </w:pPr>
      <w:r>
        <w:rPr>
          <w:rFonts w:ascii="Times New Roman" w:hAnsi="Times New Roman" w:cs="Times New Roman"/>
          <w:b/>
          <w:bCs/>
          <w:sz w:val="24"/>
        </w:rPr>
        <w:br w:type="page"/>
      </w:r>
    </w:p>
    <w:p w14:paraId="5428C28F">
      <w:pPr>
        <w:spacing w:line="480" w:lineRule="auto"/>
        <w:rPr>
          <w:rFonts w:hint="eastAsia" w:ascii="Times New Roman" w:hAnsi="Times New Roman" w:cs="Times New Roman" w:eastAsiaTheme="minorEastAsia"/>
          <w:b/>
          <w:bCs/>
          <w:sz w:val="24"/>
          <w:lang w:eastAsia="zh-CN"/>
        </w:rPr>
      </w:pPr>
      <w:r>
        <w:rPr>
          <w:rFonts w:hint="eastAsia" w:ascii="Times New Roman" w:hAnsi="Times New Roman" w:cs="Times New Roman" w:eastAsiaTheme="minorEastAsia"/>
          <w:b/>
          <w:bCs/>
          <w:sz w:val="24"/>
          <w:lang w:eastAsia="zh-CN"/>
        </w:rPr>
        <w:drawing>
          <wp:inline distT="0" distB="0" distL="114300" distR="114300">
            <wp:extent cx="5271135" cy="3728085"/>
            <wp:effectExtent l="0" t="0" r="12065" b="5715"/>
            <wp:docPr id="21" name="图片 21" descr="Supplementary Figure 18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Supplementary Figure 18_画板 1"/>
                    <pic:cNvPicPr>
                      <a:picLocks noChangeAspect="1"/>
                    </pic:cNvPicPr>
                  </pic:nvPicPr>
                  <pic:blipFill>
                    <a:blip r:embed="rId22"/>
                    <a:stretch>
                      <a:fillRect/>
                    </a:stretch>
                  </pic:blipFill>
                  <pic:spPr>
                    <a:xfrm>
                      <a:off x="0" y="0"/>
                      <a:ext cx="5271135" cy="3728085"/>
                    </a:xfrm>
                    <a:prstGeom prst="rect">
                      <a:avLst/>
                    </a:prstGeom>
                  </pic:spPr>
                </pic:pic>
              </a:graphicData>
            </a:graphic>
          </wp:inline>
        </w:drawing>
      </w:r>
    </w:p>
    <w:p w14:paraId="2241D513">
      <w:pPr>
        <w:spacing w:line="480" w:lineRule="auto"/>
        <w:rPr>
          <w:rFonts w:hint="eastAsia" w:ascii="Times New Roman" w:hAnsi="Times New Roman" w:cs="Times New Roman" w:eastAsiaTheme="minorEastAsia"/>
          <w:b/>
          <w:bCs/>
          <w:sz w:val="24"/>
          <w:lang w:val="en-US" w:eastAsia="zh-CN"/>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8</w:t>
      </w:r>
      <w:r>
        <w:rPr>
          <w:rFonts w:ascii="Times New Roman" w:hAnsi="Times New Roman" w:cs="Times New Roman"/>
          <w:b/>
          <w:bCs/>
          <w:sz w:val="24"/>
        </w:rPr>
        <w:t>. Molecular dynamics simulation reveals stable binding of HY</w:t>
      </w:r>
      <w:r>
        <w:rPr>
          <w:rFonts w:hint="eastAsia" w:ascii="Times New Roman" w:hAnsi="Times New Roman" w:cs="Times New Roman"/>
          <w:b/>
          <w:bCs/>
          <w:sz w:val="24"/>
          <w:lang w:val="en-US" w:eastAsia="zh-CN"/>
        </w:rPr>
        <w:t>-</w:t>
      </w:r>
      <w:r>
        <w:rPr>
          <w:rFonts w:ascii="Times New Roman" w:hAnsi="Times New Roman" w:cs="Times New Roman"/>
          <w:b/>
          <w:bCs/>
          <w:sz w:val="24"/>
        </w:rPr>
        <w:t>155534 to UGDH</w:t>
      </w:r>
      <w:r>
        <w:rPr>
          <w:rFonts w:hint="eastAsia" w:ascii="Times New Roman" w:hAnsi="Times New Roman" w:cs="Times New Roman"/>
          <w:b/>
          <w:bCs/>
          <w:sz w:val="24"/>
          <w:lang w:val="en-US" w:eastAsia="zh-CN"/>
        </w:rPr>
        <w:t>.</w:t>
      </w:r>
    </w:p>
    <w:p w14:paraId="49EBC6FE">
      <w:pPr>
        <w:numPr>
          <w:ilvl w:val="0"/>
          <w:numId w:val="18"/>
        </w:numPr>
        <w:spacing w:line="480" w:lineRule="auto"/>
        <w:rPr>
          <w:rFonts w:hint="eastAsia" w:ascii="Times New Roman" w:hAnsi="Times New Roman" w:cs="Times New Roman"/>
          <w:sz w:val="24"/>
          <w:lang w:val="en-US" w:eastAsia="zh-CN"/>
        </w:rPr>
      </w:pPr>
      <w:r>
        <w:rPr>
          <w:rFonts w:ascii="Times New Roman" w:hAnsi="Times New Roman" w:cs="Times New Roman"/>
          <w:sz w:val="24"/>
        </w:rPr>
        <w:t>Chemical structure of HY</w:t>
      </w:r>
      <w:r>
        <w:rPr>
          <w:rFonts w:hint="eastAsia" w:ascii="Times New Roman" w:hAnsi="Times New Roman" w:cs="Times New Roman"/>
          <w:sz w:val="24"/>
          <w:lang w:val="en-US" w:eastAsia="zh-CN"/>
        </w:rPr>
        <w:t>-</w:t>
      </w:r>
      <w:r>
        <w:rPr>
          <w:rFonts w:ascii="Times New Roman" w:hAnsi="Times New Roman" w:cs="Times New Roman"/>
          <w:sz w:val="24"/>
        </w:rPr>
        <w:t>155534.</w:t>
      </w:r>
    </w:p>
    <w:p w14:paraId="3163E260">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Two</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dimensional interaction diagram of HY</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155534 with key residues of UGDH.</w:t>
      </w:r>
    </w:p>
    <w:p w14:paraId="43B3F35F">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RMSD trajectories of the protein, ligand, and complex during the 100 ns MD simulation.</w:t>
      </w:r>
    </w:p>
    <w:p w14:paraId="5203D4AB">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Root Mean Square Fluctuation (RMSF) distribution of protein backbone residues during the 100 ns molecular dynamics (MD) simulation.</w:t>
      </w:r>
    </w:p>
    <w:p w14:paraId="1264C902">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Solvent Accessible Surface Area (SASA) of the complex over the 100 ns MD simulation.</w:t>
      </w:r>
    </w:p>
    <w:p w14:paraId="47AFE484">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Number of hydrogen bonds formed between the protein and ligand during the 100 ns MD simulation.</w:t>
      </w:r>
    </w:p>
    <w:p w14:paraId="0394DC8C">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Per</w:t>
      </w:r>
      <w:r>
        <w:rPr>
          <w:rFonts w:hint="eastAsia" w:ascii="Times New Roman" w:hAnsi="Times New Roman" w:cs="Times New Roman"/>
          <w:sz w:val="24"/>
          <w:lang w:val="en-US" w:eastAsia="zh-CN"/>
        </w:rPr>
        <w:noBreakHyphen/>
      </w:r>
      <w:r>
        <w:rPr>
          <w:rFonts w:hint="eastAsia" w:ascii="Times New Roman" w:hAnsi="Times New Roman" w:cs="Times New Roman"/>
          <w:sz w:val="24"/>
          <w:lang w:val="en-US" w:eastAsia="zh-CN"/>
        </w:rPr>
        <w:t>residue binding free energy decomposition analysis of key amino acids in the UGDH-HY-155534 complex. Binding free energy contributions of individual residues were calculated using MM-GBSA method.</w:t>
      </w:r>
    </w:p>
    <w:p w14:paraId="5055024E">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Two-dimensional free energy landscape of the UGDH-HY-155534 complex as a function of RMSD and Rog. The color bar represents the Gibbs free energy (kJ/mol), with blue/dark blue indicating low-energy regions.</w:t>
      </w:r>
    </w:p>
    <w:p w14:paraId="3236560E">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Electrostatic potential surface of the UGDH protein. The molecular surface is colored according to the electrostatic potential, with red representing negative potential, blue representing positive potential, and white representing neutral regions. The ligand is indicated by stick.</w:t>
      </w:r>
    </w:p>
    <w:p w14:paraId="6E5F128E">
      <w:pPr>
        <w:numPr>
          <w:ilvl w:val="0"/>
          <w:numId w:val="18"/>
        </w:numPr>
        <w:spacing w:line="480" w:lineRule="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Superimposed conformations of the UGDH-HY-155534 complex at 0, 50 and 100 ns of the MD simulation. UGDH is shown in light-purple carton and HY-155534 is shown in stick.</w:t>
      </w:r>
    </w:p>
    <w:p w14:paraId="6E3CEF53">
      <w:pPr>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br w:type="page"/>
      </w:r>
    </w:p>
    <w:p w14:paraId="3E9678B1">
      <w:pPr>
        <w:widowControl/>
        <w:spacing w:line="480" w:lineRule="auto"/>
        <w:jc w:val="left"/>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drawing>
          <wp:inline distT="0" distB="0" distL="114300" distR="114300">
            <wp:extent cx="5271135" cy="3728085"/>
            <wp:effectExtent l="0" t="0" r="12065" b="5715"/>
            <wp:docPr id="24" name="图片 24" descr="Supplementary Figure 19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upplementary Figure 19_画板 1"/>
                    <pic:cNvPicPr>
                      <a:picLocks noChangeAspect="1"/>
                    </pic:cNvPicPr>
                  </pic:nvPicPr>
                  <pic:blipFill>
                    <a:blip r:embed="rId23"/>
                    <a:stretch>
                      <a:fillRect/>
                    </a:stretch>
                  </pic:blipFill>
                  <pic:spPr>
                    <a:xfrm>
                      <a:off x="0" y="0"/>
                      <a:ext cx="5271135" cy="3728085"/>
                    </a:xfrm>
                    <a:prstGeom prst="rect">
                      <a:avLst/>
                    </a:prstGeom>
                  </pic:spPr>
                </pic:pic>
              </a:graphicData>
            </a:graphic>
          </wp:inline>
        </w:drawing>
      </w:r>
    </w:p>
    <w:p w14:paraId="443E7C98">
      <w:pPr>
        <w:widowControl/>
        <w:spacing w:line="480" w:lineRule="auto"/>
        <w:jc w:val="left"/>
        <w:rPr>
          <w:rFonts w:ascii="Times New Roman" w:hAnsi="Times New Roman" w:cs="Times New Roman"/>
          <w:b/>
          <w:bCs/>
          <w:sz w:val="24"/>
        </w:rPr>
      </w:pPr>
      <w:r>
        <w:rPr>
          <w:rFonts w:ascii="Times New Roman" w:hAnsi="Times New Roman" w:cs="Times New Roman"/>
          <w:b/>
          <w:bCs/>
          <w:sz w:val="24"/>
        </w:rPr>
        <w:t>Supplementary Figure 1</w:t>
      </w:r>
      <w:r>
        <w:rPr>
          <w:rFonts w:hint="eastAsia" w:ascii="Times New Roman" w:hAnsi="Times New Roman" w:cs="Times New Roman"/>
          <w:b/>
          <w:bCs/>
          <w:sz w:val="24"/>
          <w:lang w:val="en-US" w:eastAsia="zh-CN"/>
        </w:rPr>
        <w:t>9</w:t>
      </w:r>
      <w:r>
        <w:rPr>
          <w:rFonts w:ascii="Times New Roman" w:hAnsi="Times New Roman" w:cs="Times New Roman"/>
          <w:b/>
          <w:bCs/>
          <w:sz w:val="24"/>
        </w:rPr>
        <w:t xml:space="preserve">. </w:t>
      </w:r>
      <w:r>
        <w:rPr>
          <w:rFonts w:hint="eastAsia" w:ascii="Times New Roman" w:hAnsi="Times New Roman" w:cs="Times New Roman"/>
          <w:b/>
          <w:bCs/>
          <w:sz w:val="24"/>
          <w:lang w:val="en-US" w:eastAsia="zh-CN"/>
        </w:rPr>
        <w:t>HY</w:t>
      </w:r>
      <w:r>
        <w:rPr>
          <w:rFonts w:hint="eastAsia" w:ascii="Times New Roman" w:hAnsi="Times New Roman" w:cs="Times New Roman"/>
          <w:b/>
          <w:bCs/>
          <w:sz w:val="24"/>
          <w:lang w:val="en-US" w:eastAsia="zh-CN"/>
        </w:rPr>
        <w:noBreakHyphen/>
      </w:r>
      <w:r>
        <w:rPr>
          <w:rFonts w:hint="eastAsia" w:ascii="Times New Roman" w:hAnsi="Times New Roman" w:cs="Times New Roman"/>
          <w:b/>
          <w:bCs/>
          <w:sz w:val="24"/>
          <w:lang w:val="en-US" w:eastAsia="zh-CN"/>
        </w:rPr>
        <w:t>155534 suppresses sphere</w:t>
      </w:r>
      <w:r>
        <w:rPr>
          <w:rFonts w:hint="eastAsia" w:ascii="Times New Roman" w:hAnsi="Times New Roman" w:cs="Times New Roman"/>
          <w:b/>
          <w:bCs/>
          <w:sz w:val="24"/>
          <w:lang w:val="en-US" w:eastAsia="zh-CN"/>
        </w:rPr>
        <w:noBreakHyphen/>
      </w:r>
      <w:r>
        <w:rPr>
          <w:rFonts w:hint="eastAsia" w:ascii="Times New Roman" w:hAnsi="Times New Roman" w:cs="Times New Roman"/>
          <w:b/>
          <w:bCs/>
          <w:sz w:val="24"/>
          <w:lang w:val="en-US" w:eastAsia="zh-CN"/>
        </w:rPr>
        <w:t xml:space="preserve">forming capacity and impairs tumor growth </w:t>
      </w:r>
      <w:r>
        <w:rPr>
          <w:rFonts w:hint="eastAsia" w:ascii="Times New Roman" w:hAnsi="Times New Roman" w:cs="Times New Roman"/>
          <w:b/>
          <w:bCs/>
          <w:i/>
          <w:iCs/>
          <w:sz w:val="24"/>
          <w:lang w:val="en-US" w:eastAsia="zh-CN"/>
        </w:rPr>
        <w:t>in vivo</w:t>
      </w:r>
      <w:r>
        <w:rPr>
          <w:rFonts w:ascii="Times New Roman" w:hAnsi="Times New Roman" w:cs="Times New Roman"/>
          <w:b/>
          <w:bCs/>
          <w:sz w:val="24"/>
        </w:rPr>
        <w:t>.</w:t>
      </w:r>
    </w:p>
    <w:p w14:paraId="6444C9F7">
      <w:pPr>
        <w:widowControl/>
        <w:numPr>
          <w:ilvl w:val="0"/>
          <w:numId w:val="19"/>
        </w:numPr>
        <w:spacing w:line="480" w:lineRule="auto"/>
        <w:jc w:val="both"/>
        <w:rPr>
          <w:rFonts w:hint="default" w:ascii="Times New Roman" w:hAnsi="Times New Roman" w:cs="Times New Roman"/>
          <w:b/>
          <w:bCs/>
          <w:sz w:val="24"/>
          <w:lang w:val="en-US" w:eastAsia="zh-CN"/>
        </w:rPr>
      </w:pPr>
      <w:r>
        <w:rPr>
          <w:rFonts w:hint="eastAsia" w:ascii="Times New Roman" w:hAnsi="Times New Roman" w:cs="Times New Roman"/>
          <w:b w:val="0"/>
          <w:bCs w:val="0"/>
          <w:sz w:val="24"/>
          <w:lang w:val="en-US" w:eastAsia="zh-CN"/>
        </w:rPr>
        <w:t xml:space="preserve">Sphere formation assays were performed by LN229 and HG7 SLCs, supplementing with different dose of HY-155534. </w:t>
      </w:r>
      <w:r>
        <w:rPr>
          <w:rFonts w:hint="default" w:ascii="Times New Roman" w:hAnsi="Times New Roman" w:cs="Times New Roman"/>
          <w:b w:val="0"/>
          <w:bCs w:val="0"/>
          <w:sz w:val="24"/>
          <w:lang w:val="en-US" w:eastAsia="zh-CN"/>
        </w:rPr>
        <w:t xml:space="preserve">Relative number of sphere formation are shown in histogram. Tumor spheres with diameters &gt; 50 </w:t>
      </w:r>
      <w:r>
        <w:rPr>
          <w:rFonts w:hint="default" w:ascii="Times New Roman" w:hAnsi="Times New Roman" w:cs="Times New Roman"/>
          <w:i w:val="0"/>
          <w:iCs w:val="0"/>
          <w:sz w:val="24"/>
        </w:rPr>
        <w:t>μ</w:t>
      </w:r>
      <w:r>
        <w:rPr>
          <w:rFonts w:hint="default" w:ascii="Times New Roman" w:hAnsi="Times New Roman" w:cs="Times New Roman"/>
          <w:b w:val="0"/>
          <w:bCs w:val="0"/>
          <w:sz w:val="24"/>
          <w:lang w:val="en-US" w:eastAsia="zh-CN"/>
        </w:rPr>
        <w:t>m were counted (</w:t>
      </w:r>
      <w:r>
        <w:rPr>
          <w:rFonts w:hint="default" w:ascii="Times New Roman" w:hAnsi="Times New Roman" w:cs="Times New Roman"/>
          <w:b w:val="0"/>
          <w:bCs w:val="0"/>
          <w:i/>
          <w:iCs/>
          <w:sz w:val="24"/>
          <w:lang w:val="en-US" w:eastAsia="zh-CN"/>
        </w:rPr>
        <w:t>n</w:t>
      </w:r>
      <w:r>
        <w:rPr>
          <w:rFonts w:hint="default" w:ascii="Times New Roman" w:hAnsi="Times New Roman" w:cs="Times New Roman"/>
          <w:b w:val="0"/>
          <w:bCs w:val="0"/>
          <w:sz w:val="24"/>
          <w:lang w:val="en-US" w:eastAsia="zh-CN"/>
        </w:rPr>
        <w:t xml:space="preserve"> = 3). Data are presented as the mean ± S.D. </w:t>
      </w:r>
      <w:r>
        <w:rPr>
          <w:rFonts w:hint="default" w:ascii="Times New Roman" w:hAnsi="Times New Roman" w:cs="Times New Roman"/>
          <w:b w:val="0"/>
          <w:bCs w:val="0"/>
          <w:i/>
          <w:iCs/>
          <w:sz w:val="24"/>
          <w:lang w:val="en-US" w:eastAsia="zh-CN"/>
        </w:rPr>
        <w:t>P</w:t>
      </w:r>
      <w:r>
        <w:rPr>
          <w:rFonts w:hint="default" w:ascii="Times New Roman" w:hAnsi="Times New Roman" w:cs="Times New Roman"/>
          <w:b w:val="0"/>
          <w:bCs w:val="0"/>
          <w:sz w:val="24"/>
          <w:lang w:val="en-US" w:eastAsia="zh-CN"/>
        </w:rPr>
        <w:t xml:space="preserve"> value was determined by Student's t - test.</w:t>
      </w:r>
    </w:p>
    <w:p w14:paraId="5952A157">
      <w:pPr>
        <w:widowControl/>
        <w:numPr>
          <w:ilvl w:val="0"/>
          <w:numId w:val="19"/>
        </w:numPr>
        <w:spacing w:line="480" w:lineRule="auto"/>
        <w:jc w:val="both"/>
        <w:rPr>
          <w:rFonts w:hint="default" w:ascii="Times New Roman" w:hAnsi="Times New Roman" w:cs="Times New Roman"/>
          <w:b/>
          <w:bCs/>
          <w:sz w:val="24"/>
          <w:lang w:val="en-US" w:eastAsia="zh-CN"/>
        </w:rPr>
      </w:pPr>
      <w:r>
        <w:rPr>
          <w:rFonts w:ascii="Times New Roman" w:hAnsi="Times New Roman" w:cs="Times New Roman"/>
          <w:i w:val="0"/>
          <w:iCs w:val="0"/>
          <w:sz w:val="24"/>
        </w:rPr>
        <w:t xml:space="preserve">Sphere formation assays were performed in </w:t>
      </w:r>
      <w:r>
        <w:rPr>
          <w:rFonts w:hint="eastAsia" w:ascii="Times New Roman" w:hAnsi="Times New Roman" w:cs="Times New Roman"/>
          <w:i w:val="0"/>
          <w:iCs w:val="0"/>
          <w:sz w:val="24"/>
          <w:lang w:val="en-US" w:eastAsia="zh-CN"/>
        </w:rPr>
        <w:t>HG7</w:t>
      </w:r>
      <w:r>
        <w:rPr>
          <w:rFonts w:ascii="Times New Roman" w:hAnsi="Times New Roman" w:cs="Times New Roman"/>
          <w:i w:val="0"/>
          <w:iCs w:val="0"/>
          <w:sz w:val="24"/>
        </w:rPr>
        <w:t xml:space="preserve"> </w:t>
      </w:r>
      <w:r>
        <w:rPr>
          <w:rFonts w:hint="eastAsia" w:ascii="Times New Roman" w:hAnsi="Times New Roman" w:cs="Times New Roman"/>
          <w:i w:val="0"/>
          <w:iCs w:val="0"/>
          <w:sz w:val="24"/>
          <w:lang w:val="en-US" w:eastAsia="zh-CN"/>
        </w:rPr>
        <w:t>SLC</w:t>
      </w:r>
      <w:r>
        <w:rPr>
          <w:rFonts w:ascii="Times New Roman" w:hAnsi="Times New Roman" w:cs="Times New Roman"/>
          <w:i w:val="0"/>
          <w:iCs w:val="0"/>
          <w:sz w:val="24"/>
        </w:rPr>
        <w:t xml:space="preserve">s </w:t>
      </w:r>
      <w:r>
        <w:rPr>
          <w:rFonts w:hint="eastAsia" w:ascii="Times New Roman" w:hAnsi="Times New Roman" w:cs="Times New Roman"/>
          <w:i w:val="0"/>
          <w:iCs w:val="0"/>
          <w:sz w:val="24"/>
          <w:lang w:val="en-US" w:eastAsia="zh-CN"/>
        </w:rPr>
        <w:t>with different dose of HY-155534.</w:t>
      </w:r>
      <w:r>
        <w:rPr>
          <w:rFonts w:ascii="Times New Roman" w:hAnsi="Times New Roman" w:cs="Times New Roman"/>
          <w:i w:val="0"/>
          <w:iCs w:val="0"/>
          <w:sz w:val="24"/>
        </w:rPr>
        <w:t xml:space="preserve"> Scale bar, 200 μm. Images are representative of three independent experiments.</w:t>
      </w:r>
    </w:p>
    <w:p w14:paraId="4FB8F976">
      <w:pPr>
        <w:widowControl/>
        <w:numPr>
          <w:ilvl w:val="0"/>
          <w:numId w:val="19"/>
        </w:numPr>
        <w:spacing w:line="480" w:lineRule="auto"/>
        <w:jc w:val="both"/>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H&amp;E staining of major organs from tumor</w:t>
      </w:r>
      <w:r>
        <w:rPr>
          <w:rFonts w:hint="default" w:ascii="Times New Roman" w:hAnsi="Times New Roman" w:cs="Times New Roman"/>
          <w:b w:val="0"/>
          <w:bCs w:val="0"/>
          <w:sz w:val="24"/>
          <w:lang w:val="en-US" w:eastAsia="zh-CN"/>
        </w:rPr>
        <w:noBreakHyphen/>
      </w:r>
      <w:r>
        <w:rPr>
          <w:rFonts w:hint="default" w:ascii="Times New Roman" w:hAnsi="Times New Roman" w:cs="Times New Roman"/>
          <w:b w:val="0"/>
          <w:bCs w:val="0"/>
          <w:sz w:val="24"/>
          <w:lang w:val="en-US" w:eastAsia="zh-CN"/>
        </w:rPr>
        <w:t>bearing mice treated with intraperitoneal injection of HY</w:t>
      </w:r>
      <w:r>
        <w:rPr>
          <w:rFonts w:hint="eastAsia" w:ascii="Times New Roman" w:hAnsi="Times New Roman" w:cs="Times New Roman"/>
          <w:b w:val="0"/>
          <w:bCs w:val="0"/>
          <w:sz w:val="24"/>
          <w:lang w:val="en-US" w:eastAsia="zh-CN"/>
        </w:rPr>
        <w:t>-</w:t>
      </w:r>
      <w:r>
        <w:rPr>
          <w:rFonts w:hint="default" w:ascii="Times New Roman" w:hAnsi="Times New Roman" w:cs="Times New Roman"/>
          <w:b w:val="0"/>
          <w:bCs w:val="0"/>
          <w:sz w:val="24"/>
          <w:lang w:val="en-US" w:eastAsia="zh-CN"/>
        </w:rPr>
        <w:t xml:space="preserve">155534 or </w:t>
      </w:r>
      <w:r>
        <w:rPr>
          <w:rFonts w:hint="eastAsia" w:ascii="Times New Roman" w:hAnsi="Times New Roman" w:cs="Times New Roman"/>
          <w:b w:val="0"/>
          <w:bCs w:val="0"/>
          <w:sz w:val="24"/>
          <w:lang w:val="en-US" w:eastAsia="zh-CN"/>
        </w:rPr>
        <w:t>DMSO</w:t>
      </w:r>
      <w:r>
        <w:rPr>
          <w:rFonts w:hint="default" w:ascii="Times New Roman" w:hAnsi="Times New Roman" w:cs="Times New Roman"/>
          <w:b w:val="0"/>
          <w:bCs w:val="0"/>
          <w:sz w:val="24"/>
          <w:lang w:val="en-US" w:eastAsia="zh-CN"/>
        </w:rPr>
        <w:t xml:space="preserve"> control.</w:t>
      </w:r>
    </w:p>
    <w:p w14:paraId="65A7B8A0">
      <w:pPr>
        <w:widowControl/>
        <w:numPr>
          <w:ilvl w:val="0"/>
          <w:numId w:val="19"/>
        </w:numPr>
        <w:spacing w:line="480" w:lineRule="auto"/>
        <w:jc w:val="both"/>
        <w:rPr>
          <w:rFonts w:hint="default" w:ascii="Times New Roman" w:hAnsi="Times New Roman" w:cs="Times New Roman"/>
          <w:b/>
          <w:bCs/>
          <w:sz w:val="24"/>
          <w:lang w:val="en-US" w:eastAsia="zh-CN"/>
        </w:rPr>
      </w:pPr>
      <w:r>
        <w:rPr>
          <w:rFonts w:ascii="Times New Roman" w:hAnsi="Times New Roman" w:cs="Times New Roman"/>
          <w:i w:val="0"/>
          <w:iCs w:val="0"/>
          <w:sz w:val="24"/>
        </w:rPr>
        <w:t>Kaplan-Meier survival curves were generated for mice bearing tumors (</w:t>
      </w:r>
      <w:r>
        <w:rPr>
          <w:rFonts w:ascii="Times New Roman" w:hAnsi="Times New Roman" w:cs="Times New Roman"/>
          <w:i/>
          <w:iCs/>
          <w:sz w:val="24"/>
        </w:rPr>
        <w:t>n</w:t>
      </w:r>
      <w:r>
        <w:rPr>
          <w:rFonts w:ascii="Times New Roman" w:hAnsi="Times New Roman" w:cs="Times New Roman"/>
          <w:i w:val="0"/>
          <w:iCs w:val="0"/>
          <w:sz w:val="24"/>
        </w:rPr>
        <w:t xml:space="preserve"> = 10 mice). The mice were implanted with </w:t>
      </w:r>
      <w:r>
        <w:rPr>
          <w:rFonts w:hint="eastAsia" w:ascii="Times New Roman" w:hAnsi="Times New Roman" w:cs="Times New Roman"/>
          <w:i w:val="0"/>
          <w:iCs w:val="0"/>
          <w:sz w:val="24"/>
          <w:lang w:val="en-US" w:eastAsia="zh-CN"/>
        </w:rPr>
        <w:t>ATRX</w:t>
      </w:r>
      <w:r>
        <w:rPr>
          <w:rFonts w:hint="eastAsia" w:ascii="Times New Roman" w:hAnsi="Times New Roman" w:cs="Times New Roman"/>
          <w:i w:val="0"/>
          <w:iCs w:val="0"/>
          <w:sz w:val="24"/>
          <w:vertAlign w:val="superscript"/>
          <w:lang w:val="en-US" w:eastAsia="zh-CN"/>
        </w:rPr>
        <w:t>EV</w:t>
      </w:r>
      <w:r>
        <w:rPr>
          <w:rFonts w:hint="eastAsia" w:ascii="Times New Roman" w:hAnsi="Times New Roman" w:cs="Times New Roman"/>
          <w:i w:val="0"/>
          <w:iCs w:val="0"/>
          <w:sz w:val="24"/>
          <w:lang w:val="en-US" w:eastAsia="zh-CN"/>
        </w:rPr>
        <w:t xml:space="preserve"> or ATRX</w:t>
      </w:r>
      <w:r>
        <w:rPr>
          <w:rFonts w:hint="eastAsia" w:ascii="Times New Roman" w:hAnsi="Times New Roman" w:cs="Times New Roman"/>
          <w:i w:val="0"/>
          <w:iCs w:val="0"/>
          <w:sz w:val="24"/>
          <w:vertAlign w:val="superscript"/>
          <w:lang w:val="en-US" w:eastAsia="zh-CN"/>
        </w:rPr>
        <w:t>KO</w:t>
      </w:r>
      <w:r>
        <w:rPr>
          <w:rFonts w:hint="eastAsia" w:ascii="Times New Roman" w:hAnsi="Times New Roman" w:cs="Times New Roman"/>
          <w:i w:val="0"/>
          <w:iCs w:val="0"/>
          <w:sz w:val="24"/>
          <w:lang w:val="en-US" w:eastAsia="zh-CN"/>
        </w:rPr>
        <w:t xml:space="preserve"> </w:t>
      </w:r>
      <w:r>
        <w:rPr>
          <w:rFonts w:ascii="Times New Roman" w:hAnsi="Times New Roman" w:cs="Times New Roman"/>
          <w:i w:val="0"/>
          <w:iCs w:val="0"/>
          <w:sz w:val="24"/>
        </w:rPr>
        <w:t xml:space="preserve">LN229 cells </w:t>
      </w:r>
      <w:r>
        <w:rPr>
          <w:rFonts w:hint="eastAsia" w:ascii="Times New Roman" w:hAnsi="Times New Roman" w:cs="Times New Roman"/>
          <w:i w:val="0"/>
          <w:iCs w:val="0"/>
          <w:sz w:val="24"/>
          <w:lang w:val="en-US" w:eastAsia="zh-CN"/>
        </w:rPr>
        <w:t xml:space="preserve">and treated with HY-155534 (4 mg/kg) or </w:t>
      </w:r>
      <w:r>
        <w:rPr>
          <w:rFonts w:hint="default" w:ascii="Times New Roman" w:hAnsi="Times New Roman" w:cs="Times New Roman"/>
          <w:i w:val="0"/>
          <w:iCs w:val="0"/>
          <w:sz w:val="24"/>
        </w:rPr>
        <w:t xml:space="preserve">an equivalent volume of DMSO </w:t>
      </w:r>
      <w:r>
        <w:rPr>
          <w:rFonts w:hint="eastAsia" w:ascii="Times New Roman" w:hAnsi="Times New Roman" w:cs="Times New Roman"/>
          <w:i w:val="0"/>
          <w:iCs w:val="0"/>
          <w:sz w:val="24"/>
          <w:lang w:val="en-US" w:eastAsia="zh-CN"/>
        </w:rPr>
        <w:t>control.</w:t>
      </w:r>
      <w:r>
        <w:rPr>
          <w:rFonts w:ascii="Times New Roman" w:hAnsi="Times New Roman" w:cs="Times New Roman"/>
          <w:i w:val="0"/>
          <w:iCs w:val="0"/>
          <w:sz w:val="24"/>
        </w:rPr>
        <w:t xml:space="preserve"> </w:t>
      </w:r>
      <w:r>
        <w:rPr>
          <w:rFonts w:ascii="Times New Roman" w:hAnsi="Times New Roman" w:cs="Times New Roman"/>
          <w:i/>
          <w:iCs/>
          <w:sz w:val="24"/>
        </w:rPr>
        <w:t>P</w:t>
      </w:r>
      <w:r>
        <w:rPr>
          <w:rFonts w:ascii="Times New Roman" w:hAnsi="Times New Roman" w:cs="Times New Roman"/>
          <w:i w:val="0"/>
          <w:iCs w:val="0"/>
          <w:sz w:val="24"/>
        </w:rPr>
        <w:t xml:space="preserve"> value was determined by Log-rank test.</w:t>
      </w:r>
    </w:p>
    <w:p w14:paraId="1595950E">
      <w:pPr>
        <w:widowControl/>
        <w:numPr>
          <w:ilvl w:val="0"/>
          <w:numId w:val="19"/>
        </w:numPr>
        <w:spacing w:line="480" w:lineRule="auto"/>
        <w:jc w:val="both"/>
        <w:rPr>
          <w:rFonts w:hint="default" w:ascii="Times New Roman" w:hAnsi="Times New Roman" w:cs="Times New Roman"/>
          <w:b/>
          <w:bCs/>
          <w:sz w:val="24"/>
          <w:lang w:val="en-US" w:eastAsia="zh-CN"/>
        </w:rPr>
      </w:pPr>
      <w:r>
        <w:rPr>
          <w:rFonts w:ascii="Times New Roman" w:hAnsi="Times New Roman" w:cs="Times New Roman"/>
          <w:i w:val="0"/>
          <w:iCs w:val="0"/>
          <w:sz w:val="24"/>
        </w:rPr>
        <w:t>Quantification of bioluminescent imaging signal intensities (</w:t>
      </w:r>
      <w:r>
        <w:rPr>
          <w:rFonts w:ascii="Times New Roman" w:hAnsi="Times New Roman" w:cs="Times New Roman"/>
          <w:i/>
          <w:iCs/>
          <w:sz w:val="24"/>
        </w:rPr>
        <w:t>n</w:t>
      </w:r>
      <w:r>
        <w:rPr>
          <w:rFonts w:ascii="Times New Roman" w:hAnsi="Times New Roman" w:cs="Times New Roman"/>
          <w:i w:val="0"/>
          <w:iCs w:val="0"/>
          <w:sz w:val="24"/>
        </w:rPr>
        <w:t xml:space="preserve"> = 10).</w:t>
      </w:r>
      <w:r>
        <w:rPr>
          <w:rFonts w:hint="eastAsia" w:ascii="Times New Roman" w:hAnsi="Times New Roman" w:cs="Times New Roman"/>
          <w:i w:val="0"/>
          <w:iCs w:val="0"/>
          <w:sz w:val="24"/>
          <w:lang w:val="en-US" w:eastAsia="zh-CN"/>
        </w:rPr>
        <w:t xml:space="preserve"> </w:t>
      </w:r>
      <w:r>
        <w:rPr>
          <w:rFonts w:hint="eastAsia" w:ascii="Times New Roman" w:hAnsi="Times New Roman" w:cs="Times New Roman"/>
          <w:i/>
          <w:iCs/>
          <w:sz w:val="24"/>
          <w:lang w:val="en-US" w:eastAsia="zh-CN"/>
        </w:rPr>
        <w:t>P</w:t>
      </w:r>
      <w:r>
        <w:rPr>
          <w:rFonts w:hint="eastAsia" w:ascii="Times New Roman" w:hAnsi="Times New Roman" w:cs="Times New Roman"/>
          <w:i w:val="0"/>
          <w:iCs w:val="0"/>
          <w:sz w:val="24"/>
          <w:lang w:val="en-US" w:eastAsia="zh-CN"/>
        </w:rPr>
        <w:t xml:space="preserve"> value was determined by Student</w:t>
      </w:r>
      <w:r>
        <w:rPr>
          <w:rFonts w:ascii="Times New Roman" w:hAnsi="Times New Roman" w:cs="Times New Roman"/>
          <w:sz w:val="24"/>
        </w:rPr>
        <w:t>'</w:t>
      </w:r>
      <w:r>
        <w:rPr>
          <w:rFonts w:hint="eastAsia" w:ascii="Times New Roman" w:hAnsi="Times New Roman" w:cs="Times New Roman"/>
          <w:i w:val="0"/>
          <w:iCs w:val="0"/>
          <w:sz w:val="24"/>
          <w:lang w:val="en-US" w:eastAsia="zh-CN"/>
        </w:rPr>
        <w:t>s t - test.</w:t>
      </w:r>
    </w:p>
    <w:p w14:paraId="628A7850">
      <w:pPr>
        <w:rPr>
          <w:rFonts w:ascii="Times New Roman" w:hAnsi="Times New Roman" w:cs="Times New Roman"/>
          <w:sz w:val="24"/>
        </w:rPr>
      </w:pPr>
      <w:bookmarkStart w:id="0" w:name="_GoBack"/>
      <w:bookmarkEnd w:id="0"/>
      <w:r>
        <w:rPr>
          <w:rFonts w:ascii="Times New Roman" w:hAnsi="Times New Roman" w:cs="Times New Roman"/>
          <w:sz w:val="24"/>
        </w:rPr>
        <w:br w:type="page"/>
      </w:r>
    </w:p>
    <w:p w14:paraId="397F9218">
      <w:pPr>
        <w:spacing w:line="480" w:lineRule="auto"/>
        <w:rPr>
          <w:rFonts w:hint="eastAsia" w:ascii="Times New Roman" w:hAnsi="Times New Roman" w:cs="Times New Roman"/>
          <w:b/>
          <w:bCs/>
          <w:sz w:val="24"/>
          <w:szCs w:val="24"/>
          <w:lang w:val="en-US" w:eastAsia="zh-CN"/>
        </w:rPr>
      </w:pPr>
      <w:r>
        <w:rPr>
          <w:rFonts w:hint="default" w:ascii="Times New Roman" w:hAnsi="Times New Roman" w:cs="Times New Roman"/>
          <w:b/>
          <w:bCs/>
          <w:sz w:val="28"/>
          <w:szCs w:val="28"/>
          <w:lang w:val="en-US"/>
        </w:rPr>
        <w:t xml:space="preserve">Raw data of </w:t>
      </w:r>
      <w:r>
        <w:rPr>
          <w:rFonts w:hint="eastAsia" w:ascii="Times New Roman" w:hAnsi="Times New Roman" w:cs="Times New Roman"/>
          <w:b/>
          <w:bCs/>
          <w:sz w:val="28"/>
          <w:szCs w:val="28"/>
          <w:lang w:val="en-US" w:eastAsia="zh-CN"/>
        </w:rPr>
        <w:t>Western blot</w:t>
      </w:r>
    </w:p>
    <w:p w14:paraId="05E85698">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drawing>
          <wp:inline distT="0" distB="0" distL="114300" distR="114300">
            <wp:extent cx="5271135" cy="7452360"/>
            <wp:effectExtent l="0" t="0" r="12065" b="2540"/>
            <wp:docPr id="18" name="图片 18" descr="整合-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整合-1_画板 1"/>
                    <pic:cNvPicPr>
                      <a:picLocks noChangeAspect="1"/>
                    </pic:cNvPicPr>
                  </pic:nvPicPr>
                  <pic:blipFill>
                    <a:blip r:embed="rId24"/>
                    <a:stretch>
                      <a:fillRect/>
                    </a:stretch>
                  </pic:blipFill>
                  <pic:spPr>
                    <a:xfrm>
                      <a:off x="0" y="0"/>
                      <a:ext cx="5271135" cy="7452360"/>
                    </a:xfrm>
                    <a:prstGeom prst="rect">
                      <a:avLst/>
                    </a:prstGeom>
                  </pic:spPr>
                </pic:pic>
              </a:graphicData>
            </a:graphic>
          </wp:inline>
        </w:drawing>
      </w:r>
      <w:r>
        <w:rPr>
          <w:rFonts w:hint="default" w:ascii="Times New Roman" w:hAnsi="Times New Roman" w:cs="Times New Roman"/>
          <w:b/>
          <w:bCs/>
          <w:sz w:val="24"/>
          <w:szCs w:val="24"/>
          <w:lang w:val="en-US" w:eastAsia="zh-CN"/>
        </w:rPr>
        <w:br w:type="page"/>
      </w:r>
    </w:p>
    <w:p w14:paraId="7D534ECE">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drawing>
          <wp:inline distT="0" distB="0" distL="114300" distR="114300">
            <wp:extent cx="5271135" cy="7452360"/>
            <wp:effectExtent l="0" t="0" r="12065" b="2540"/>
            <wp:docPr id="19" name="图片 19" descr="整合-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整合-2_画板 1"/>
                    <pic:cNvPicPr>
                      <a:picLocks noChangeAspect="1"/>
                    </pic:cNvPicPr>
                  </pic:nvPicPr>
                  <pic:blipFill>
                    <a:blip r:embed="rId25"/>
                    <a:stretch>
                      <a:fillRect/>
                    </a:stretch>
                  </pic:blipFill>
                  <pic:spPr>
                    <a:xfrm>
                      <a:off x="0" y="0"/>
                      <a:ext cx="5271135" cy="7452360"/>
                    </a:xfrm>
                    <a:prstGeom prst="rect">
                      <a:avLst/>
                    </a:prstGeom>
                  </pic:spPr>
                </pic:pic>
              </a:graphicData>
            </a:graphic>
          </wp:inline>
        </w:drawing>
      </w:r>
      <w:r>
        <w:rPr>
          <w:rFonts w:hint="default" w:ascii="Times New Roman" w:hAnsi="Times New Roman" w:cs="Times New Roman"/>
          <w:b/>
          <w:bCs/>
          <w:sz w:val="24"/>
          <w:szCs w:val="24"/>
          <w:lang w:val="en-US" w:eastAsia="zh-CN"/>
        </w:rPr>
        <w:br w:type="page"/>
      </w:r>
    </w:p>
    <w:p w14:paraId="638992B2">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drawing>
          <wp:inline distT="0" distB="0" distL="114300" distR="114300">
            <wp:extent cx="5271135" cy="7452360"/>
            <wp:effectExtent l="0" t="0" r="12065" b="2540"/>
            <wp:docPr id="22" name="图片 22" descr="整合-3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整合-3_画板 1"/>
                    <pic:cNvPicPr>
                      <a:picLocks noChangeAspect="1"/>
                    </pic:cNvPicPr>
                  </pic:nvPicPr>
                  <pic:blipFill>
                    <a:blip r:embed="rId26"/>
                    <a:stretch>
                      <a:fillRect/>
                    </a:stretch>
                  </pic:blipFill>
                  <pic:spPr>
                    <a:xfrm>
                      <a:off x="0" y="0"/>
                      <a:ext cx="5271135" cy="7452360"/>
                    </a:xfrm>
                    <a:prstGeom prst="rect">
                      <a:avLst/>
                    </a:prstGeom>
                  </pic:spPr>
                </pic:pic>
              </a:graphicData>
            </a:graphic>
          </wp:inline>
        </w:drawing>
      </w:r>
      <w:r>
        <w:rPr>
          <w:rFonts w:hint="default" w:ascii="Times New Roman" w:hAnsi="Times New Roman" w:cs="Times New Roman"/>
          <w:b/>
          <w:bCs/>
          <w:sz w:val="24"/>
          <w:szCs w:val="24"/>
          <w:lang w:val="en-US" w:eastAsia="zh-CN"/>
        </w:rPr>
        <w:br w:type="page"/>
      </w:r>
    </w:p>
    <w:p w14:paraId="364AFDEF">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drawing>
          <wp:inline distT="0" distB="0" distL="114300" distR="114300">
            <wp:extent cx="5271135" cy="7452360"/>
            <wp:effectExtent l="0" t="0" r="12065" b="2540"/>
            <wp:docPr id="23" name="图片 23" descr="整合-4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整合-4_画板 1"/>
                    <pic:cNvPicPr>
                      <a:picLocks noChangeAspect="1"/>
                    </pic:cNvPicPr>
                  </pic:nvPicPr>
                  <pic:blipFill>
                    <a:blip r:embed="rId27"/>
                    <a:stretch>
                      <a:fillRect/>
                    </a:stretch>
                  </pic:blipFill>
                  <pic:spPr>
                    <a:xfrm>
                      <a:off x="0" y="0"/>
                      <a:ext cx="5271135" cy="7452360"/>
                    </a:xfrm>
                    <a:prstGeom prst="rect">
                      <a:avLst/>
                    </a:prstGeom>
                  </pic:spPr>
                </pic:pic>
              </a:graphicData>
            </a:graphic>
          </wp:inline>
        </w:drawing>
      </w:r>
    </w:p>
    <w:sectPr>
      <w:pgSz w:w="11906" w:h="16838"/>
      <w:pgMar w:top="1440" w:right="1800" w:bottom="1440" w:left="1800" w:header="851" w:footer="992" w:gutter="0"/>
      <w:lnNumType w:countBy="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b/>
        <w:bCs/>
        <w:color w:val="000000" w:themeColor="text1"/>
        <w14:textFill>
          <w14:solidFill>
            <w14:schemeClr w14:val="tx1"/>
          </w14:solidFill>
        </w14:textFill>
      </w:rPr>
      <w:id w:val="1233964452"/>
    </w:sdtPr>
    <w:sdtEndPr>
      <w:rPr>
        <w:rFonts w:hint="default" w:ascii="Times New Roman" w:hAnsi="Times New Roman" w:cs="Times New Roman"/>
        <w:b/>
        <w:bCs/>
        <w:color w:val="000000" w:themeColor="text1"/>
        <w14:textFill>
          <w14:solidFill>
            <w14:schemeClr w14:val="tx1"/>
          </w14:solidFill>
        </w14:textFill>
      </w:rPr>
    </w:sdtEndPr>
    <w:sdtContent>
      <w:p w14:paraId="03E5280D">
        <w:pPr>
          <w:pStyle w:val="3"/>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fldChar w:fldCharType="begin"/>
        </w:r>
        <w:r>
          <w:rPr>
            <w:rFonts w:hint="default" w:ascii="Times New Roman" w:hAnsi="Times New Roman" w:cs="Times New Roman"/>
            <w:b/>
            <w:bCs/>
            <w:color w:val="000000" w:themeColor="text1"/>
            <w14:textFill>
              <w14:solidFill>
                <w14:schemeClr w14:val="tx1"/>
              </w14:solidFill>
            </w14:textFill>
          </w:rPr>
          <w:instrText xml:space="preserve">PAGE   \* MERGEFORMAT</w:instrText>
        </w:r>
        <w:r>
          <w:rPr>
            <w:rFonts w:hint="default" w:ascii="Times New Roman" w:hAnsi="Times New Roman" w:cs="Times New Roman"/>
            <w:b/>
            <w:bCs/>
            <w:color w:val="000000" w:themeColor="text1"/>
            <w14:textFill>
              <w14:solidFill>
                <w14:schemeClr w14:val="tx1"/>
              </w14:solidFill>
            </w14:textFill>
          </w:rPr>
          <w:fldChar w:fldCharType="separate"/>
        </w:r>
        <w:r>
          <w:rPr>
            <w:rFonts w:hint="default" w:ascii="Times New Roman" w:hAnsi="Times New Roman" w:cs="Times New Roman"/>
            <w:b/>
            <w:bCs/>
            <w:color w:val="000000" w:themeColor="text1"/>
            <w:lang w:val="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fldChar w:fldCharType="end"/>
        </w:r>
      </w:p>
    </w:sdtContent>
  </w:sdt>
  <w:p w14:paraId="093E35FF">
    <w:pPr>
      <w:pStyle w:val="3"/>
      <w:rPr>
        <w:rFonts w:hint="default" w:ascii="Times New Roman" w:hAnsi="Times New Roman" w:cs="Times New Roman"/>
        <w:b/>
        <w:bCs/>
        <w:color w:val="000000" w:themeColor="text1"/>
        <w14:textFill>
          <w14:solidFill>
            <w14:schemeClr w14:val="tx1"/>
          </w14:solidFill>
        </w14:textFil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A0BBB"/>
    <w:multiLevelType w:val="singleLevel"/>
    <w:tmpl w:val="85CA0BBB"/>
    <w:lvl w:ilvl="0" w:tentative="0">
      <w:start w:val="1"/>
      <w:numFmt w:val="upperLetter"/>
      <w:suff w:val="space"/>
      <w:lvlText w:val="%1."/>
      <w:lvlJc w:val="left"/>
      <w:rPr>
        <w:rFonts w:hint="default"/>
        <w:b/>
        <w:bCs/>
        <w:sz w:val="24"/>
        <w:szCs w:val="24"/>
      </w:rPr>
    </w:lvl>
  </w:abstractNum>
  <w:abstractNum w:abstractNumId="1">
    <w:nsid w:val="8E73144E"/>
    <w:multiLevelType w:val="singleLevel"/>
    <w:tmpl w:val="8E73144E"/>
    <w:lvl w:ilvl="0" w:tentative="0">
      <w:start w:val="1"/>
      <w:numFmt w:val="upperLetter"/>
      <w:suff w:val="space"/>
      <w:lvlText w:val="%1."/>
      <w:lvlJc w:val="left"/>
      <w:rPr>
        <w:rFonts w:hint="default"/>
        <w:b/>
        <w:bCs/>
        <w:sz w:val="24"/>
        <w:szCs w:val="24"/>
      </w:rPr>
    </w:lvl>
  </w:abstractNum>
  <w:abstractNum w:abstractNumId="2">
    <w:nsid w:val="969A709F"/>
    <w:multiLevelType w:val="singleLevel"/>
    <w:tmpl w:val="969A709F"/>
    <w:lvl w:ilvl="0" w:tentative="0">
      <w:start w:val="1"/>
      <w:numFmt w:val="upperLetter"/>
      <w:suff w:val="space"/>
      <w:lvlText w:val="%1."/>
      <w:lvlJc w:val="left"/>
      <w:rPr>
        <w:rFonts w:hint="default"/>
        <w:sz w:val="24"/>
        <w:szCs w:val="24"/>
      </w:rPr>
    </w:lvl>
  </w:abstractNum>
  <w:abstractNum w:abstractNumId="3">
    <w:nsid w:val="C2870CD1"/>
    <w:multiLevelType w:val="singleLevel"/>
    <w:tmpl w:val="C2870CD1"/>
    <w:lvl w:ilvl="0" w:tentative="0">
      <w:start w:val="1"/>
      <w:numFmt w:val="upperLetter"/>
      <w:suff w:val="space"/>
      <w:lvlText w:val="%1."/>
      <w:lvlJc w:val="left"/>
      <w:rPr>
        <w:rFonts w:hint="default"/>
        <w:b/>
        <w:bCs/>
        <w:sz w:val="24"/>
        <w:szCs w:val="24"/>
      </w:rPr>
    </w:lvl>
  </w:abstractNum>
  <w:abstractNum w:abstractNumId="4">
    <w:nsid w:val="C693C77E"/>
    <w:multiLevelType w:val="singleLevel"/>
    <w:tmpl w:val="C693C77E"/>
    <w:lvl w:ilvl="0" w:tentative="0">
      <w:start w:val="1"/>
      <w:numFmt w:val="upperLetter"/>
      <w:suff w:val="space"/>
      <w:lvlText w:val="%1."/>
      <w:lvlJc w:val="left"/>
      <w:rPr>
        <w:rFonts w:hint="default"/>
        <w:b/>
        <w:bCs/>
        <w:sz w:val="24"/>
        <w:szCs w:val="24"/>
      </w:rPr>
    </w:lvl>
  </w:abstractNum>
  <w:abstractNum w:abstractNumId="5">
    <w:nsid w:val="D7DBC434"/>
    <w:multiLevelType w:val="singleLevel"/>
    <w:tmpl w:val="D7DBC434"/>
    <w:lvl w:ilvl="0" w:tentative="0">
      <w:start w:val="1"/>
      <w:numFmt w:val="upperLetter"/>
      <w:suff w:val="space"/>
      <w:lvlText w:val="%1."/>
      <w:lvlJc w:val="left"/>
      <w:rPr>
        <w:rFonts w:hint="default"/>
        <w:b/>
        <w:bCs/>
        <w:sz w:val="24"/>
        <w:szCs w:val="24"/>
      </w:rPr>
    </w:lvl>
  </w:abstractNum>
  <w:abstractNum w:abstractNumId="6">
    <w:nsid w:val="D80BB1A9"/>
    <w:multiLevelType w:val="singleLevel"/>
    <w:tmpl w:val="D80BB1A9"/>
    <w:lvl w:ilvl="0" w:tentative="0">
      <w:start w:val="1"/>
      <w:numFmt w:val="upperLetter"/>
      <w:suff w:val="space"/>
      <w:lvlText w:val="%1."/>
      <w:lvlJc w:val="left"/>
      <w:rPr>
        <w:rFonts w:hint="default"/>
        <w:b/>
        <w:bCs/>
        <w:sz w:val="24"/>
        <w:szCs w:val="24"/>
      </w:rPr>
    </w:lvl>
  </w:abstractNum>
  <w:abstractNum w:abstractNumId="7">
    <w:nsid w:val="DB451F0D"/>
    <w:multiLevelType w:val="singleLevel"/>
    <w:tmpl w:val="DB451F0D"/>
    <w:lvl w:ilvl="0" w:tentative="0">
      <w:start w:val="1"/>
      <w:numFmt w:val="upperLetter"/>
      <w:suff w:val="space"/>
      <w:lvlText w:val="%1."/>
      <w:lvlJc w:val="left"/>
      <w:rPr>
        <w:rFonts w:hint="default"/>
        <w:sz w:val="24"/>
        <w:szCs w:val="24"/>
      </w:rPr>
    </w:lvl>
  </w:abstractNum>
  <w:abstractNum w:abstractNumId="8">
    <w:nsid w:val="E4F69873"/>
    <w:multiLevelType w:val="singleLevel"/>
    <w:tmpl w:val="E4F69873"/>
    <w:lvl w:ilvl="0" w:tentative="0">
      <w:start w:val="1"/>
      <w:numFmt w:val="upperLetter"/>
      <w:suff w:val="space"/>
      <w:lvlText w:val="%1."/>
      <w:lvlJc w:val="left"/>
      <w:rPr>
        <w:rFonts w:hint="default"/>
        <w:b/>
        <w:bCs/>
        <w:sz w:val="24"/>
        <w:szCs w:val="24"/>
      </w:rPr>
    </w:lvl>
  </w:abstractNum>
  <w:abstractNum w:abstractNumId="9">
    <w:nsid w:val="FE503E1C"/>
    <w:multiLevelType w:val="singleLevel"/>
    <w:tmpl w:val="FE503E1C"/>
    <w:lvl w:ilvl="0" w:tentative="0">
      <w:start w:val="1"/>
      <w:numFmt w:val="upperLetter"/>
      <w:suff w:val="space"/>
      <w:lvlText w:val="%1."/>
      <w:lvlJc w:val="left"/>
      <w:rPr>
        <w:rFonts w:hint="default"/>
        <w:b/>
        <w:bCs/>
        <w:sz w:val="24"/>
        <w:szCs w:val="24"/>
      </w:rPr>
    </w:lvl>
  </w:abstractNum>
  <w:abstractNum w:abstractNumId="10">
    <w:nsid w:val="250ED610"/>
    <w:multiLevelType w:val="singleLevel"/>
    <w:tmpl w:val="250ED610"/>
    <w:lvl w:ilvl="0" w:tentative="0">
      <w:start w:val="1"/>
      <w:numFmt w:val="upperLetter"/>
      <w:suff w:val="space"/>
      <w:lvlText w:val="%1."/>
      <w:lvlJc w:val="left"/>
      <w:rPr>
        <w:rFonts w:hint="default"/>
        <w:b/>
        <w:bCs/>
        <w:sz w:val="24"/>
        <w:szCs w:val="24"/>
      </w:rPr>
    </w:lvl>
  </w:abstractNum>
  <w:abstractNum w:abstractNumId="11">
    <w:nsid w:val="274FDCEA"/>
    <w:multiLevelType w:val="singleLevel"/>
    <w:tmpl w:val="274FDCEA"/>
    <w:lvl w:ilvl="0" w:tentative="0">
      <w:start w:val="1"/>
      <w:numFmt w:val="upperLetter"/>
      <w:suff w:val="space"/>
      <w:lvlText w:val="%1."/>
      <w:lvlJc w:val="left"/>
      <w:rPr>
        <w:rFonts w:hint="default"/>
        <w:b/>
        <w:bCs/>
        <w:sz w:val="24"/>
        <w:szCs w:val="24"/>
      </w:rPr>
    </w:lvl>
  </w:abstractNum>
  <w:abstractNum w:abstractNumId="12">
    <w:nsid w:val="329DED43"/>
    <w:multiLevelType w:val="singleLevel"/>
    <w:tmpl w:val="329DED43"/>
    <w:lvl w:ilvl="0" w:tentative="0">
      <w:start w:val="1"/>
      <w:numFmt w:val="upperLetter"/>
      <w:suff w:val="space"/>
      <w:lvlText w:val="%1."/>
      <w:lvlJc w:val="left"/>
      <w:rPr>
        <w:rFonts w:hint="default"/>
        <w:b/>
        <w:bCs/>
        <w:sz w:val="24"/>
        <w:szCs w:val="24"/>
      </w:rPr>
    </w:lvl>
  </w:abstractNum>
  <w:abstractNum w:abstractNumId="13">
    <w:nsid w:val="40FAFB53"/>
    <w:multiLevelType w:val="singleLevel"/>
    <w:tmpl w:val="40FAFB53"/>
    <w:lvl w:ilvl="0" w:tentative="0">
      <w:start w:val="1"/>
      <w:numFmt w:val="upperLetter"/>
      <w:suff w:val="space"/>
      <w:lvlText w:val="%1."/>
      <w:lvlJc w:val="left"/>
      <w:rPr>
        <w:rFonts w:hint="default"/>
        <w:sz w:val="24"/>
        <w:szCs w:val="24"/>
      </w:rPr>
    </w:lvl>
  </w:abstractNum>
  <w:abstractNum w:abstractNumId="14">
    <w:nsid w:val="4B965DC9"/>
    <w:multiLevelType w:val="singleLevel"/>
    <w:tmpl w:val="4B965DC9"/>
    <w:lvl w:ilvl="0" w:tentative="0">
      <w:start w:val="1"/>
      <w:numFmt w:val="upperLetter"/>
      <w:suff w:val="space"/>
      <w:lvlText w:val="%1."/>
      <w:lvlJc w:val="left"/>
      <w:rPr>
        <w:rFonts w:hint="default"/>
        <w:b/>
        <w:bCs/>
        <w:sz w:val="24"/>
        <w:szCs w:val="24"/>
      </w:rPr>
    </w:lvl>
  </w:abstractNum>
  <w:abstractNum w:abstractNumId="15">
    <w:nsid w:val="638C6DEE"/>
    <w:multiLevelType w:val="singleLevel"/>
    <w:tmpl w:val="638C6DEE"/>
    <w:lvl w:ilvl="0" w:tentative="0">
      <w:start w:val="1"/>
      <w:numFmt w:val="upperLetter"/>
      <w:suff w:val="space"/>
      <w:lvlText w:val="%1."/>
      <w:lvlJc w:val="left"/>
      <w:rPr>
        <w:rFonts w:hint="default"/>
        <w:b/>
        <w:bCs/>
        <w:sz w:val="24"/>
        <w:szCs w:val="24"/>
      </w:rPr>
    </w:lvl>
  </w:abstractNum>
  <w:abstractNum w:abstractNumId="16">
    <w:nsid w:val="6A058F42"/>
    <w:multiLevelType w:val="singleLevel"/>
    <w:tmpl w:val="6A058F42"/>
    <w:lvl w:ilvl="0" w:tentative="0">
      <w:start w:val="1"/>
      <w:numFmt w:val="upperLetter"/>
      <w:suff w:val="space"/>
      <w:lvlText w:val="%1."/>
      <w:lvlJc w:val="left"/>
      <w:rPr>
        <w:rFonts w:hint="default"/>
        <w:b/>
        <w:bCs/>
        <w:sz w:val="24"/>
        <w:szCs w:val="24"/>
      </w:rPr>
    </w:lvl>
  </w:abstractNum>
  <w:abstractNum w:abstractNumId="17">
    <w:nsid w:val="7D375AAA"/>
    <w:multiLevelType w:val="singleLevel"/>
    <w:tmpl w:val="7D375AAA"/>
    <w:lvl w:ilvl="0" w:tentative="0">
      <w:start w:val="1"/>
      <w:numFmt w:val="upperLetter"/>
      <w:suff w:val="space"/>
      <w:lvlText w:val="%1."/>
      <w:lvlJc w:val="left"/>
      <w:rPr>
        <w:rFonts w:hint="default"/>
        <w:b/>
        <w:bCs/>
        <w:sz w:val="24"/>
        <w:szCs w:val="24"/>
      </w:rPr>
    </w:lvl>
  </w:abstractNum>
  <w:abstractNum w:abstractNumId="18">
    <w:nsid w:val="7FE73412"/>
    <w:multiLevelType w:val="singleLevel"/>
    <w:tmpl w:val="7FE73412"/>
    <w:lvl w:ilvl="0" w:tentative="0">
      <w:start w:val="1"/>
      <w:numFmt w:val="upperLetter"/>
      <w:suff w:val="space"/>
      <w:lvlText w:val="%1."/>
      <w:lvlJc w:val="left"/>
      <w:rPr>
        <w:rFonts w:hint="default"/>
        <w:b/>
        <w:bCs/>
        <w:sz w:val="24"/>
        <w:szCs w:val="24"/>
      </w:rPr>
    </w:lvl>
  </w:abstractNum>
  <w:num w:numId="1">
    <w:abstractNumId w:val="12"/>
  </w:num>
  <w:num w:numId="2">
    <w:abstractNumId w:val="2"/>
  </w:num>
  <w:num w:numId="3">
    <w:abstractNumId w:val="13"/>
  </w:num>
  <w:num w:numId="4">
    <w:abstractNumId w:val="0"/>
  </w:num>
  <w:num w:numId="5">
    <w:abstractNumId w:val="6"/>
  </w:num>
  <w:num w:numId="6">
    <w:abstractNumId w:val="15"/>
  </w:num>
  <w:num w:numId="7">
    <w:abstractNumId w:val="7"/>
  </w:num>
  <w:num w:numId="8">
    <w:abstractNumId w:val="1"/>
  </w:num>
  <w:num w:numId="9">
    <w:abstractNumId w:val="4"/>
  </w:num>
  <w:num w:numId="10">
    <w:abstractNumId w:val="16"/>
  </w:num>
  <w:num w:numId="11">
    <w:abstractNumId w:val="18"/>
  </w:num>
  <w:num w:numId="12">
    <w:abstractNumId w:val="9"/>
  </w:num>
  <w:num w:numId="13">
    <w:abstractNumId w:val="8"/>
  </w:num>
  <w:num w:numId="14">
    <w:abstractNumId w:val="10"/>
  </w:num>
  <w:num w:numId="15">
    <w:abstractNumId w:val="3"/>
  </w:num>
  <w:num w:numId="16">
    <w:abstractNumId w:val="17"/>
  </w:num>
  <w:num w:numId="17">
    <w:abstractNumId w:val="11"/>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62C"/>
    <w:rsid w:val="00011FE0"/>
    <w:rsid w:val="00082328"/>
    <w:rsid w:val="000C07BE"/>
    <w:rsid w:val="000D1782"/>
    <w:rsid w:val="001106DA"/>
    <w:rsid w:val="001637AB"/>
    <w:rsid w:val="001E694C"/>
    <w:rsid w:val="00237BAA"/>
    <w:rsid w:val="002568AA"/>
    <w:rsid w:val="002956D0"/>
    <w:rsid w:val="003101E7"/>
    <w:rsid w:val="00323ACB"/>
    <w:rsid w:val="00332C77"/>
    <w:rsid w:val="003A5EB3"/>
    <w:rsid w:val="003B2D70"/>
    <w:rsid w:val="0051162C"/>
    <w:rsid w:val="00581FB8"/>
    <w:rsid w:val="005830AC"/>
    <w:rsid w:val="005A0D46"/>
    <w:rsid w:val="00687BCC"/>
    <w:rsid w:val="00760DF0"/>
    <w:rsid w:val="00786BFB"/>
    <w:rsid w:val="007C27E0"/>
    <w:rsid w:val="007D1252"/>
    <w:rsid w:val="00847679"/>
    <w:rsid w:val="008724BF"/>
    <w:rsid w:val="008B4C6D"/>
    <w:rsid w:val="008F377B"/>
    <w:rsid w:val="009F769F"/>
    <w:rsid w:val="00A26DEA"/>
    <w:rsid w:val="00A33275"/>
    <w:rsid w:val="00AB1F7A"/>
    <w:rsid w:val="00B000BE"/>
    <w:rsid w:val="00B24B5C"/>
    <w:rsid w:val="00CF5835"/>
    <w:rsid w:val="00E14C55"/>
    <w:rsid w:val="00E80B89"/>
    <w:rsid w:val="00E811BB"/>
    <w:rsid w:val="00EE14BF"/>
    <w:rsid w:val="00F33646"/>
    <w:rsid w:val="01197FF0"/>
    <w:rsid w:val="01245482"/>
    <w:rsid w:val="01326F3B"/>
    <w:rsid w:val="014313AE"/>
    <w:rsid w:val="015240A7"/>
    <w:rsid w:val="01D94348"/>
    <w:rsid w:val="01F51D32"/>
    <w:rsid w:val="02160E0E"/>
    <w:rsid w:val="024844D0"/>
    <w:rsid w:val="02614383"/>
    <w:rsid w:val="027E7C4E"/>
    <w:rsid w:val="02DE0419"/>
    <w:rsid w:val="03237B40"/>
    <w:rsid w:val="037B0647"/>
    <w:rsid w:val="039129A5"/>
    <w:rsid w:val="03F33867"/>
    <w:rsid w:val="04AE72E6"/>
    <w:rsid w:val="055F270C"/>
    <w:rsid w:val="05A20EA3"/>
    <w:rsid w:val="06572E79"/>
    <w:rsid w:val="0681749F"/>
    <w:rsid w:val="06AE7C11"/>
    <w:rsid w:val="06BF7D00"/>
    <w:rsid w:val="07235920"/>
    <w:rsid w:val="07DA5891"/>
    <w:rsid w:val="07DC777D"/>
    <w:rsid w:val="07E73AA7"/>
    <w:rsid w:val="08AC155D"/>
    <w:rsid w:val="093B53E2"/>
    <w:rsid w:val="09A65ED6"/>
    <w:rsid w:val="09BE45FC"/>
    <w:rsid w:val="09FC161F"/>
    <w:rsid w:val="0A417883"/>
    <w:rsid w:val="0A953B54"/>
    <w:rsid w:val="0B255C89"/>
    <w:rsid w:val="0B267A12"/>
    <w:rsid w:val="0B5703F9"/>
    <w:rsid w:val="0BBF6A8A"/>
    <w:rsid w:val="0BDF1090"/>
    <w:rsid w:val="0BE22BAD"/>
    <w:rsid w:val="0C755729"/>
    <w:rsid w:val="0D121F18"/>
    <w:rsid w:val="0DCE72B6"/>
    <w:rsid w:val="0E246E28"/>
    <w:rsid w:val="0E276362"/>
    <w:rsid w:val="0E643F92"/>
    <w:rsid w:val="0ED20463"/>
    <w:rsid w:val="0EFF24A5"/>
    <w:rsid w:val="0F98512D"/>
    <w:rsid w:val="106C4897"/>
    <w:rsid w:val="106F4BD1"/>
    <w:rsid w:val="109B7631"/>
    <w:rsid w:val="110C75E1"/>
    <w:rsid w:val="112273AB"/>
    <w:rsid w:val="11AA78E7"/>
    <w:rsid w:val="11B137EF"/>
    <w:rsid w:val="11E31E94"/>
    <w:rsid w:val="12285F03"/>
    <w:rsid w:val="12424BFC"/>
    <w:rsid w:val="124C6C02"/>
    <w:rsid w:val="132A2E81"/>
    <w:rsid w:val="134F0296"/>
    <w:rsid w:val="13DB1C02"/>
    <w:rsid w:val="13E420EA"/>
    <w:rsid w:val="142F56D2"/>
    <w:rsid w:val="146E4E48"/>
    <w:rsid w:val="14D33796"/>
    <w:rsid w:val="14E5116B"/>
    <w:rsid w:val="15ED3FBD"/>
    <w:rsid w:val="162C6AF9"/>
    <w:rsid w:val="164660F1"/>
    <w:rsid w:val="1679775E"/>
    <w:rsid w:val="17200982"/>
    <w:rsid w:val="1727745D"/>
    <w:rsid w:val="17643AC4"/>
    <w:rsid w:val="17A23833"/>
    <w:rsid w:val="182829D0"/>
    <w:rsid w:val="182D6FD9"/>
    <w:rsid w:val="187E593E"/>
    <w:rsid w:val="18956792"/>
    <w:rsid w:val="18F328F2"/>
    <w:rsid w:val="191141D1"/>
    <w:rsid w:val="193E1F2C"/>
    <w:rsid w:val="194420EE"/>
    <w:rsid w:val="19524AC9"/>
    <w:rsid w:val="197B6A44"/>
    <w:rsid w:val="19972543"/>
    <w:rsid w:val="19E57796"/>
    <w:rsid w:val="1A086FAE"/>
    <w:rsid w:val="1A804600"/>
    <w:rsid w:val="1AAA783C"/>
    <w:rsid w:val="1AC404C4"/>
    <w:rsid w:val="1AF3217D"/>
    <w:rsid w:val="1B1C7367"/>
    <w:rsid w:val="1BD76DDB"/>
    <w:rsid w:val="1C35554F"/>
    <w:rsid w:val="1C776485"/>
    <w:rsid w:val="1CBC7A7B"/>
    <w:rsid w:val="1CED0600"/>
    <w:rsid w:val="1D166620"/>
    <w:rsid w:val="1D605B29"/>
    <w:rsid w:val="1D8D0496"/>
    <w:rsid w:val="1DAB5AF4"/>
    <w:rsid w:val="1DD31D93"/>
    <w:rsid w:val="1F1423F0"/>
    <w:rsid w:val="1F9D519B"/>
    <w:rsid w:val="20587BD4"/>
    <w:rsid w:val="208C4CE3"/>
    <w:rsid w:val="20FD602C"/>
    <w:rsid w:val="21116A11"/>
    <w:rsid w:val="21116C0F"/>
    <w:rsid w:val="215B636A"/>
    <w:rsid w:val="21777075"/>
    <w:rsid w:val="217D5CAA"/>
    <w:rsid w:val="218477E9"/>
    <w:rsid w:val="21A20123"/>
    <w:rsid w:val="222474E6"/>
    <w:rsid w:val="22257CDD"/>
    <w:rsid w:val="22BC263E"/>
    <w:rsid w:val="22C62148"/>
    <w:rsid w:val="238F2692"/>
    <w:rsid w:val="23D42713"/>
    <w:rsid w:val="24172A29"/>
    <w:rsid w:val="242E3612"/>
    <w:rsid w:val="247A2398"/>
    <w:rsid w:val="24D81B80"/>
    <w:rsid w:val="2601171C"/>
    <w:rsid w:val="265C63FD"/>
    <w:rsid w:val="26691593"/>
    <w:rsid w:val="26BC6270"/>
    <w:rsid w:val="27372A2D"/>
    <w:rsid w:val="27FF197D"/>
    <w:rsid w:val="28370A6E"/>
    <w:rsid w:val="284E6A1E"/>
    <w:rsid w:val="28E22AAD"/>
    <w:rsid w:val="292557D3"/>
    <w:rsid w:val="29483B02"/>
    <w:rsid w:val="29550DB7"/>
    <w:rsid w:val="29981C14"/>
    <w:rsid w:val="2A0C2A72"/>
    <w:rsid w:val="2A1A6497"/>
    <w:rsid w:val="2A8146B4"/>
    <w:rsid w:val="2A832E3F"/>
    <w:rsid w:val="2A8E57C4"/>
    <w:rsid w:val="2ABC1C45"/>
    <w:rsid w:val="2B7425FE"/>
    <w:rsid w:val="2BD43E6D"/>
    <w:rsid w:val="2C583D4C"/>
    <w:rsid w:val="2C7212B2"/>
    <w:rsid w:val="2C97515E"/>
    <w:rsid w:val="2D0E4255"/>
    <w:rsid w:val="2D5113CC"/>
    <w:rsid w:val="2D666F5C"/>
    <w:rsid w:val="2D693AF9"/>
    <w:rsid w:val="2DC749A6"/>
    <w:rsid w:val="2DCF1741"/>
    <w:rsid w:val="2DCF232E"/>
    <w:rsid w:val="2EA27F00"/>
    <w:rsid w:val="2EE02D95"/>
    <w:rsid w:val="2F157D9F"/>
    <w:rsid w:val="2F421944"/>
    <w:rsid w:val="2F487159"/>
    <w:rsid w:val="2FD860C1"/>
    <w:rsid w:val="2FFB1E60"/>
    <w:rsid w:val="300D080A"/>
    <w:rsid w:val="30226D68"/>
    <w:rsid w:val="30662444"/>
    <w:rsid w:val="307214E4"/>
    <w:rsid w:val="30746BAE"/>
    <w:rsid w:val="30796684"/>
    <w:rsid w:val="308771AA"/>
    <w:rsid w:val="30B630DA"/>
    <w:rsid w:val="30BC7DFD"/>
    <w:rsid w:val="30C10BD3"/>
    <w:rsid w:val="311B7ADF"/>
    <w:rsid w:val="31A71AF2"/>
    <w:rsid w:val="31CD692D"/>
    <w:rsid w:val="31F54CEC"/>
    <w:rsid w:val="31F56894"/>
    <w:rsid w:val="323241D8"/>
    <w:rsid w:val="32F53AE7"/>
    <w:rsid w:val="330E6E04"/>
    <w:rsid w:val="333C2BA5"/>
    <w:rsid w:val="33506B9F"/>
    <w:rsid w:val="337850A9"/>
    <w:rsid w:val="33854234"/>
    <w:rsid w:val="34B90F4B"/>
    <w:rsid w:val="34BF7502"/>
    <w:rsid w:val="352E5F4D"/>
    <w:rsid w:val="35410D7F"/>
    <w:rsid w:val="35D543A7"/>
    <w:rsid w:val="361F7874"/>
    <w:rsid w:val="36471469"/>
    <w:rsid w:val="36780EB8"/>
    <w:rsid w:val="36AA125B"/>
    <w:rsid w:val="36D80718"/>
    <w:rsid w:val="37465815"/>
    <w:rsid w:val="37B84271"/>
    <w:rsid w:val="37C85C57"/>
    <w:rsid w:val="37DD1255"/>
    <w:rsid w:val="382A05EF"/>
    <w:rsid w:val="388C3D26"/>
    <w:rsid w:val="391A269D"/>
    <w:rsid w:val="3984237B"/>
    <w:rsid w:val="399B3F2E"/>
    <w:rsid w:val="39E77F80"/>
    <w:rsid w:val="3A197947"/>
    <w:rsid w:val="3A426528"/>
    <w:rsid w:val="3A6619AF"/>
    <w:rsid w:val="3ABC5CEB"/>
    <w:rsid w:val="3AD9266B"/>
    <w:rsid w:val="3B4F1F83"/>
    <w:rsid w:val="3B5C0109"/>
    <w:rsid w:val="3BD964C0"/>
    <w:rsid w:val="3C7F1D74"/>
    <w:rsid w:val="3CBC705D"/>
    <w:rsid w:val="3D844B26"/>
    <w:rsid w:val="3D9314D1"/>
    <w:rsid w:val="3DC9069B"/>
    <w:rsid w:val="3DD47255"/>
    <w:rsid w:val="3E0A6441"/>
    <w:rsid w:val="3ECD1D41"/>
    <w:rsid w:val="3F940D9B"/>
    <w:rsid w:val="3F9A4950"/>
    <w:rsid w:val="3FBC0A24"/>
    <w:rsid w:val="3FDF53BA"/>
    <w:rsid w:val="40F440AD"/>
    <w:rsid w:val="41630D5E"/>
    <w:rsid w:val="41836B08"/>
    <w:rsid w:val="420F3A11"/>
    <w:rsid w:val="4250470D"/>
    <w:rsid w:val="425761C4"/>
    <w:rsid w:val="42B8039B"/>
    <w:rsid w:val="42CE4911"/>
    <w:rsid w:val="44190DD7"/>
    <w:rsid w:val="44366EF8"/>
    <w:rsid w:val="443D0466"/>
    <w:rsid w:val="44651E49"/>
    <w:rsid w:val="446C7202"/>
    <w:rsid w:val="446E522A"/>
    <w:rsid w:val="44915D4D"/>
    <w:rsid w:val="44AB00AF"/>
    <w:rsid w:val="44B13FD0"/>
    <w:rsid w:val="458C53E6"/>
    <w:rsid w:val="4638596E"/>
    <w:rsid w:val="46E575FB"/>
    <w:rsid w:val="46FB08FB"/>
    <w:rsid w:val="47082F4F"/>
    <w:rsid w:val="471764A1"/>
    <w:rsid w:val="47426E8F"/>
    <w:rsid w:val="47E32EDF"/>
    <w:rsid w:val="48061CED"/>
    <w:rsid w:val="480E7A98"/>
    <w:rsid w:val="481334F1"/>
    <w:rsid w:val="483B5957"/>
    <w:rsid w:val="48AE5886"/>
    <w:rsid w:val="491848C8"/>
    <w:rsid w:val="495A158B"/>
    <w:rsid w:val="4A23610B"/>
    <w:rsid w:val="4A2C236B"/>
    <w:rsid w:val="4A5E20C6"/>
    <w:rsid w:val="4A945CA5"/>
    <w:rsid w:val="4AAA559D"/>
    <w:rsid w:val="4ACD3AC6"/>
    <w:rsid w:val="4B1328EF"/>
    <w:rsid w:val="4B2D7363"/>
    <w:rsid w:val="4B7E2053"/>
    <w:rsid w:val="4BC70B9F"/>
    <w:rsid w:val="4BC861BA"/>
    <w:rsid w:val="4C383D20"/>
    <w:rsid w:val="4C840B2D"/>
    <w:rsid w:val="4CB13B5E"/>
    <w:rsid w:val="4CC16BEA"/>
    <w:rsid w:val="4CF0529F"/>
    <w:rsid w:val="4D555286"/>
    <w:rsid w:val="4D562E9C"/>
    <w:rsid w:val="4D712FB4"/>
    <w:rsid w:val="4D7C0D25"/>
    <w:rsid w:val="4D7E7866"/>
    <w:rsid w:val="4D9C696F"/>
    <w:rsid w:val="4E1E76B9"/>
    <w:rsid w:val="4E235ED6"/>
    <w:rsid w:val="4E524648"/>
    <w:rsid w:val="4E525069"/>
    <w:rsid w:val="4E8E297B"/>
    <w:rsid w:val="4F187956"/>
    <w:rsid w:val="4F296714"/>
    <w:rsid w:val="4F2B2950"/>
    <w:rsid w:val="4F67738D"/>
    <w:rsid w:val="503D25AC"/>
    <w:rsid w:val="508C27A1"/>
    <w:rsid w:val="50A46BB1"/>
    <w:rsid w:val="50BE6432"/>
    <w:rsid w:val="50FC75F8"/>
    <w:rsid w:val="51352B7C"/>
    <w:rsid w:val="514A2949"/>
    <w:rsid w:val="51F80923"/>
    <w:rsid w:val="522F4FD9"/>
    <w:rsid w:val="531B1D60"/>
    <w:rsid w:val="534A562B"/>
    <w:rsid w:val="536E0CCC"/>
    <w:rsid w:val="538D3CBE"/>
    <w:rsid w:val="53D2790E"/>
    <w:rsid w:val="53F67D43"/>
    <w:rsid w:val="546F04A3"/>
    <w:rsid w:val="54BE3852"/>
    <w:rsid w:val="54E15E2B"/>
    <w:rsid w:val="550A2AE9"/>
    <w:rsid w:val="55425F90"/>
    <w:rsid w:val="55580825"/>
    <w:rsid w:val="563D798B"/>
    <w:rsid w:val="56413F02"/>
    <w:rsid w:val="565B03F8"/>
    <w:rsid w:val="56852C26"/>
    <w:rsid w:val="56B9426B"/>
    <w:rsid w:val="571012D7"/>
    <w:rsid w:val="57263E3B"/>
    <w:rsid w:val="576D32A7"/>
    <w:rsid w:val="578E27DC"/>
    <w:rsid w:val="579036DB"/>
    <w:rsid w:val="57A10A3F"/>
    <w:rsid w:val="57DE3D07"/>
    <w:rsid w:val="58662C08"/>
    <w:rsid w:val="589F66DB"/>
    <w:rsid w:val="58FB73D6"/>
    <w:rsid w:val="59191044"/>
    <w:rsid w:val="594F0B6B"/>
    <w:rsid w:val="5A0F2173"/>
    <w:rsid w:val="5A8B14BC"/>
    <w:rsid w:val="5A91692F"/>
    <w:rsid w:val="5B56175F"/>
    <w:rsid w:val="5B8420D5"/>
    <w:rsid w:val="5BA72DCA"/>
    <w:rsid w:val="5BC27EB5"/>
    <w:rsid w:val="5BF01B65"/>
    <w:rsid w:val="5C62014C"/>
    <w:rsid w:val="5C78194C"/>
    <w:rsid w:val="5C8D1BE7"/>
    <w:rsid w:val="5CAB2299"/>
    <w:rsid w:val="5CDB7D9E"/>
    <w:rsid w:val="5D0F163A"/>
    <w:rsid w:val="5DD44F9C"/>
    <w:rsid w:val="5DE463BF"/>
    <w:rsid w:val="5E1F6605"/>
    <w:rsid w:val="5EC228FE"/>
    <w:rsid w:val="5F0A0E0B"/>
    <w:rsid w:val="5FEA46E0"/>
    <w:rsid w:val="5FFA47BE"/>
    <w:rsid w:val="60037524"/>
    <w:rsid w:val="60364BFB"/>
    <w:rsid w:val="607D5A8F"/>
    <w:rsid w:val="60A44E8E"/>
    <w:rsid w:val="60EB4299"/>
    <w:rsid w:val="61080CB6"/>
    <w:rsid w:val="612C3E74"/>
    <w:rsid w:val="615E5BCD"/>
    <w:rsid w:val="61A57858"/>
    <w:rsid w:val="61B139B5"/>
    <w:rsid w:val="61CF136B"/>
    <w:rsid w:val="625212FD"/>
    <w:rsid w:val="627668F2"/>
    <w:rsid w:val="62810EE7"/>
    <w:rsid w:val="62D173A3"/>
    <w:rsid w:val="630942B3"/>
    <w:rsid w:val="634C751D"/>
    <w:rsid w:val="638805D7"/>
    <w:rsid w:val="63B31B66"/>
    <w:rsid w:val="6404616A"/>
    <w:rsid w:val="642555D4"/>
    <w:rsid w:val="64347BEA"/>
    <w:rsid w:val="6435208E"/>
    <w:rsid w:val="647D7177"/>
    <w:rsid w:val="649A25F2"/>
    <w:rsid w:val="64A70B1A"/>
    <w:rsid w:val="64C85862"/>
    <w:rsid w:val="64D31289"/>
    <w:rsid w:val="66383CCB"/>
    <w:rsid w:val="67041313"/>
    <w:rsid w:val="673807DA"/>
    <w:rsid w:val="674711C0"/>
    <w:rsid w:val="67574C9C"/>
    <w:rsid w:val="675D47E0"/>
    <w:rsid w:val="67781433"/>
    <w:rsid w:val="67966BAB"/>
    <w:rsid w:val="68D0468F"/>
    <w:rsid w:val="69595687"/>
    <w:rsid w:val="6A0651BC"/>
    <w:rsid w:val="6A25636F"/>
    <w:rsid w:val="6A786D8C"/>
    <w:rsid w:val="6AA92F1A"/>
    <w:rsid w:val="6B0433C5"/>
    <w:rsid w:val="6B2225F4"/>
    <w:rsid w:val="6B56074C"/>
    <w:rsid w:val="6B7C6D8A"/>
    <w:rsid w:val="6B8F7500"/>
    <w:rsid w:val="6BF75904"/>
    <w:rsid w:val="6C9F64DB"/>
    <w:rsid w:val="6CBA385E"/>
    <w:rsid w:val="6CD03DE4"/>
    <w:rsid w:val="6CD70F4C"/>
    <w:rsid w:val="6CE23622"/>
    <w:rsid w:val="6CE3380B"/>
    <w:rsid w:val="6CFC1832"/>
    <w:rsid w:val="6D046766"/>
    <w:rsid w:val="6D2D09DA"/>
    <w:rsid w:val="6D872583"/>
    <w:rsid w:val="6DDA2C45"/>
    <w:rsid w:val="6E660293"/>
    <w:rsid w:val="6E6C67D3"/>
    <w:rsid w:val="6EC5724B"/>
    <w:rsid w:val="6EEE5A8D"/>
    <w:rsid w:val="6EFF43EB"/>
    <w:rsid w:val="6F67729C"/>
    <w:rsid w:val="6F9903F8"/>
    <w:rsid w:val="6FC73AE4"/>
    <w:rsid w:val="70701277"/>
    <w:rsid w:val="70E30729"/>
    <w:rsid w:val="70F06C96"/>
    <w:rsid w:val="7153703D"/>
    <w:rsid w:val="716D275B"/>
    <w:rsid w:val="72292882"/>
    <w:rsid w:val="722C5AC2"/>
    <w:rsid w:val="72350720"/>
    <w:rsid w:val="7260565A"/>
    <w:rsid w:val="727036C5"/>
    <w:rsid w:val="72D836D5"/>
    <w:rsid w:val="7306762B"/>
    <w:rsid w:val="73261745"/>
    <w:rsid w:val="73402ECA"/>
    <w:rsid w:val="7394143C"/>
    <w:rsid w:val="744F6DB0"/>
    <w:rsid w:val="756F4EA5"/>
    <w:rsid w:val="75B07B59"/>
    <w:rsid w:val="760B4E2F"/>
    <w:rsid w:val="764E4FF1"/>
    <w:rsid w:val="768F37EB"/>
    <w:rsid w:val="77036BA1"/>
    <w:rsid w:val="77222658"/>
    <w:rsid w:val="775D3FAC"/>
    <w:rsid w:val="77A22E2B"/>
    <w:rsid w:val="77D737B8"/>
    <w:rsid w:val="77EE0F20"/>
    <w:rsid w:val="77F83CF8"/>
    <w:rsid w:val="78830408"/>
    <w:rsid w:val="78C743AF"/>
    <w:rsid w:val="78C87666"/>
    <w:rsid w:val="79E74EA7"/>
    <w:rsid w:val="79EC2372"/>
    <w:rsid w:val="7A0423EA"/>
    <w:rsid w:val="7A362948"/>
    <w:rsid w:val="7A47162F"/>
    <w:rsid w:val="7A65719A"/>
    <w:rsid w:val="7AAE53AA"/>
    <w:rsid w:val="7AB858A9"/>
    <w:rsid w:val="7ABA1811"/>
    <w:rsid w:val="7B0D071A"/>
    <w:rsid w:val="7B186B1F"/>
    <w:rsid w:val="7B5622D6"/>
    <w:rsid w:val="7B7B559F"/>
    <w:rsid w:val="7BA17FCF"/>
    <w:rsid w:val="7BA45917"/>
    <w:rsid w:val="7BAC0078"/>
    <w:rsid w:val="7BB248D9"/>
    <w:rsid w:val="7BB60249"/>
    <w:rsid w:val="7BCB1854"/>
    <w:rsid w:val="7BDC3969"/>
    <w:rsid w:val="7BFE6FDF"/>
    <w:rsid w:val="7C227817"/>
    <w:rsid w:val="7C666C21"/>
    <w:rsid w:val="7C6E55F5"/>
    <w:rsid w:val="7CD8282A"/>
    <w:rsid w:val="7D563428"/>
    <w:rsid w:val="7D63567A"/>
    <w:rsid w:val="7DB976B4"/>
    <w:rsid w:val="7DC17726"/>
    <w:rsid w:val="7E037069"/>
    <w:rsid w:val="7E2B11F7"/>
    <w:rsid w:val="7E676F9A"/>
    <w:rsid w:val="7E7200E8"/>
    <w:rsid w:val="7E7708C0"/>
    <w:rsid w:val="7E874C5F"/>
    <w:rsid w:val="7EE24BFF"/>
    <w:rsid w:val="7F5C085A"/>
    <w:rsid w:val="7F7C4FBF"/>
    <w:rsid w:val="7F8F7FF4"/>
    <w:rsid w:val="7FBD0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character" w:styleId="7">
    <w:name w:val="Strong"/>
    <w:basedOn w:val="6"/>
    <w:qFormat/>
    <w:uiPriority w:val="0"/>
    <w:rPr>
      <w:b/>
    </w:rPr>
  </w:style>
  <w:style w:type="paragraph" w:customStyle="1" w:styleId="8">
    <w:name w:val="Revision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9">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0">
    <w:name w:val="页眉 字符"/>
    <w:basedOn w:val="6"/>
    <w:link w:val="4"/>
    <w:qFormat/>
    <w:uiPriority w:val="0"/>
    <w:rPr>
      <w:rFonts w:asciiTheme="minorHAnsi" w:hAnsiTheme="minorHAnsi" w:eastAsiaTheme="minorEastAsia" w:cstheme="minorBidi"/>
      <w:kern w:val="2"/>
      <w:sz w:val="18"/>
      <w:szCs w:val="18"/>
    </w:rPr>
  </w:style>
  <w:style w:type="character" w:customStyle="1" w:styleId="11">
    <w:name w:val="页脚 字符"/>
    <w:basedOn w:val="6"/>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4408</Words>
  <Characters>22822</Characters>
  <Lines>177</Lines>
  <Paragraphs>49</Paragraphs>
  <TotalTime>1</TotalTime>
  <ScaleCrop>false</ScaleCrop>
  <LinksUpToDate>false</LinksUpToDate>
  <CharactersWithSpaces>27087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2025-08-09T08:26:00Z</dcterms:created>
  <dcterms:modified xsi:type="dcterms:W3CDTF">2026-07-21T09:25:40Z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eyJoZGlkIjoiYWNlMmVkNzFhMGYyYzA5NmQzMjhjYzFlYzE2YjViOTYiLCJ1c2VySWQiOiI5Njg5MjE2MTgifQ==</vt:lpwstr>
  </property>
  <property fmtid="{D5CDD505-2E9C-101B-9397-08002B2CF9AE}" pid="4" name="ICV">
    <vt:lpwstr>8744610DD3764BDA9163BAFA626A3BD1_13</vt:lpwstr>
  </property>
</Properties>
</file>