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01FB4" w14:textId="77777777" w:rsidR="0020797A" w:rsidRDefault="0020797A" w:rsidP="0020797A">
      <w:pPr>
        <w:spacing w:line="360" w:lineRule="auto"/>
        <w:ind w:firstLineChars="200" w:firstLine="420"/>
        <w:jc w:val="left"/>
        <w:rPr>
          <w:rStyle w:val="Strong"/>
          <w:rFonts w:ascii="Times New Roman" w:eastAsia="SimSun" w:hAnsi="Times New Roman" w:cs="Times New Roman"/>
          <w:b w:val="0"/>
          <w:color w:val="0F1115"/>
          <w:szCs w:val="21"/>
          <w:shd w:val="clear" w:color="auto" w:fill="FFFFFF"/>
        </w:rPr>
      </w:pPr>
      <w:r>
        <w:rPr>
          <w:rStyle w:val="Strong"/>
          <w:rFonts w:ascii="Times New Roman" w:eastAsia="SimSun" w:hAnsi="Times New Roman" w:cs="Times New Roman"/>
          <w:b w:val="0"/>
          <w:color w:val="0F1115"/>
          <w:szCs w:val="21"/>
          <w:shd w:val="clear" w:color="auto" w:fill="FFFFFF"/>
        </w:rPr>
        <w:t xml:space="preserve">Table </w:t>
      </w:r>
      <w:r>
        <w:rPr>
          <w:rStyle w:val="Strong"/>
          <w:rFonts w:ascii="Times New Roman" w:eastAsia="SimSun" w:hAnsi="Times New Roman" w:cs="Times New Roman" w:hint="eastAsia"/>
          <w:b w:val="0"/>
          <w:color w:val="0F1115"/>
          <w:szCs w:val="21"/>
          <w:shd w:val="clear" w:color="auto" w:fill="FFFFFF"/>
        </w:rPr>
        <w:t>S</w:t>
      </w:r>
      <w:r>
        <w:rPr>
          <w:rStyle w:val="Strong"/>
          <w:rFonts w:ascii="Times New Roman" w:eastAsia="SimSun" w:hAnsi="Times New Roman" w:cs="Times New Roman"/>
          <w:b w:val="0"/>
          <w:color w:val="0F1115"/>
          <w:szCs w:val="21"/>
          <w:shd w:val="clear" w:color="auto" w:fill="FFFFFF"/>
        </w:rPr>
        <w:t>1 Composition of the WGCNA metabolite module (MEgrey) under GA₃ treatment</w:t>
      </w:r>
    </w:p>
    <w:tbl>
      <w:tblPr>
        <w:tblW w:w="6240" w:type="dxa"/>
        <w:jc w:val="center"/>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372"/>
        <w:gridCol w:w="1772"/>
        <w:gridCol w:w="1096"/>
      </w:tblGrid>
      <w:tr w:rsidR="0020797A" w14:paraId="417B7F2D" w14:textId="77777777" w:rsidTr="00F77D6F">
        <w:trPr>
          <w:trHeight w:val="536"/>
          <w:tblHeader/>
          <w:jc w:val="center"/>
        </w:trPr>
        <w:tc>
          <w:tcPr>
            <w:tcW w:w="0" w:type="auto"/>
            <w:tcBorders>
              <w:bottom w:val="single" w:sz="4" w:space="0" w:color="auto"/>
            </w:tcBorders>
            <w:shd w:val="clear" w:color="auto" w:fill="FFFFFF"/>
            <w:tcMar>
              <w:top w:w="100" w:type="dxa"/>
              <w:left w:w="0" w:type="dxa"/>
              <w:bottom w:w="100" w:type="dxa"/>
              <w:right w:w="160" w:type="dxa"/>
            </w:tcMar>
            <w:vAlign w:val="center"/>
          </w:tcPr>
          <w:p w14:paraId="7A0CFD5A" w14:textId="77777777" w:rsidR="0020797A" w:rsidRDefault="0020797A" w:rsidP="00F77D6F">
            <w:pPr>
              <w:widowControl/>
              <w:jc w:val="center"/>
              <w:rPr>
                <w:rFonts w:ascii="Times New Roman" w:eastAsia="var(--dsw-font-markdown-table-h" w:hAnsi="Times New Roman" w:cs="Times New Roman"/>
                <w:b/>
                <w:bCs/>
                <w:color w:val="0F1115"/>
                <w:szCs w:val="21"/>
              </w:rPr>
            </w:pPr>
            <w:r>
              <w:rPr>
                <w:rFonts w:ascii="Times New Roman" w:eastAsia="var(--dsw-font-markdown-table-h" w:hAnsi="Times New Roman" w:cs="Times New Roman"/>
                <w:b/>
                <w:bCs/>
                <w:color w:val="0F1115"/>
                <w:kern w:val="0"/>
                <w:szCs w:val="21"/>
                <w:lang w:bidi="ar"/>
              </w:rPr>
              <w:t>Metabolite</w:t>
            </w:r>
          </w:p>
        </w:tc>
        <w:tc>
          <w:tcPr>
            <w:tcW w:w="0" w:type="auto"/>
            <w:tcBorders>
              <w:bottom w:val="single" w:sz="4" w:space="0" w:color="auto"/>
            </w:tcBorders>
            <w:shd w:val="clear" w:color="auto" w:fill="FFFFFF"/>
            <w:tcMar>
              <w:top w:w="100" w:type="dxa"/>
              <w:left w:w="160" w:type="dxa"/>
              <w:bottom w:w="100" w:type="dxa"/>
              <w:right w:w="160" w:type="dxa"/>
            </w:tcMar>
            <w:vAlign w:val="center"/>
          </w:tcPr>
          <w:p w14:paraId="5F60520A" w14:textId="77777777" w:rsidR="0020797A" w:rsidRDefault="0020797A" w:rsidP="00F77D6F">
            <w:pPr>
              <w:widowControl/>
              <w:jc w:val="center"/>
              <w:rPr>
                <w:rFonts w:ascii="Times New Roman" w:eastAsia="var(--dsw-font-markdown-table-h" w:hAnsi="Times New Roman" w:cs="Times New Roman"/>
                <w:b/>
                <w:bCs/>
                <w:color w:val="0F1115"/>
                <w:szCs w:val="21"/>
              </w:rPr>
            </w:pPr>
            <w:r>
              <w:rPr>
                <w:rFonts w:ascii="Times New Roman" w:eastAsia="var(--dsw-font-markdown-table-h" w:hAnsi="Times New Roman" w:cs="Times New Roman"/>
                <w:b/>
                <w:bCs/>
                <w:color w:val="0F1115"/>
                <w:kern w:val="0"/>
                <w:szCs w:val="21"/>
                <w:lang w:bidi="ar"/>
              </w:rPr>
              <w:t>Category</w:t>
            </w:r>
          </w:p>
        </w:tc>
        <w:tc>
          <w:tcPr>
            <w:tcW w:w="0" w:type="auto"/>
            <w:tcBorders>
              <w:bottom w:val="single" w:sz="4" w:space="0" w:color="auto"/>
            </w:tcBorders>
            <w:shd w:val="clear" w:color="auto" w:fill="FFFFFF"/>
            <w:tcMar>
              <w:top w:w="100" w:type="dxa"/>
              <w:left w:w="160" w:type="dxa"/>
              <w:bottom w:w="100" w:type="dxa"/>
              <w:right w:w="160" w:type="dxa"/>
            </w:tcMar>
            <w:vAlign w:val="center"/>
          </w:tcPr>
          <w:p w14:paraId="0D383CA7" w14:textId="77777777" w:rsidR="0020797A" w:rsidRDefault="0020797A" w:rsidP="00F77D6F">
            <w:pPr>
              <w:widowControl/>
              <w:jc w:val="center"/>
              <w:rPr>
                <w:rFonts w:ascii="Times New Roman" w:eastAsia="var(--dsw-font-markdown-table-h" w:hAnsi="Times New Roman" w:cs="Times New Roman"/>
                <w:b/>
                <w:bCs/>
                <w:color w:val="0F1115"/>
                <w:szCs w:val="21"/>
              </w:rPr>
            </w:pPr>
            <w:r>
              <w:rPr>
                <w:rFonts w:ascii="Times New Roman" w:eastAsia="var(--dsw-font-markdown-table-h" w:hAnsi="Times New Roman" w:cs="Times New Roman"/>
                <w:b/>
                <w:bCs/>
                <w:color w:val="0F1115"/>
                <w:kern w:val="0"/>
                <w:szCs w:val="21"/>
                <w:lang w:bidi="ar"/>
              </w:rPr>
              <w:t>KEGG ID</w:t>
            </w:r>
          </w:p>
        </w:tc>
      </w:tr>
      <w:tr w:rsidR="0020797A" w14:paraId="2FD77897" w14:textId="77777777" w:rsidTr="00F77D6F">
        <w:trPr>
          <w:jc w:val="center"/>
        </w:trPr>
        <w:tc>
          <w:tcPr>
            <w:tcW w:w="0" w:type="auto"/>
            <w:tcBorders>
              <w:top w:val="single" w:sz="4" w:space="0" w:color="auto"/>
              <w:tl2br w:val="nil"/>
              <w:tr2bl w:val="nil"/>
            </w:tcBorders>
            <w:shd w:val="clear" w:color="auto" w:fill="FFFFFF"/>
            <w:tcMar>
              <w:top w:w="100" w:type="dxa"/>
              <w:left w:w="0" w:type="dxa"/>
              <w:bottom w:w="100" w:type="dxa"/>
              <w:right w:w="160" w:type="dxa"/>
            </w:tcMar>
            <w:vAlign w:val="center"/>
          </w:tcPr>
          <w:p w14:paraId="39CAB72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trans-Zeatin</w:t>
            </w:r>
          </w:p>
        </w:tc>
        <w:tc>
          <w:tcPr>
            <w:tcW w:w="0" w:type="auto"/>
            <w:tcBorders>
              <w:top w:val="single" w:sz="4" w:space="0" w:color="auto"/>
              <w:tl2br w:val="nil"/>
              <w:tr2bl w:val="nil"/>
            </w:tcBorders>
            <w:shd w:val="clear" w:color="auto" w:fill="FFFFFF"/>
            <w:tcMar>
              <w:top w:w="100" w:type="dxa"/>
              <w:left w:w="160" w:type="dxa"/>
              <w:bottom w:w="100" w:type="dxa"/>
              <w:right w:w="160" w:type="dxa"/>
            </w:tcMar>
            <w:vAlign w:val="center"/>
          </w:tcPr>
          <w:p w14:paraId="30E0B91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op w:val="single" w:sz="4" w:space="0" w:color="auto"/>
              <w:tl2br w:val="nil"/>
              <w:tr2bl w:val="nil"/>
            </w:tcBorders>
            <w:shd w:val="clear" w:color="auto" w:fill="FFFFFF"/>
            <w:tcMar>
              <w:top w:w="100" w:type="dxa"/>
              <w:left w:w="160" w:type="dxa"/>
              <w:bottom w:w="100" w:type="dxa"/>
              <w:right w:w="0" w:type="dxa"/>
            </w:tcMar>
            <w:vAlign w:val="center"/>
          </w:tcPr>
          <w:p w14:paraId="38299F77"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C00371</w:t>
            </w:r>
          </w:p>
        </w:tc>
      </w:tr>
      <w:tr w:rsidR="0020797A" w14:paraId="1A06DE80"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783A02F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trans-Zeatin-riboside</w:t>
            </w:r>
          </w:p>
        </w:tc>
        <w:tc>
          <w:tcPr>
            <w:tcW w:w="0" w:type="auto"/>
            <w:tcBorders>
              <w:tl2br w:val="nil"/>
              <w:tr2bl w:val="nil"/>
            </w:tcBorders>
            <w:shd w:val="clear" w:color="auto" w:fill="FFFFFF"/>
            <w:tcMar>
              <w:top w:w="100" w:type="dxa"/>
              <w:left w:w="160" w:type="dxa"/>
              <w:bottom w:w="100" w:type="dxa"/>
              <w:right w:w="160" w:type="dxa"/>
            </w:tcMar>
            <w:vAlign w:val="center"/>
          </w:tcPr>
          <w:p w14:paraId="6490637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1245C79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6A9CCA27"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492848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Cis-Zeatin</w:t>
            </w:r>
          </w:p>
        </w:tc>
        <w:tc>
          <w:tcPr>
            <w:tcW w:w="0" w:type="auto"/>
            <w:tcBorders>
              <w:tl2br w:val="nil"/>
              <w:tr2bl w:val="nil"/>
            </w:tcBorders>
            <w:shd w:val="clear" w:color="auto" w:fill="FFFFFF"/>
            <w:tcMar>
              <w:top w:w="100" w:type="dxa"/>
              <w:left w:w="160" w:type="dxa"/>
              <w:bottom w:w="100" w:type="dxa"/>
              <w:right w:w="160" w:type="dxa"/>
            </w:tcMar>
            <w:vAlign w:val="center"/>
          </w:tcPr>
          <w:p w14:paraId="53F31971"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3023DB32"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C15545</w:t>
            </w:r>
          </w:p>
        </w:tc>
      </w:tr>
      <w:tr w:rsidR="0020797A" w14:paraId="4C1A6873"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C0434D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Dihydrozeatin</w:t>
            </w:r>
          </w:p>
        </w:tc>
        <w:tc>
          <w:tcPr>
            <w:tcW w:w="0" w:type="auto"/>
            <w:tcBorders>
              <w:tl2br w:val="nil"/>
              <w:tr2bl w:val="nil"/>
            </w:tcBorders>
            <w:shd w:val="clear" w:color="auto" w:fill="FFFFFF"/>
            <w:tcMar>
              <w:top w:w="100" w:type="dxa"/>
              <w:left w:w="160" w:type="dxa"/>
              <w:bottom w:w="100" w:type="dxa"/>
              <w:right w:w="160" w:type="dxa"/>
            </w:tcMar>
            <w:vAlign w:val="center"/>
          </w:tcPr>
          <w:p w14:paraId="686B69C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7BC4E88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2EDCEC4C"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2C25EE1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Kinetin</w:t>
            </w:r>
          </w:p>
        </w:tc>
        <w:tc>
          <w:tcPr>
            <w:tcW w:w="0" w:type="auto"/>
            <w:tcBorders>
              <w:tl2br w:val="nil"/>
              <w:tr2bl w:val="nil"/>
            </w:tcBorders>
            <w:shd w:val="clear" w:color="auto" w:fill="FFFFFF"/>
            <w:tcMar>
              <w:top w:w="100" w:type="dxa"/>
              <w:left w:w="160" w:type="dxa"/>
              <w:bottom w:w="100" w:type="dxa"/>
              <w:right w:w="160" w:type="dxa"/>
            </w:tcMar>
            <w:vAlign w:val="center"/>
          </w:tcPr>
          <w:p w14:paraId="462C2B9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279233E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C08272</w:t>
            </w:r>
          </w:p>
        </w:tc>
      </w:tr>
      <w:tr w:rsidR="0020797A" w14:paraId="46ED7831"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6C61E3D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N6-Isopentenyladenine</w:t>
            </w:r>
          </w:p>
        </w:tc>
        <w:tc>
          <w:tcPr>
            <w:tcW w:w="0" w:type="auto"/>
            <w:tcBorders>
              <w:tl2br w:val="nil"/>
              <w:tr2bl w:val="nil"/>
            </w:tcBorders>
            <w:shd w:val="clear" w:color="auto" w:fill="FFFFFF"/>
            <w:tcMar>
              <w:top w:w="100" w:type="dxa"/>
              <w:left w:w="160" w:type="dxa"/>
              <w:bottom w:w="100" w:type="dxa"/>
              <w:right w:w="160" w:type="dxa"/>
            </w:tcMar>
            <w:vAlign w:val="center"/>
          </w:tcPr>
          <w:p w14:paraId="026FA7B3"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10812ECF"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32224B33"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F28DB1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Isopentenyl adenosine</w:t>
            </w:r>
          </w:p>
        </w:tc>
        <w:tc>
          <w:tcPr>
            <w:tcW w:w="0" w:type="auto"/>
            <w:tcBorders>
              <w:tl2br w:val="nil"/>
              <w:tr2bl w:val="nil"/>
            </w:tcBorders>
            <w:shd w:val="clear" w:color="auto" w:fill="FFFFFF"/>
            <w:tcMar>
              <w:top w:w="100" w:type="dxa"/>
              <w:left w:w="160" w:type="dxa"/>
              <w:bottom w:w="100" w:type="dxa"/>
              <w:right w:w="160" w:type="dxa"/>
            </w:tcMar>
            <w:vAlign w:val="center"/>
          </w:tcPr>
          <w:p w14:paraId="7D6A2C1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Cytokinin</w:t>
            </w:r>
          </w:p>
        </w:tc>
        <w:tc>
          <w:tcPr>
            <w:tcW w:w="0" w:type="auto"/>
            <w:tcBorders>
              <w:tl2br w:val="nil"/>
              <w:tr2bl w:val="nil"/>
            </w:tcBorders>
            <w:shd w:val="clear" w:color="auto" w:fill="FFFFFF"/>
            <w:tcMar>
              <w:top w:w="100" w:type="dxa"/>
              <w:left w:w="160" w:type="dxa"/>
              <w:bottom w:w="100" w:type="dxa"/>
              <w:right w:w="0" w:type="dxa"/>
            </w:tcMar>
            <w:vAlign w:val="center"/>
          </w:tcPr>
          <w:p w14:paraId="6D2B5329"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C16427</w:t>
            </w:r>
          </w:p>
        </w:tc>
      </w:tr>
      <w:tr w:rsidR="0020797A" w14:paraId="7654B5E1"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68ABAE61"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 A₁</w:t>
            </w:r>
          </w:p>
        </w:tc>
        <w:tc>
          <w:tcPr>
            <w:tcW w:w="0" w:type="auto"/>
            <w:tcBorders>
              <w:tl2br w:val="nil"/>
              <w:tr2bl w:val="nil"/>
            </w:tcBorders>
            <w:shd w:val="clear" w:color="auto" w:fill="FFFFFF"/>
            <w:tcMar>
              <w:top w:w="100" w:type="dxa"/>
              <w:left w:w="160" w:type="dxa"/>
              <w:bottom w:w="100" w:type="dxa"/>
              <w:right w:w="160" w:type="dxa"/>
            </w:tcMar>
            <w:vAlign w:val="center"/>
          </w:tcPr>
          <w:p w14:paraId="1D4DAAB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w:t>
            </w:r>
          </w:p>
        </w:tc>
        <w:tc>
          <w:tcPr>
            <w:tcW w:w="0" w:type="auto"/>
            <w:tcBorders>
              <w:tl2br w:val="nil"/>
              <w:tr2bl w:val="nil"/>
            </w:tcBorders>
            <w:shd w:val="clear" w:color="auto" w:fill="FFFFFF"/>
            <w:tcMar>
              <w:top w:w="100" w:type="dxa"/>
              <w:left w:w="160" w:type="dxa"/>
              <w:bottom w:w="100" w:type="dxa"/>
              <w:right w:w="0" w:type="dxa"/>
            </w:tcMar>
            <w:vAlign w:val="center"/>
          </w:tcPr>
          <w:p w14:paraId="4799E78C"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C00859</w:t>
            </w:r>
          </w:p>
        </w:tc>
      </w:tr>
      <w:tr w:rsidR="0020797A" w14:paraId="767E0962"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2AD278A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 A₃</w:t>
            </w:r>
          </w:p>
        </w:tc>
        <w:tc>
          <w:tcPr>
            <w:tcW w:w="0" w:type="auto"/>
            <w:tcBorders>
              <w:tl2br w:val="nil"/>
              <w:tr2bl w:val="nil"/>
            </w:tcBorders>
            <w:shd w:val="clear" w:color="auto" w:fill="FFFFFF"/>
            <w:tcMar>
              <w:top w:w="100" w:type="dxa"/>
              <w:left w:w="160" w:type="dxa"/>
              <w:bottom w:w="100" w:type="dxa"/>
              <w:right w:w="160" w:type="dxa"/>
            </w:tcMar>
            <w:vAlign w:val="center"/>
          </w:tcPr>
          <w:p w14:paraId="676B07D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w:t>
            </w:r>
          </w:p>
        </w:tc>
        <w:tc>
          <w:tcPr>
            <w:tcW w:w="0" w:type="auto"/>
            <w:tcBorders>
              <w:tl2br w:val="nil"/>
              <w:tr2bl w:val="nil"/>
            </w:tcBorders>
            <w:shd w:val="clear" w:color="auto" w:fill="FFFFFF"/>
            <w:tcMar>
              <w:top w:w="100" w:type="dxa"/>
              <w:left w:w="160" w:type="dxa"/>
              <w:bottom w:w="100" w:type="dxa"/>
              <w:right w:w="0" w:type="dxa"/>
            </w:tcMar>
            <w:vAlign w:val="center"/>
          </w:tcPr>
          <w:p w14:paraId="1017A76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C01699</w:t>
            </w:r>
          </w:p>
        </w:tc>
      </w:tr>
      <w:tr w:rsidR="0020797A" w14:paraId="30DC84A3"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5C3AF52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 A₄</w:t>
            </w:r>
          </w:p>
        </w:tc>
        <w:tc>
          <w:tcPr>
            <w:tcW w:w="0" w:type="auto"/>
            <w:tcBorders>
              <w:tl2br w:val="nil"/>
              <w:tr2bl w:val="nil"/>
            </w:tcBorders>
            <w:shd w:val="clear" w:color="auto" w:fill="FFFFFF"/>
            <w:tcMar>
              <w:top w:w="100" w:type="dxa"/>
              <w:left w:w="160" w:type="dxa"/>
              <w:bottom w:w="100" w:type="dxa"/>
              <w:right w:w="160" w:type="dxa"/>
            </w:tcMar>
            <w:vAlign w:val="center"/>
          </w:tcPr>
          <w:p w14:paraId="5CDCB3DC"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w:t>
            </w:r>
          </w:p>
        </w:tc>
        <w:tc>
          <w:tcPr>
            <w:tcW w:w="0" w:type="auto"/>
            <w:tcBorders>
              <w:tl2br w:val="nil"/>
              <w:tr2bl w:val="nil"/>
            </w:tcBorders>
            <w:shd w:val="clear" w:color="auto" w:fill="FFFFFF"/>
            <w:tcMar>
              <w:top w:w="100" w:type="dxa"/>
              <w:left w:w="160" w:type="dxa"/>
              <w:bottom w:w="100" w:type="dxa"/>
              <w:right w:w="0" w:type="dxa"/>
            </w:tcMar>
            <w:vAlign w:val="center"/>
          </w:tcPr>
          <w:p w14:paraId="19ECEA12"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C11864</w:t>
            </w:r>
          </w:p>
        </w:tc>
      </w:tr>
      <w:tr w:rsidR="0020797A" w14:paraId="78A034EB"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6D941B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 A₇</w:t>
            </w:r>
          </w:p>
        </w:tc>
        <w:tc>
          <w:tcPr>
            <w:tcW w:w="0" w:type="auto"/>
            <w:tcBorders>
              <w:tl2br w:val="nil"/>
              <w:tr2bl w:val="nil"/>
            </w:tcBorders>
            <w:shd w:val="clear" w:color="auto" w:fill="FFFFFF"/>
            <w:tcMar>
              <w:top w:w="100" w:type="dxa"/>
              <w:left w:w="160" w:type="dxa"/>
              <w:bottom w:w="100" w:type="dxa"/>
              <w:right w:w="160" w:type="dxa"/>
            </w:tcMar>
            <w:vAlign w:val="center"/>
          </w:tcPr>
          <w:p w14:paraId="27BB2E4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Gibberellin</w:t>
            </w:r>
          </w:p>
        </w:tc>
        <w:tc>
          <w:tcPr>
            <w:tcW w:w="0" w:type="auto"/>
            <w:tcBorders>
              <w:tl2br w:val="nil"/>
              <w:tr2bl w:val="nil"/>
            </w:tcBorders>
            <w:shd w:val="clear" w:color="auto" w:fill="FFFFFF"/>
            <w:tcMar>
              <w:top w:w="100" w:type="dxa"/>
              <w:left w:w="160" w:type="dxa"/>
              <w:bottom w:w="100" w:type="dxa"/>
              <w:right w:w="0" w:type="dxa"/>
            </w:tcMar>
            <w:vAlign w:val="center"/>
          </w:tcPr>
          <w:p w14:paraId="52EA1122"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C11867</w:t>
            </w:r>
          </w:p>
        </w:tc>
      </w:tr>
      <w:tr w:rsidR="0020797A" w14:paraId="206E75B6"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351B06F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Indole-3-acetic acid (IAA)</w:t>
            </w:r>
          </w:p>
        </w:tc>
        <w:tc>
          <w:tcPr>
            <w:tcW w:w="0" w:type="auto"/>
            <w:tcBorders>
              <w:tl2br w:val="nil"/>
              <w:tr2bl w:val="nil"/>
            </w:tcBorders>
            <w:shd w:val="clear" w:color="auto" w:fill="FFFFFF"/>
            <w:tcMar>
              <w:top w:w="100" w:type="dxa"/>
              <w:left w:w="160" w:type="dxa"/>
              <w:bottom w:w="100" w:type="dxa"/>
              <w:right w:w="160" w:type="dxa"/>
            </w:tcMar>
            <w:vAlign w:val="center"/>
          </w:tcPr>
          <w:p w14:paraId="68E72BA3"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0781FA5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C00954</w:t>
            </w:r>
          </w:p>
        </w:tc>
      </w:tr>
      <w:tr w:rsidR="0020797A" w14:paraId="45550B9C"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48A69C3C"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3-Indolebutyric acid</w:t>
            </w:r>
          </w:p>
        </w:tc>
        <w:tc>
          <w:tcPr>
            <w:tcW w:w="0" w:type="auto"/>
            <w:tcBorders>
              <w:tl2br w:val="nil"/>
              <w:tr2bl w:val="nil"/>
            </w:tcBorders>
            <w:shd w:val="clear" w:color="auto" w:fill="FFFFFF"/>
            <w:tcMar>
              <w:top w:w="100" w:type="dxa"/>
              <w:left w:w="160" w:type="dxa"/>
              <w:bottom w:w="100" w:type="dxa"/>
              <w:right w:w="160" w:type="dxa"/>
            </w:tcMar>
            <w:vAlign w:val="center"/>
          </w:tcPr>
          <w:p w14:paraId="3AC490D3"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21F4BF21"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79EB6E58"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6AAB4978"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3-Indole propionic acid</w:t>
            </w:r>
          </w:p>
        </w:tc>
        <w:tc>
          <w:tcPr>
            <w:tcW w:w="0" w:type="auto"/>
            <w:tcBorders>
              <w:tl2br w:val="nil"/>
              <w:tr2bl w:val="nil"/>
            </w:tcBorders>
            <w:shd w:val="clear" w:color="auto" w:fill="FFFFFF"/>
            <w:tcMar>
              <w:top w:w="100" w:type="dxa"/>
              <w:left w:w="160" w:type="dxa"/>
              <w:bottom w:w="100" w:type="dxa"/>
              <w:right w:w="160" w:type="dxa"/>
            </w:tcMar>
            <w:vAlign w:val="center"/>
          </w:tcPr>
          <w:p w14:paraId="482E6CB7"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380D8671"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214632ED"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57F5293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Indole-3-carboxaldehyde</w:t>
            </w:r>
          </w:p>
        </w:tc>
        <w:tc>
          <w:tcPr>
            <w:tcW w:w="0" w:type="auto"/>
            <w:tcBorders>
              <w:tl2br w:val="nil"/>
              <w:tr2bl w:val="nil"/>
            </w:tcBorders>
            <w:shd w:val="clear" w:color="auto" w:fill="FFFFFF"/>
            <w:tcMar>
              <w:top w:w="100" w:type="dxa"/>
              <w:left w:w="160" w:type="dxa"/>
              <w:bottom w:w="100" w:type="dxa"/>
              <w:right w:w="160" w:type="dxa"/>
            </w:tcMar>
            <w:vAlign w:val="center"/>
          </w:tcPr>
          <w:p w14:paraId="733C125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6298F6F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C08493</w:t>
            </w:r>
          </w:p>
        </w:tc>
      </w:tr>
      <w:tr w:rsidR="0020797A" w14:paraId="6C984399"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D1C6A7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Methyl indole-3-acetate</w:t>
            </w:r>
          </w:p>
        </w:tc>
        <w:tc>
          <w:tcPr>
            <w:tcW w:w="0" w:type="auto"/>
            <w:tcBorders>
              <w:tl2br w:val="nil"/>
              <w:tr2bl w:val="nil"/>
            </w:tcBorders>
            <w:shd w:val="clear" w:color="auto" w:fill="FFFFFF"/>
            <w:tcMar>
              <w:top w:w="100" w:type="dxa"/>
              <w:left w:w="160" w:type="dxa"/>
              <w:bottom w:w="100" w:type="dxa"/>
              <w:right w:w="160" w:type="dxa"/>
            </w:tcMar>
            <w:vAlign w:val="center"/>
          </w:tcPr>
          <w:p w14:paraId="662E26AF"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138EE949"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14B6C13F"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2866399F"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trans-Indole-3-acrylic Acid</w:t>
            </w:r>
          </w:p>
        </w:tc>
        <w:tc>
          <w:tcPr>
            <w:tcW w:w="0" w:type="auto"/>
            <w:tcBorders>
              <w:tl2br w:val="nil"/>
              <w:tr2bl w:val="nil"/>
            </w:tcBorders>
            <w:shd w:val="clear" w:color="auto" w:fill="FFFFFF"/>
            <w:tcMar>
              <w:top w:w="100" w:type="dxa"/>
              <w:left w:w="160" w:type="dxa"/>
              <w:bottom w:w="100" w:type="dxa"/>
              <w:right w:w="160" w:type="dxa"/>
            </w:tcMar>
            <w:vAlign w:val="center"/>
          </w:tcPr>
          <w:p w14:paraId="74BD581C"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Auxin</w:t>
            </w:r>
          </w:p>
        </w:tc>
        <w:tc>
          <w:tcPr>
            <w:tcW w:w="0" w:type="auto"/>
            <w:tcBorders>
              <w:tl2br w:val="nil"/>
              <w:tr2bl w:val="nil"/>
            </w:tcBorders>
            <w:shd w:val="clear" w:color="auto" w:fill="FFFFFF"/>
            <w:tcMar>
              <w:top w:w="100" w:type="dxa"/>
              <w:left w:w="160" w:type="dxa"/>
              <w:bottom w:w="100" w:type="dxa"/>
              <w:right w:w="0" w:type="dxa"/>
            </w:tcMar>
            <w:vAlign w:val="center"/>
          </w:tcPr>
          <w:p w14:paraId="1EEA11B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22596267"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42205BF6"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Abscisic acid (ABA)</w:t>
            </w:r>
          </w:p>
        </w:tc>
        <w:tc>
          <w:tcPr>
            <w:tcW w:w="0" w:type="auto"/>
            <w:tcBorders>
              <w:tl2br w:val="nil"/>
              <w:tr2bl w:val="nil"/>
            </w:tcBorders>
            <w:shd w:val="clear" w:color="auto" w:fill="FFFFFF"/>
            <w:tcMar>
              <w:top w:w="100" w:type="dxa"/>
              <w:left w:w="160" w:type="dxa"/>
              <w:bottom w:w="100" w:type="dxa"/>
              <w:right w:w="160" w:type="dxa"/>
            </w:tcMar>
            <w:vAlign w:val="center"/>
          </w:tcPr>
          <w:p w14:paraId="6E74D08B"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Abscisic acid</w:t>
            </w:r>
          </w:p>
        </w:tc>
        <w:tc>
          <w:tcPr>
            <w:tcW w:w="0" w:type="auto"/>
            <w:tcBorders>
              <w:tl2br w:val="nil"/>
              <w:tr2bl w:val="nil"/>
            </w:tcBorders>
            <w:shd w:val="clear" w:color="auto" w:fill="FFFFFF"/>
            <w:tcMar>
              <w:top w:w="100" w:type="dxa"/>
              <w:left w:w="160" w:type="dxa"/>
              <w:bottom w:w="100" w:type="dxa"/>
              <w:right w:w="0" w:type="dxa"/>
            </w:tcMar>
            <w:vAlign w:val="center"/>
          </w:tcPr>
          <w:p w14:paraId="12715F1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C06082</w:t>
            </w:r>
          </w:p>
        </w:tc>
      </w:tr>
      <w:tr w:rsidR="0020797A" w14:paraId="64FE08BC"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5A20BE9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(±)-Jasmonic acid</w:t>
            </w:r>
          </w:p>
        </w:tc>
        <w:tc>
          <w:tcPr>
            <w:tcW w:w="0" w:type="auto"/>
            <w:tcBorders>
              <w:tl2br w:val="nil"/>
              <w:tr2bl w:val="nil"/>
            </w:tcBorders>
            <w:shd w:val="clear" w:color="auto" w:fill="FFFFFF"/>
            <w:tcMar>
              <w:top w:w="100" w:type="dxa"/>
              <w:left w:w="160" w:type="dxa"/>
              <w:bottom w:w="100" w:type="dxa"/>
              <w:right w:w="160" w:type="dxa"/>
            </w:tcMar>
            <w:vAlign w:val="center"/>
          </w:tcPr>
          <w:p w14:paraId="353D8BE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Jasmonic acid</w:t>
            </w:r>
          </w:p>
        </w:tc>
        <w:tc>
          <w:tcPr>
            <w:tcW w:w="0" w:type="auto"/>
            <w:tcBorders>
              <w:tl2br w:val="nil"/>
              <w:tr2bl w:val="nil"/>
            </w:tcBorders>
            <w:shd w:val="clear" w:color="auto" w:fill="FFFFFF"/>
            <w:tcMar>
              <w:top w:w="100" w:type="dxa"/>
              <w:left w:w="160" w:type="dxa"/>
              <w:bottom w:w="100" w:type="dxa"/>
              <w:right w:w="0" w:type="dxa"/>
            </w:tcMar>
            <w:vAlign w:val="center"/>
          </w:tcPr>
          <w:p w14:paraId="152C712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36D2EBE3"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00A2022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Methyl jasmonate</w:t>
            </w:r>
          </w:p>
        </w:tc>
        <w:tc>
          <w:tcPr>
            <w:tcW w:w="0" w:type="auto"/>
            <w:tcBorders>
              <w:tl2br w:val="nil"/>
              <w:tr2bl w:val="nil"/>
            </w:tcBorders>
            <w:shd w:val="clear" w:color="auto" w:fill="FFFFFF"/>
            <w:tcMar>
              <w:top w:w="100" w:type="dxa"/>
              <w:left w:w="160" w:type="dxa"/>
              <w:bottom w:w="100" w:type="dxa"/>
              <w:right w:w="160" w:type="dxa"/>
            </w:tcMar>
            <w:vAlign w:val="center"/>
          </w:tcPr>
          <w:p w14:paraId="623903DB"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Jasmonic acid</w:t>
            </w:r>
          </w:p>
        </w:tc>
        <w:tc>
          <w:tcPr>
            <w:tcW w:w="0" w:type="auto"/>
            <w:tcBorders>
              <w:tl2br w:val="nil"/>
              <w:tr2bl w:val="nil"/>
            </w:tcBorders>
            <w:shd w:val="clear" w:color="auto" w:fill="FFFFFF"/>
            <w:tcMar>
              <w:top w:w="100" w:type="dxa"/>
              <w:left w:w="160" w:type="dxa"/>
              <w:bottom w:w="100" w:type="dxa"/>
              <w:right w:w="0" w:type="dxa"/>
            </w:tcMar>
            <w:vAlign w:val="center"/>
          </w:tcPr>
          <w:p w14:paraId="4055CE2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4BAF9534"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54B03A02"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Dihydrojasmonic acid</w:t>
            </w:r>
          </w:p>
        </w:tc>
        <w:tc>
          <w:tcPr>
            <w:tcW w:w="0" w:type="auto"/>
            <w:tcBorders>
              <w:tl2br w:val="nil"/>
              <w:tr2bl w:val="nil"/>
            </w:tcBorders>
            <w:shd w:val="clear" w:color="auto" w:fill="FFFFFF"/>
            <w:tcMar>
              <w:top w:w="100" w:type="dxa"/>
              <w:left w:w="160" w:type="dxa"/>
              <w:bottom w:w="100" w:type="dxa"/>
              <w:right w:w="160" w:type="dxa"/>
            </w:tcMar>
            <w:vAlign w:val="center"/>
          </w:tcPr>
          <w:p w14:paraId="07AE30B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Jasmonic acid</w:t>
            </w:r>
          </w:p>
        </w:tc>
        <w:tc>
          <w:tcPr>
            <w:tcW w:w="0" w:type="auto"/>
            <w:tcBorders>
              <w:tl2br w:val="nil"/>
              <w:tr2bl w:val="nil"/>
            </w:tcBorders>
            <w:shd w:val="clear" w:color="auto" w:fill="FFFFFF"/>
            <w:tcMar>
              <w:top w:w="100" w:type="dxa"/>
              <w:left w:w="160" w:type="dxa"/>
              <w:bottom w:w="100" w:type="dxa"/>
              <w:right w:w="0" w:type="dxa"/>
            </w:tcMar>
            <w:vAlign w:val="center"/>
          </w:tcPr>
          <w:p w14:paraId="408F11E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6D9E8E2F"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29FBB92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Salicylic acid</w:t>
            </w:r>
          </w:p>
        </w:tc>
        <w:tc>
          <w:tcPr>
            <w:tcW w:w="0" w:type="auto"/>
            <w:tcBorders>
              <w:tl2br w:val="nil"/>
              <w:tr2bl w:val="nil"/>
            </w:tcBorders>
            <w:shd w:val="clear" w:color="auto" w:fill="FFFFFF"/>
            <w:tcMar>
              <w:top w:w="100" w:type="dxa"/>
              <w:left w:w="160" w:type="dxa"/>
              <w:bottom w:w="100" w:type="dxa"/>
              <w:right w:w="160" w:type="dxa"/>
            </w:tcMar>
            <w:vAlign w:val="center"/>
          </w:tcPr>
          <w:p w14:paraId="38FA7E5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Salicylic acid</w:t>
            </w:r>
          </w:p>
        </w:tc>
        <w:tc>
          <w:tcPr>
            <w:tcW w:w="0" w:type="auto"/>
            <w:tcBorders>
              <w:tl2br w:val="nil"/>
              <w:tr2bl w:val="nil"/>
            </w:tcBorders>
            <w:shd w:val="clear" w:color="auto" w:fill="FFFFFF"/>
            <w:tcMar>
              <w:top w:w="100" w:type="dxa"/>
              <w:left w:w="160" w:type="dxa"/>
              <w:bottom w:w="100" w:type="dxa"/>
              <w:right w:w="0" w:type="dxa"/>
            </w:tcMar>
            <w:vAlign w:val="center"/>
          </w:tcPr>
          <w:p w14:paraId="7CCD5E10"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C00805</w:t>
            </w:r>
          </w:p>
        </w:tc>
      </w:tr>
      <w:tr w:rsidR="0020797A" w14:paraId="7A1BE97F"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76C1A35F"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Methylsalicylate</w:t>
            </w:r>
          </w:p>
        </w:tc>
        <w:tc>
          <w:tcPr>
            <w:tcW w:w="0" w:type="auto"/>
            <w:tcBorders>
              <w:tl2br w:val="nil"/>
              <w:tr2bl w:val="nil"/>
            </w:tcBorders>
            <w:shd w:val="clear" w:color="auto" w:fill="FFFFFF"/>
            <w:tcMar>
              <w:top w:w="100" w:type="dxa"/>
              <w:left w:w="160" w:type="dxa"/>
              <w:bottom w:w="100" w:type="dxa"/>
              <w:right w:w="160" w:type="dxa"/>
            </w:tcMar>
            <w:vAlign w:val="center"/>
          </w:tcPr>
          <w:p w14:paraId="7DA56EE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Salicylic acid</w:t>
            </w:r>
          </w:p>
        </w:tc>
        <w:tc>
          <w:tcPr>
            <w:tcW w:w="0" w:type="auto"/>
            <w:tcBorders>
              <w:tl2br w:val="nil"/>
              <w:tr2bl w:val="nil"/>
            </w:tcBorders>
            <w:shd w:val="clear" w:color="auto" w:fill="FFFFFF"/>
            <w:tcMar>
              <w:top w:w="100" w:type="dxa"/>
              <w:left w:w="160" w:type="dxa"/>
              <w:bottom w:w="100" w:type="dxa"/>
              <w:right w:w="0" w:type="dxa"/>
            </w:tcMar>
            <w:vAlign w:val="center"/>
          </w:tcPr>
          <w:p w14:paraId="4E9D0D81"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C12305</w:t>
            </w:r>
          </w:p>
        </w:tc>
      </w:tr>
      <w:tr w:rsidR="0020797A" w14:paraId="3776E94A"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1BD9B2F6"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Brassinolide</w:t>
            </w:r>
          </w:p>
        </w:tc>
        <w:tc>
          <w:tcPr>
            <w:tcW w:w="0" w:type="auto"/>
            <w:tcBorders>
              <w:tl2br w:val="nil"/>
              <w:tr2bl w:val="nil"/>
            </w:tcBorders>
            <w:shd w:val="clear" w:color="auto" w:fill="FFFFFF"/>
            <w:tcMar>
              <w:top w:w="100" w:type="dxa"/>
              <w:left w:w="160" w:type="dxa"/>
              <w:bottom w:w="100" w:type="dxa"/>
              <w:right w:w="160" w:type="dxa"/>
            </w:tcMar>
            <w:vAlign w:val="center"/>
          </w:tcPr>
          <w:p w14:paraId="09B34ABB"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Brassinosteroid</w:t>
            </w:r>
          </w:p>
        </w:tc>
        <w:tc>
          <w:tcPr>
            <w:tcW w:w="0" w:type="auto"/>
            <w:tcBorders>
              <w:tl2br w:val="nil"/>
              <w:tr2bl w:val="nil"/>
            </w:tcBorders>
            <w:shd w:val="clear" w:color="auto" w:fill="FFFFFF"/>
            <w:tcMar>
              <w:top w:w="100" w:type="dxa"/>
              <w:left w:w="160" w:type="dxa"/>
              <w:bottom w:w="100" w:type="dxa"/>
              <w:right w:w="0" w:type="dxa"/>
            </w:tcMar>
            <w:vAlign w:val="center"/>
          </w:tcPr>
          <w:p w14:paraId="3E46A6B9"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C08814</w:t>
            </w:r>
          </w:p>
        </w:tc>
      </w:tr>
      <w:tr w:rsidR="0020797A" w14:paraId="5D8A6815"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67E08CC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Strigolactone</w:t>
            </w:r>
          </w:p>
        </w:tc>
        <w:tc>
          <w:tcPr>
            <w:tcW w:w="0" w:type="auto"/>
            <w:tcBorders>
              <w:tl2br w:val="nil"/>
              <w:tr2bl w:val="nil"/>
            </w:tcBorders>
            <w:shd w:val="clear" w:color="auto" w:fill="FFFFFF"/>
            <w:tcMar>
              <w:top w:w="100" w:type="dxa"/>
              <w:left w:w="160" w:type="dxa"/>
              <w:bottom w:w="100" w:type="dxa"/>
              <w:right w:w="160" w:type="dxa"/>
            </w:tcMar>
            <w:vAlign w:val="center"/>
          </w:tcPr>
          <w:p w14:paraId="2C869B45"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Strigolactone</w:t>
            </w:r>
          </w:p>
        </w:tc>
        <w:tc>
          <w:tcPr>
            <w:tcW w:w="0" w:type="auto"/>
            <w:tcBorders>
              <w:tl2br w:val="nil"/>
              <w:tr2bl w:val="nil"/>
            </w:tcBorders>
            <w:shd w:val="clear" w:color="auto" w:fill="FFFFFF"/>
            <w:tcMar>
              <w:top w:w="100" w:type="dxa"/>
              <w:left w:w="160" w:type="dxa"/>
              <w:bottom w:w="100" w:type="dxa"/>
              <w:right w:w="0" w:type="dxa"/>
            </w:tcMar>
            <w:vAlign w:val="center"/>
          </w:tcPr>
          <w:p w14:paraId="42FF772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46C72ABB"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21C7DCD3"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1-Aminocyclopropanecarboxylic acid (ACC)</w:t>
            </w:r>
          </w:p>
        </w:tc>
        <w:tc>
          <w:tcPr>
            <w:tcW w:w="0" w:type="auto"/>
            <w:tcBorders>
              <w:tl2br w:val="nil"/>
              <w:tr2bl w:val="nil"/>
            </w:tcBorders>
            <w:shd w:val="clear" w:color="auto" w:fill="FFFFFF"/>
            <w:tcMar>
              <w:top w:w="100" w:type="dxa"/>
              <w:left w:w="160" w:type="dxa"/>
              <w:bottom w:w="100" w:type="dxa"/>
              <w:right w:w="160" w:type="dxa"/>
            </w:tcMar>
            <w:vAlign w:val="center"/>
          </w:tcPr>
          <w:p w14:paraId="0B6F5369"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Ethylene precursor</w:t>
            </w:r>
          </w:p>
        </w:tc>
        <w:tc>
          <w:tcPr>
            <w:tcW w:w="0" w:type="auto"/>
            <w:tcBorders>
              <w:tl2br w:val="nil"/>
              <w:tr2bl w:val="nil"/>
            </w:tcBorders>
            <w:shd w:val="clear" w:color="auto" w:fill="FFFFFF"/>
            <w:tcMar>
              <w:top w:w="100" w:type="dxa"/>
              <w:left w:w="160" w:type="dxa"/>
              <w:bottom w:w="100" w:type="dxa"/>
              <w:right w:w="0" w:type="dxa"/>
            </w:tcMar>
            <w:vAlign w:val="center"/>
          </w:tcPr>
          <w:p w14:paraId="48DFA4E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4A55157C"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61BF33D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lastRenderedPageBreak/>
              <w:t>Melatonine</w:t>
            </w:r>
          </w:p>
        </w:tc>
        <w:tc>
          <w:tcPr>
            <w:tcW w:w="0" w:type="auto"/>
            <w:tcBorders>
              <w:tl2br w:val="nil"/>
              <w:tr2bl w:val="nil"/>
            </w:tcBorders>
            <w:shd w:val="clear" w:color="auto" w:fill="FFFFFF"/>
            <w:tcMar>
              <w:top w:w="100" w:type="dxa"/>
              <w:left w:w="160" w:type="dxa"/>
              <w:bottom w:w="100" w:type="dxa"/>
              <w:right w:w="160" w:type="dxa"/>
            </w:tcMar>
            <w:vAlign w:val="center"/>
          </w:tcPr>
          <w:p w14:paraId="7F343B6E"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Others</w:t>
            </w:r>
          </w:p>
        </w:tc>
        <w:tc>
          <w:tcPr>
            <w:tcW w:w="0" w:type="auto"/>
            <w:tcBorders>
              <w:tl2br w:val="nil"/>
              <w:tr2bl w:val="nil"/>
            </w:tcBorders>
            <w:shd w:val="clear" w:color="auto" w:fill="FFFFFF"/>
            <w:tcMar>
              <w:top w:w="100" w:type="dxa"/>
              <w:left w:w="160" w:type="dxa"/>
              <w:bottom w:w="100" w:type="dxa"/>
              <w:right w:w="0" w:type="dxa"/>
            </w:tcMar>
            <w:vAlign w:val="center"/>
          </w:tcPr>
          <w:p w14:paraId="11D8EEFD"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w:t>
            </w:r>
          </w:p>
        </w:tc>
      </w:tr>
      <w:tr w:rsidR="0020797A" w14:paraId="2A0D85DB" w14:textId="77777777" w:rsidTr="00F77D6F">
        <w:trPr>
          <w:jc w:val="center"/>
        </w:trPr>
        <w:tc>
          <w:tcPr>
            <w:tcW w:w="0" w:type="auto"/>
            <w:tcBorders>
              <w:tl2br w:val="nil"/>
              <w:tr2bl w:val="nil"/>
            </w:tcBorders>
            <w:shd w:val="clear" w:color="auto" w:fill="FFFFFF"/>
            <w:tcMar>
              <w:top w:w="100" w:type="dxa"/>
              <w:left w:w="0" w:type="dxa"/>
              <w:bottom w:w="100" w:type="dxa"/>
              <w:right w:w="160" w:type="dxa"/>
            </w:tcMar>
            <w:vAlign w:val="center"/>
          </w:tcPr>
          <w:p w14:paraId="3D260B04"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Doxifluridine</w:t>
            </w:r>
          </w:p>
        </w:tc>
        <w:tc>
          <w:tcPr>
            <w:tcW w:w="0" w:type="auto"/>
            <w:tcBorders>
              <w:tl2br w:val="nil"/>
              <w:tr2bl w:val="nil"/>
            </w:tcBorders>
            <w:shd w:val="clear" w:color="auto" w:fill="FFFFFF"/>
            <w:tcMar>
              <w:top w:w="100" w:type="dxa"/>
              <w:left w:w="160" w:type="dxa"/>
              <w:bottom w:w="100" w:type="dxa"/>
              <w:right w:w="160" w:type="dxa"/>
            </w:tcMar>
            <w:vAlign w:val="center"/>
          </w:tcPr>
          <w:p w14:paraId="7781718A"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Others</w:t>
            </w:r>
          </w:p>
        </w:tc>
        <w:tc>
          <w:tcPr>
            <w:tcW w:w="0" w:type="auto"/>
            <w:tcBorders>
              <w:tl2br w:val="nil"/>
              <w:tr2bl w:val="nil"/>
            </w:tcBorders>
            <w:shd w:val="clear" w:color="auto" w:fill="FFFFFF"/>
            <w:tcMar>
              <w:top w:w="100" w:type="dxa"/>
              <w:left w:w="160" w:type="dxa"/>
              <w:bottom w:w="100" w:type="dxa"/>
              <w:right w:w="0" w:type="dxa"/>
            </w:tcMar>
            <w:vAlign w:val="center"/>
          </w:tcPr>
          <w:p w14:paraId="3BEDBA36" w14:textId="77777777" w:rsidR="0020797A" w:rsidRDefault="0020797A" w:rsidP="00F77D6F">
            <w:pPr>
              <w:widowControl/>
              <w:jc w:val="center"/>
              <w:rPr>
                <w:rFonts w:ascii="Times New Roman" w:eastAsia="var(--dsw-font-markdown-table)" w:hAnsi="Times New Roman" w:cs="Times New Roman"/>
                <w:color w:val="0F1115"/>
                <w:szCs w:val="21"/>
              </w:rPr>
            </w:pPr>
            <w:r>
              <w:rPr>
                <w:rFonts w:ascii="Times New Roman" w:eastAsia="var(--dsw-font-markdown-table)" w:hAnsi="Times New Roman" w:cs="Times New Roman"/>
                <w:color w:val="0F1115"/>
                <w:kern w:val="0"/>
                <w:szCs w:val="21"/>
                <w:lang w:bidi="ar"/>
              </w:rPr>
              <w:t>C12739</w:t>
            </w:r>
          </w:p>
        </w:tc>
      </w:tr>
    </w:tbl>
    <w:p w14:paraId="63D4ED09" w14:textId="77777777" w:rsidR="0020797A" w:rsidRDefault="0020797A" w:rsidP="0020797A">
      <w:pPr>
        <w:ind w:firstLineChars="200" w:firstLine="360"/>
        <w:jc w:val="left"/>
        <w:rPr>
          <w:rStyle w:val="Strong"/>
          <w:rFonts w:ascii="Times New Roman" w:eastAsia="SimSun" w:hAnsi="Times New Roman" w:cs="Times New Roman"/>
          <w:b w:val="0"/>
          <w:color w:val="0F1115"/>
          <w:sz w:val="18"/>
          <w:szCs w:val="18"/>
          <w:shd w:val="clear" w:color="auto" w:fill="FFFFFF"/>
        </w:rPr>
      </w:pPr>
      <w:r>
        <w:rPr>
          <w:rStyle w:val="Strong"/>
          <w:rFonts w:ascii="Times New Roman" w:eastAsia="SimSun" w:hAnsi="Times New Roman" w:cs="Times New Roman"/>
          <w:b w:val="0"/>
          <w:color w:val="0F1115"/>
          <w:sz w:val="18"/>
          <w:szCs w:val="18"/>
          <w:shd w:val="clear" w:color="auto" w:fill="FFFFFF"/>
        </w:rPr>
        <w:t>Note: A total of 28 metabolites were assigned to the MEgrey module, encompassing gibberellins, cytokinins, auxins, abscisic acid, jasmonates, salicylic acid, brassinolide, strigolactone, an ethylene precursor, and two other metabolites. KEGG IDs were retrieved from the All_metabolites_anno.xls file; "—" indicates that no KEGG identifier was available for the corresponding metabolite. MEgrey represents the integrated metabolic signature of GA₃-induced global hormonal reprogramming.</w:t>
      </w:r>
    </w:p>
    <w:p w14:paraId="7A96613C" w14:textId="77777777" w:rsidR="0020797A" w:rsidRDefault="0020797A" w:rsidP="0020797A">
      <w:pPr>
        <w:spacing w:line="360" w:lineRule="auto"/>
        <w:ind w:firstLineChars="200" w:firstLine="480"/>
        <w:jc w:val="left"/>
        <w:rPr>
          <w:rStyle w:val="Strong"/>
          <w:rFonts w:ascii="Times New Roman" w:eastAsia="SimSun" w:hAnsi="Times New Roman" w:cs="Times New Roman"/>
          <w:b w:val="0"/>
          <w:color w:val="0F1115"/>
          <w:sz w:val="24"/>
          <w:shd w:val="clear" w:color="auto" w:fill="FFFFFF"/>
        </w:rPr>
      </w:pPr>
    </w:p>
    <w:p w14:paraId="761D3B5F" w14:textId="77777777" w:rsidR="0020797A" w:rsidRDefault="0020797A" w:rsidP="0020797A">
      <w:pPr>
        <w:spacing w:line="360" w:lineRule="auto"/>
        <w:ind w:firstLineChars="200" w:firstLine="420"/>
        <w:jc w:val="center"/>
        <w:rPr>
          <w:rStyle w:val="Strong"/>
          <w:rFonts w:ascii="Times New Roman" w:eastAsia="SimSun" w:hAnsi="Times New Roman" w:cs="Times New Roman"/>
          <w:b w:val="0"/>
          <w:color w:val="0F1115"/>
          <w:szCs w:val="21"/>
          <w:shd w:val="clear" w:color="auto" w:fill="FFFFFF"/>
        </w:rPr>
      </w:pPr>
      <w:r>
        <w:rPr>
          <w:rStyle w:val="Strong"/>
          <w:rFonts w:ascii="Times New Roman" w:eastAsia="SimSun" w:hAnsi="Times New Roman" w:cs="Times New Roman"/>
          <w:b w:val="0"/>
          <w:color w:val="0F1115"/>
          <w:szCs w:val="21"/>
          <w:shd w:val="clear" w:color="auto" w:fill="FFFFFF"/>
        </w:rPr>
        <w:t>Table S2 KEGG pathway enrichment analysis of differential metabolites under PP₃₃₃ treatment (Day 9)</w:t>
      </w:r>
    </w:p>
    <w:tbl>
      <w:tblPr>
        <w:tblW w:w="9032" w:type="dxa"/>
        <w:jc w:val="center"/>
        <w:tblBorders>
          <w:top w:val="single" w:sz="12" w:space="0" w:color="000000" w:themeColor="text1"/>
          <w:bottom w:val="single" w:sz="12" w:space="0" w:color="000000" w:themeColor="text1"/>
        </w:tblBorders>
        <w:tblLayout w:type="fixed"/>
        <w:tblLook w:val="04A0" w:firstRow="1" w:lastRow="0" w:firstColumn="1" w:lastColumn="0" w:noHBand="0" w:noVBand="1"/>
      </w:tblPr>
      <w:tblGrid>
        <w:gridCol w:w="3532"/>
        <w:gridCol w:w="1123"/>
        <w:gridCol w:w="1591"/>
        <w:gridCol w:w="2786"/>
      </w:tblGrid>
      <w:tr w:rsidR="0020797A" w14:paraId="09A66364" w14:textId="77777777" w:rsidTr="00F77D6F">
        <w:trPr>
          <w:trHeight w:val="280"/>
          <w:jc w:val="center"/>
        </w:trPr>
        <w:tc>
          <w:tcPr>
            <w:tcW w:w="3532" w:type="dxa"/>
            <w:tcBorders>
              <w:top w:val="single" w:sz="12" w:space="0" w:color="000000" w:themeColor="text1"/>
              <w:bottom w:val="single" w:sz="4" w:space="0" w:color="000000" w:themeColor="text1"/>
            </w:tcBorders>
            <w:noWrap/>
            <w:vAlign w:val="center"/>
          </w:tcPr>
          <w:p w14:paraId="5A7BA006" w14:textId="77777777" w:rsidR="0020797A" w:rsidRDefault="0020797A" w:rsidP="00F77D6F">
            <w:pPr>
              <w:widowControl/>
              <w:jc w:val="center"/>
              <w:textAlignment w:val="center"/>
              <w:rPr>
                <w:rFonts w:ascii="Times New Roman" w:eastAsia="SimSun" w:hAnsi="Times New Roman" w:cs="Times New Roman"/>
                <w:color w:val="000000"/>
                <w:kern w:val="0"/>
                <w:szCs w:val="21"/>
                <w:lang w:bidi="ar"/>
              </w:rPr>
            </w:pPr>
          </w:p>
          <w:p w14:paraId="53B6F167"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Pathway</w:t>
            </w:r>
          </w:p>
        </w:tc>
        <w:tc>
          <w:tcPr>
            <w:tcW w:w="1123" w:type="dxa"/>
            <w:tcBorders>
              <w:top w:val="single" w:sz="12" w:space="0" w:color="000000" w:themeColor="text1"/>
              <w:bottom w:val="single" w:sz="4" w:space="0" w:color="000000" w:themeColor="text1"/>
            </w:tcBorders>
            <w:noWrap/>
            <w:vAlign w:val="center"/>
          </w:tcPr>
          <w:p w14:paraId="2C57D37C"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KEGG ID</w:t>
            </w:r>
          </w:p>
        </w:tc>
        <w:tc>
          <w:tcPr>
            <w:tcW w:w="1591" w:type="dxa"/>
            <w:tcBorders>
              <w:top w:val="single" w:sz="12" w:space="0" w:color="000000" w:themeColor="text1"/>
              <w:bottom w:val="single" w:sz="4" w:space="0" w:color="000000" w:themeColor="text1"/>
            </w:tcBorders>
            <w:noWrap/>
            <w:vAlign w:val="center"/>
          </w:tcPr>
          <w:p w14:paraId="4059186F"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Differential metabolites / Total metabolites in pathway</w:t>
            </w:r>
          </w:p>
        </w:tc>
        <w:tc>
          <w:tcPr>
            <w:tcW w:w="2786" w:type="dxa"/>
            <w:tcBorders>
              <w:top w:val="single" w:sz="12" w:space="0" w:color="000000" w:themeColor="text1"/>
              <w:bottom w:val="single" w:sz="4" w:space="0" w:color="000000" w:themeColor="text1"/>
            </w:tcBorders>
            <w:noWrap/>
            <w:vAlign w:val="center"/>
          </w:tcPr>
          <w:p w14:paraId="350B32BE"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Differential metabolites</w:t>
            </w:r>
          </w:p>
        </w:tc>
      </w:tr>
      <w:tr w:rsidR="0020797A" w14:paraId="6394FD7C" w14:textId="77777777" w:rsidTr="00F77D6F">
        <w:trPr>
          <w:trHeight w:val="280"/>
          <w:jc w:val="center"/>
        </w:trPr>
        <w:tc>
          <w:tcPr>
            <w:tcW w:w="3532" w:type="dxa"/>
            <w:tcBorders>
              <w:top w:val="single" w:sz="4" w:space="0" w:color="000000" w:themeColor="text1"/>
            </w:tcBorders>
            <w:noWrap/>
            <w:vAlign w:val="center"/>
          </w:tcPr>
          <w:p w14:paraId="4F3FA7ED"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Plant hormone signal transduction</w:t>
            </w:r>
          </w:p>
        </w:tc>
        <w:tc>
          <w:tcPr>
            <w:tcW w:w="1123" w:type="dxa"/>
            <w:tcBorders>
              <w:top w:val="single" w:sz="4" w:space="0" w:color="000000" w:themeColor="text1"/>
            </w:tcBorders>
            <w:noWrap/>
            <w:vAlign w:val="center"/>
          </w:tcPr>
          <w:p w14:paraId="581A1C91"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ko04075</w:t>
            </w:r>
          </w:p>
        </w:tc>
        <w:tc>
          <w:tcPr>
            <w:tcW w:w="1591" w:type="dxa"/>
            <w:tcBorders>
              <w:top w:val="single" w:sz="4" w:space="0" w:color="000000" w:themeColor="text1"/>
            </w:tcBorders>
            <w:noWrap/>
            <w:vAlign w:val="center"/>
          </w:tcPr>
          <w:p w14:paraId="7CC6CEF9"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5/7</w:t>
            </w:r>
          </w:p>
        </w:tc>
        <w:tc>
          <w:tcPr>
            <w:tcW w:w="2786" w:type="dxa"/>
            <w:tcBorders>
              <w:top w:val="single" w:sz="4" w:space="0" w:color="000000" w:themeColor="text1"/>
            </w:tcBorders>
            <w:noWrap/>
            <w:vAlign w:val="center"/>
          </w:tcPr>
          <w:p w14:paraId="71FF20AA"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Indole-3-acetic acid</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GA₁</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ABA</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GA₄</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trans-Zeatin</w:t>
            </w:r>
          </w:p>
        </w:tc>
      </w:tr>
      <w:tr w:rsidR="0020797A" w14:paraId="377F2CAB" w14:textId="77777777" w:rsidTr="00F77D6F">
        <w:trPr>
          <w:trHeight w:val="280"/>
          <w:jc w:val="center"/>
        </w:trPr>
        <w:tc>
          <w:tcPr>
            <w:tcW w:w="3532" w:type="dxa"/>
            <w:noWrap/>
            <w:vAlign w:val="center"/>
          </w:tcPr>
          <w:p w14:paraId="65CD7541"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Biosynthesis of plant hormones</w:t>
            </w:r>
          </w:p>
        </w:tc>
        <w:tc>
          <w:tcPr>
            <w:tcW w:w="1123" w:type="dxa"/>
            <w:noWrap/>
            <w:vAlign w:val="center"/>
          </w:tcPr>
          <w:p w14:paraId="16183E7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ko01070</w:t>
            </w:r>
          </w:p>
        </w:tc>
        <w:tc>
          <w:tcPr>
            <w:tcW w:w="1591" w:type="dxa"/>
            <w:noWrap/>
            <w:vAlign w:val="center"/>
          </w:tcPr>
          <w:p w14:paraId="3B204A3F"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4/7</w:t>
            </w:r>
          </w:p>
        </w:tc>
        <w:tc>
          <w:tcPr>
            <w:tcW w:w="2786" w:type="dxa"/>
            <w:noWrap/>
            <w:vAlign w:val="center"/>
          </w:tcPr>
          <w:p w14:paraId="60CD1A84"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egoe UI" w:hAnsi="Times New Roman" w:cs="Times New Roman"/>
                <w:color w:val="0F1115"/>
                <w:szCs w:val="21"/>
                <w:shd w:val="clear" w:color="auto" w:fill="FFFFFF"/>
              </w:rPr>
              <w:t>trans-Zeatin</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ABA</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GA₁</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Indole-3-acetic acid</w:t>
            </w:r>
          </w:p>
        </w:tc>
      </w:tr>
      <w:tr w:rsidR="0020797A" w14:paraId="742320E0" w14:textId="77777777" w:rsidTr="00F77D6F">
        <w:trPr>
          <w:trHeight w:val="280"/>
          <w:jc w:val="center"/>
        </w:trPr>
        <w:tc>
          <w:tcPr>
            <w:tcW w:w="3532" w:type="dxa"/>
            <w:noWrap/>
            <w:vAlign w:val="center"/>
          </w:tcPr>
          <w:p w14:paraId="24E1797C"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Diterpenoid biosynthesis</w:t>
            </w:r>
          </w:p>
        </w:tc>
        <w:tc>
          <w:tcPr>
            <w:tcW w:w="1123" w:type="dxa"/>
            <w:noWrap/>
            <w:vAlign w:val="center"/>
          </w:tcPr>
          <w:p w14:paraId="78FE49F5"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ko00904</w:t>
            </w:r>
          </w:p>
        </w:tc>
        <w:tc>
          <w:tcPr>
            <w:tcW w:w="1591" w:type="dxa"/>
            <w:noWrap/>
            <w:vAlign w:val="center"/>
          </w:tcPr>
          <w:p w14:paraId="4E6839E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3/4</w:t>
            </w:r>
          </w:p>
        </w:tc>
        <w:tc>
          <w:tcPr>
            <w:tcW w:w="2786" w:type="dxa"/>
            <w:noWrap/>
            <w:vAlign w:val="center"/>
          </w:tcPr>
          <w:p w14:paraId="0F8172F0"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GA₄</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GA₃</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GA₁</w:t>
            </w:r>
          </w:p>
        </w:tc>
      </w:tr>
      <w:tr w:rsidR="0020797A" w14:paraId="7A6A50A2" w14:textId="77777777" w:rsidTr="00F77D6F">
        <w:trPr>
          <w:trHeight w:val="280"/>
          <w:jc w:val="center"/>
        </w:trPr>
        <w:tc>
          <w:tcPr>
            <w:tcW w:w="3532" w:type="dxa"/>
            <w:noWrap/>
            <w:vAlign w:val="center"/>
          </w:tcPr>
          <w:p w14:paraId="02B11A5B"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Biosynthesis of terpenoids and steroids</w:t>
            </w:r>
          </w:p>
        </w:tc>
        <w:tc>
          <w:tcPr>
            <w:tcW w:w="1123" w:type="dxa"/>
            <w:noWrap/>
            <w:vAlign w:val="center"/>
          </w:tcPr>
          <w:p w14:paraId="5F4CB49A"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ko01062</w:t>
            </w:r>
          </w:p>
        </w:tc>
        <w:tc>
          <w:tcPr>
            <w:tcW w:w="1591" w:type="dxa"/>
            <w:noWrap/>
            <w:vAlign w:val="center"/>
          </w:tcPr>
          <w:p w14:paraId="1CB963D9"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2/3</w:t>
            </w:r>
          </w:p>
        </w:tc>
        <w:tc>
          <w:tcPr>
            <w:tcW w:w="2786" w:type="dxa"/>
            <w:noWrap/>
            <w:vAlign w:val="center"/>
          </w:tcPr>
          <w:p w14:paraId="0F383588"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ABA</w:t>
            </w:r>
            <w:r>
              <w:rPr>
                <w:rFonts w:ascii="Times New Roman" w:eastAsia="SimSun" w:hAnsi="Times New Roman" w:cs="Times New Roman"/>
                <w:color w:val="000000"/>
                <w:kern w:val="0"/>
                <w:szCs w:val="21"/>
                <w:lang w:bidi="ar"/>
              </w:rPr>
              <w:t>、</w:t>
            </w:r>
            <w:r>
              <w:rPr>
                <w:rFonts w:ascii="Times New Roman" w:eastAsia="SimSun" w:hAnsi="Times New Roman" w:cs="Times New Roman"/>
                <w:color w:val="000000"/>
                <w:kern w:val="0"/>
                <w:szCs w:val="21"/>
                <w:lang w:bidi="ar"/>
              </w:rPr>
              <w:t>GA₁</w:t>
            </w:r>
          </w:p>
        </w:tc>
      </w:tr>
      <w:tr w:rsidR="0020797A" w14:paraId="3E8523C8" w14:textId="77777777" w:rsidTr="00F77D6F">
        <w:trPr>
          <w:trHeight w:val="280"/>
          <w:jc w:val="center"/>
        </w:trPr>
        <w:tc>
          <w:tcPr>
            <w:tcW w:w="3532" w:type="dxa"/>
            <w:noWrap/>
            <w:vAlign w:val="center"/>
          </w:tcPr>
          <w:p w14:paraId="5BA459D3"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Biosynthesis of plant secondary metabolites</w:t>
            </w:r>
          </w:p>
        </w:tc>
        <w:tc>
          <w:tcPr>
            <w:tcW w:w="1123" w:type="dxa"/>
            <w:noWrap/>
            <w:vAlign w:val="center"/>
          </w:tcPr>
          <w:p w14:paraId="4B16E0F9"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ko01060</w:t>
            </w:r>
          </w:p>
        </w:tc>
        <w:tc>
          <w:tcPr>
            <w:tcW w:w="1591" w:type="dxa"/>
            <w:noWrap/>
            <w:vAlign w:val="center"/>
          </w:tcPr>
          <w:p w14:paraId="47C18AD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2/3</w:t>
            </w:r>
          </w:p>
        </w:tc>
        <w:tc>
          <w:tcPr>
            <w:tcW w:w="2786" w:type="dxa"/>
            <w:noWrap/>
            <w:vAlign w:val="center"/>
          </w:tcPr>
          <w:p w14:paraId="66F77660"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ABA</w:t>
            </w:r>
            <w:r>
              <w:rPr>
                <w:rFonts w:ascii="Times New Roman" w:eastAsia="SimSun" w:hAnsi="Times New Roman" w:cs="Times New Roman"/>
                <w:color w:val="000000"/>
                <w:kern w:val="0"/>
                <w:szCs w:val="21"/>
                <w:lang w:bidi="ar"/>
              </w:rPr>
              <w:t>、</w:t>
            </w:r>
            <w:r>
              <w:rPr>
                <w:rFonts w:ascii="Times New Roman" w:eastAsia="Segoe UI" w:hAnsi="Times New Roman" w:cs="Times New Roman"/>
                <w:color w:val="0F1115"/>
                <w:szCs w:val="21"/>
                <w:shd w:val="clear" w:color="auto" w:fill="FFFFFF"/>
              </w:rPr>
              <w:t>trans-Zeatin</w:t>
            </w:r>
          </w:p>
        </w:tc>
      </w:tr>
      <w:tr w:rsidR="0020797A" w14:paraId="55EBB41A" w14:textId="77777777" w:rsidTr="00F77D6F">
        <w:trPr>
          <w:trHeight w:val="280"/>
          <w:jc w:val="center"/>
        </w:trPr>
        <w:tc>
          <w:tcPr>
            <w:tcW w:w="3532" w:type="dxa"/>
            <w:noWrap/>
            <w:vAlign w:val="center"/>
          </w:tcPr>
          <w:p w14:paraId="14BA808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Zeatin biosynthesis</w:t>
            </w:r>
          </w:p>
        </w:tc>
        <w:tc>
          <w:tcPr>
            <w:tcW w:w="1123" w:type="dxa"/>
            <w:noWrap/>
            <w:vAlign w:val="center"/>
          </w:tcPr>
          <w:p w14:paraId="51E0AE54"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ko00908</w:t>
            </w:r>
          </w:p>
        </w:tc>
        <w:tc>
          <w:tcPr>
            <w:tcW w:w="1591" w:type="dxa"/>
            <w:noWrap/>
            <w:vAlign w:val="center"/>
          </w:tcPr>
          <w:p w14:paraId="338CA1B6"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1/3</w:t>
            </w:r>
          </w:p>
        </w:tc>
        <w:tc>
          <w:tcPr>
            <w:tcW w:w="2786" w:type="dxa"/>
            <w:noWrap/>
            <w:vAlign w:val="center"/>
          </w:tcPr>
          <w:p w14:paraId="35248AC0"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egoe UI" w:hAnsi="Times New Roman" w:cs="Times New Roman"/>
                <w:color w:val="0F1115"/>
                <w:szCs w:val="21"/>
                <w:shd w:val="clear" w:color="auto" w:fill="FFFFFF"/>
              </w:rPr>
              <w:t>trans-Zeatin</w:t>
            </w:r>
          </w:p>
        </w:tc>
      </w:tr>
      <w:tr w:rsidR="0020797A" w14:paraId="0E8406A4" w14:textId="77777777" w:rsidTr="00F77D6F">
        <w:trPr>
          <w:trHeight w:val="280"/>
          <w:jc w:val="center"/>
        </w:trPr>
        <w:tc>
          <w:tcPr>
            <w:tcW w:w="3532" w:type="dxa"/>
            <w:noWrap/>
            <w:vAlign w:val="center"/>
          </w:tcPr>
          <w:p w14:paraId="4E6926CE"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Carotenoid biosynthesis</w:t>
            </w:r>
          </w:p>
        </w:tc>
        <w:tc>
          <w:tcPr>
            <w:tcW w:w="1123" w:type="dxa"/>
            <w:noWrap/>
            <w:vAlign w:val="center"/>
          </w:tcPr>
          <w:p w14:paraId="3302931D"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ko00906</w:t>
            </w:r>
          </w:p>
        </w:tc>
        <w:tc>
          <w:tcPr>
            <w:tcW w:w="1591" w:type="dxa"/>
            <w:noWrap/>
            <w:vAlign w:val="center"/>
          </w:tcPr>
          <w:p w14:paraId="04D2970E"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1/1</w:t>
            </w:r>
          </w:p>
        </w:tc>
        <w:tc>
          <w:tcPr>
            <w:tcW w:w="2786" w:type="dxa"/>
            <w:noWrap/>
            <w:vAlign w:val="center"/>
          </w:tcPr>
          <w:p w14:paraId="1DF9AD8F"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ABA</w:t>
            </w:r>
          </w:p>
        </w:tc>
      </w:tr>
      <w:tr w:rsidR="0020797A" w14:paraId="35A571AA" w14:textId="77777777" w:rsidTr="00F77D6F">
        <w:trPr>
          <w:trHeight w:val="280"/>
          <w:jc w:val="center"/>
        </w:trPr>
        <w:tc>
          <w:tcPr>
            <w:tcW w:w="3532" w:type="dxa"/>
            <w:noWrap/>
            <w:vAlign w:val="center"/>
          </w:tcPr>
          <w:p w14:paraId="79FF8430"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Tryptophan metabolism</w:t>
            </w:r>
          </w:p>
        </w:tc>
        <w:tc>
          <w:tcPr>
            <w:tcW w:w="1123" w:type="dxa"/>
            <w:noWrap/>
            <w:vAlign w:val="center"/>
          </w:tcPr>
          <w:p w14:paraId="5A7F11A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ko00380</w:t>
            </w:r>
          </w:p>
        </w:tc>
        <w:tc>
          <w:tcPr>
            <w:tcW w:w="1591" w:type="dxa"/>
            <w:noWrap/>
            <w:vAlign w:val="center"/>
          </w:tcPr>
          <w:p w14:paraId="57D458C7"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1/1</w:t>
            </w:r>
          </w:p>
        </w:tc>
        <w:tc>
          <w:tcPr>
            <w:tcW w:w="2786" w:type="dxa"/>
            <w:noWrap/>
            <w:vAlign w:val="center"/>
          </w:tcPr>
          <w:p w14:paraId="085EBDD6"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egoe UI" w:hAnsi="Times New Roman" w:cs="Times New Roman"/>
                <w:color w:val="0F1115"/>
                <w:szCs w:val="21"/>
                <w:shd w:val="clear" w:color="auto" w:fill="FFFFFF"/>
              </w:rPr>
              <w:t>Indole-3-acetic acid</w:t>
            </w:r>
          </w:p>
        </w:tc>
      </w:tr>
      <w:tr w:rsidR="0020797A" w14:paraId="28E4248C" w14:textId="77777777" w:rsidTr="00F77D6F">
        <w:trPr>
          <w:trHeight w:val="280"/>
          <w:jc w:val="center"/>
        </w:trPr>
        <w:tc>
          <w:tcPr>
            <w:tcW w:w="3532" w:type="dxa"/>
            <w:noWrap/>
            <w:vAlign w:val="center"/>
          </w:tcPr>
          <w:p w14:paraId="27066612"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Drug metabolism - other enzymes</w:t>
            </w:r>
          </w:p>
        </w:tc>
        <w:tc>
          <w:tcPr>
            <w:tcW w:w="1123" w:type="dxa"/>
            <w:noWrap/>
            <w:vAlign w:val="center"/>
          </w:tcPr>
          <w:p w14:paraId="3B8675D0"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ko00983</w:t>
            </w:r>
          </w:p>
        </w:tc>
        <w:tc>
          <w:tcPr>
            <w:tcW w:w="1591" w:type="dxa"/>
            <w:noWrap/>
            <w:vAlign w:val="center"/>
          </w:tcPr>
          <w:p w14:paraId="30628C06"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imSun" w:hAnsi="Times New Roman" w:cs="Times New Roman"/>
                <w:color w:val="000000"/>
                <w:kern w:val="0"/>
                <w:szCs w:val="21"/>
                <w:lang w:bidi="ar"/>
              </w:rPr>
              <w:t>1/1</w:t>
            </w:r>
          </w:p>
        </w:tc>
        <w:tc>
          <w:tcPr>
            <w:tcW w:w="2786" w:type="dxa"/>
            <w:noWrap/>
            <w:vAlign w:val="center"/>
          </w:tcPr>
          <w:p w14:paraId="4FA28564" w14:textId="77777777" w:rsidR="0020797A" w:rsidRDefault="0020797A" w:rsidP="00F77D6F">
            <w:pPr>
              <w:widowControl/>
              <w:jc w:val="center"/>
              <w:textAlignment w:val="center"/>
              <w:rPr>
                <w:rFonts w:ascii="Times New Roman" w:eastAsia="SimSun" w:hAnsi="Times New Roman" w:cs="Times New Roman"/>
                <w:color w:val="000000"/>
                <w:szCs w:val="21"/>
              </w:rPr>
            </w:pPr>
            <w:r>
              <w:rPr>
                <w:rFonts w:ascii="Times New Roman" w:eastAsia="Segoe UI" w:hAnsi="Times New Roman" w:cs="Times New Roman"/>
                <w:color w:val="0F1115"/>
                <w:szCs w:val="21"/>
                <w:shd w:val="clear" w:color="auto" w:fill="FFFFFF"/>
              </w:rPr>
              <w:t>Doxifluridine</w:t>
            </w:r>
          </w:p>
        </w:tc>
      </w:tr>
    </w:tbl>
    <w:p w14:paraId="535AD2D2" w14:textId="77777777" w:rsidR="0020797A" w:rsidRDefault="0020797A" w:rsidP="0020797A">
      <w:pPr>
        <w:ind w:firstLineChars="200" w:firstLine="360"/>
        <w:jc w:val="left"/>
        <w:rPr>
          <w:rStyle w:val="Strong"/>
          <w:rFonts w:ascii="Times New Roman" w:eastAsia="SimSun" w:hAnsi="Times New Roman" w:cs="Times New Roman"/>
          <w:b w:val="0"/>
          <w:color w:val="0F1115"/>
          <w:sz w:val="18"/>
          <w:szCs w:val="18"/>
          <w:shd w:val="clear" w:color="auto" w:fill="FFFFFF"/>
        </w:rPr>
      </w:pPr>
      <w:r>
        <w:rPr>
          <w:rStyle w:val="Strong"/>
          <w:rFonts w:ascii="Times New Roman" w:eastAsia="SimSun" w:hAnsi="Times New Roman" w:cs="Times New Roman"/>
          <w:b w:val="0"/>
          <w:color w:val="0F1115"/>
          <w:sz w:val="18"/>
          <w:szCs w:val="18"/>
          <w:shd w:val="clear" w:color="auto" w:fill="FFFFFF"/>
        </w:rPr>
        <w:t>Note: A total of seven differential metabolites were annotated in the KEGG pathway enrichment analysis. Plant hormone signal transduction (ko04075) was the most significantly enriched pathway (5/7), encompassing Indole-3-acetic acid (IAA), Gibberellin A₁ (GA₁), Gibberellin A₄ (GA₄), Abscisic acid (ABA), and trans-Zeatin (tZ). Data were derived from the C9d_vs_P9d.KEGG.xls file.</w:t>
      </w:r>
    </w:p>
    <w:p w14:paraId="5E569276" w14:textId="77777777" w:rsidR="0020797A" w:rsidRDefault="0020797A" w:rsidP="0020797A">
      <w:pPr>
        <w:widowControl/>
        <w:jc w:val="center"/>
        <w:rPr>
          <w:rFonts w:ascii="Times New Roman" w:eastAsia="SimSun" w:hAnsi="Times New Roman" w:cs="Times New Roman"/>
          <w:color w:val="000000"/>
          <w:kern w:val="0"/>
          <w:szCs w:val="21"/>
          <w:lang w:bidi="ar"/>
        </w:rPr>
      </w:pPr>
    </w:p>
    <w:p w14:paraId="3A3DA058" w14:textId="77777777" w:rsidR="0020797A" w:rsidRDefault="0020797A" w:rsidP="0020797A">
      <w:pPr>
        <w:widowControl/>
        <w:jc w:val="center"/>
        <w:rPr>
          <w:rFonts w:ascii="Times New Roman" w:eastAsia="SimSun" w:hAnsi="Times New Roman" w:cs="Times New Roman"/>
          <w:color w:val="000000"/>
          <w:kern w:val="0"/>
          <w:szCs w:val="21"/>
          <w:lang w:bidi="ar"/>
        </w:rPr>
      </w:pPr>
      <w:r>
        <w:rPr>
          <w:rFonts w:ascii="Times New Roman" w:eastAsia="SimSun" w:hAnsi="Times New Roman" w:cs="Times New Roman"/>
          <w:color w:val="000000"/>
          <w:kern w:val="0"/>
          <w:szCs w:val="21"/>
          <w:lang w:bidi="ar"/>
        </w:rPr>
        <w:t>Table S3 Summary of correlations between key gene modules and the MEgrey metabolite module</w:t>
      </w:r>
    </w:p>
    <w:p w14:paraId="693D23E3" w14:textId="77777777" w:rsidR="0020797A" w:rsidRDefault="0020797A" w:rsidP="0020797A">
      <w:pPr>
        <w:widowControl/>
        <w:jc w:val="center"/>
        <w:rPr>
          <w:rFonts w:ascii="Times New Roman" w:eastAsia="SimSun" w:hAnsi="Times New Roman" w:cs="Times New Roman"/>
          <w:color w:val="000000"/>
          <w:kern w:val="0"/>
          <w:szCs w:val="21"/>
          <w:lang w:bidi="a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17"/>
        <w:gridCol w:w="1502"/>
        <w:gridCol w:w="1517"/>
        <w:gridCol w:w="1150"/>
        <w:gridCol w:w="1160"/>
        <w:gridCol w:w="2914"/>
      </w:tblGrid>
      <w:tr w:rsidR="0020797A" w14:paraId="40851F76" w14:textId="77777777" w:rsidTr="00F77D6F">
        <w:trPr>
          <w:tblHeader/>
          <w:jc w:val="center"/>
        </w:trPr>
        <w:tc>
          <w:tcPr>
            <w:tcW w:w="1117" w:type="dxa"/>
            <w:tcBorders>
              <w:top w:val="single" w:sz="12" w:space="0" w:color="auto"/>
              <w:bottom w:val="single" w:sz="4" w:space="0" w:color="auto"/>
            </w:tcBorders>
            <w:tcMar>
              <w:top w:w="100" w:type="dxa"/>
              <w:left w:w="0" w:type="dxa"/>
              <w:bottom w:w="100" w:type="dxa"/>
              <w:right w:w="160" w:type="dxa"/>
            </w:tcMar>
            <w:vAlign w:val="center"/>
          </w:tcPr>
          <w:p w14:paraId="6996A616"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Treatment</w:t>
            </w:r>
          </w:p>
        </w:tc>
        <w:tc>
          <w:tcPr>
            <w:tcW w:w="0" w:type="auto"/>
            <w:tcBorders>
              <w:top w:val="single" w:sz="12" w:space="0" w:color="auto"/>
              <w:bottom w:val="single" w:sz="4" w:space="0" w:color="auto"/>
            </w:tcBorders>
            <w:tcMar>
              <w:top w:w="100" w:type="dxa"/>
              <w:left w:w="160" w:type="dxa"/>
              <w:bottom w:w="100" w:type="dxa"/>
              <w:right w:w="160" w:type="dxa"/>
            </w:tcMar>
            <w:vAlign w:val="center"/>
          </w:tcPr>
          <w:p w14:paraId="536E860A"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Gene module</w:t>
            </w:r>
          </w:p>
        </w:tc>
        <w:tc>
          <w:tcPr>
            <w:tcW w:w="0" w:type="auto"/>
            <w:tcBorders>
              <w:top w:val="single" w:sz="12" w:space="0" w:color="auto"/>
              <w:bottom w:val="single" w:sz="4" w:space="0" w:color="auto"/>
            </w:tcBorders>
            <w:tcMar>
              <w:top w:w="100" w:type="dxa"/>
              <w:left w:w="160" w:type="dxa"/>
              <w:bottom w:w="100" w:type="dxa"/>
              <w:right w:w="160" w:type="dxa"/>
            </w:tcMar>
            <w:vAlign w:val="center"/>
          </w:tcPr>
          <w:p w14:paraId="521904A0"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Correlation (r)</w:t>
            </w:r>
          </w:p>
        </w:tc>
        <w:tc>
          <w:tcPr>
            <w:tcW w:w="0" w:type="auto"/>
            <w:tcBorders>
              <w:top w:val="single" w:sz="12" w:space="0" w:color="auto"/>
              <w:bottom w:val="single" w:sz="4" w:space="0" w:color="auto"/>
            </w:tcBorders>
            <w:tcMar>
              <w:top w:w="100" w:type="dxa"/>
              <w:left w:w="160" w:type="dxa"/>
              <w:bottom w:w="100" w:type="dxa"/>
              <w:right w:w="160" w:type="dxa"/>
            </w:tcMar>
            <w:vAlign w:val="center"/>
          </w:tcPr>
          <w:p w14:paraId="24D3438C"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p-value</w:t>
            </w:r>
          </w:p>
        </w:tc>
        <w:tc>
          <w:tcPr>
            <w:tcW w:w="0" w:type="auto"/>
            <w:tcBorders>
              <w:top w:val="single" w:sz="12" w:space="0" w:color="auto"/>
              <w:bottom w:val="single" w:sz="4" w:space="0" w:color="auto"/>
            </w:tcBorders>
            <w:tcMar>
              <w:top w:w="100" w:type="dxa"/>
              <w:left w:w="160" w:type="dxa"/>
              <w:bottom w:w="100" w:type="dxa"/>
              <w:right w:w="160" w:type="dxa"/>
            </w:tcMar>
            <w:vAlign w:val="center"/>
          </w:tcPr>
          <w:p w14:paraId="57D30808"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Direction</w:t>
            </w:r>
          </w:p>
        </w:tc>
        <w:tc>
          <w:tcPr>
            <w:tcW w:w="0" w:type="auto"/>
            <w:tcBorders>
              <w:top w:val="single" w:sz="12" w:space="0" w:color="auto"/>
              <w:bottom w:val="single" w:sz="4" w:space="0" w:color="auto"/>
            </w:tcBorders>
            <w:tcMar>
              <w:top w:w="100" w:type="dxa"/>
              <w:left w:w="160" w:type="dxa"/>
              <w:bottom w:w="100" w:type="dxa"/>
              <w:right w:w="160" w:type="dxa"/>
            </w:tcMar>
            <w:vAlign w:val="center"/>
          </w:tcPr>
          <w:p w14:paraId="55E80142" w14:textId="77777777" w:rsidR="0020797A" w:rsidRDefault="0020797A" w:rsidP="00F77D6F">
            <w:pPr>
              <w:widowControl/>
              <w:jc w:val="center"/>
              <w:rPr>
                <w:rFonts w:ascii="Times New Roman" w:eastAsia="var(--dsw-font-markdown-table-h" w:hAnsi="Times New Roman" w:cs="Times New Roman"/>
                <w:b/>
                <w:bCs/>
                <w:szCs w:val="21"/>
              </w:rPr>
            </w:pPr>
            <w:r>
              <w:rPr>
                <w:rFonts w:ascii="Times New Roman" w:eastAsia="var(--dsw-font-markdown-table-h" w:hAnsi="Times New Roman" w:cs="Times New Roman"/>
                <w:b/>
                <w:bCs/>
                <w:kern w:val="0"/>
                <w:szCs w:val="21"/>
                <w:lang w:bidi="ar"/>
              </w:rPr>
              <w:t>Biological implication</w:t>
            </w:r>
          </w:p>
        </w:tc>
      </w:tr>
      <w:tr w:rsidR="0020797A" w14:paraId="476DC0C8" w14:textId="77777777" w:rsidTr="00F77D6F">
        <w:trPr>
          <w:jc w:val="center"/>
        </w:trPr>
        <w:tc>
          <w:tcPr>
            <w:tcW w:w="1117" w:type="dxa"/>
            <w:tcBorders>
              <w:top w:val="single" w:sz="4" w:space="0" w:color="auto"/>
            </w:tcBorders>
            <w:tcMar>
              <w:top w:w="100" w:type="dxa"/>
              <w:left w:w="0" w:type="dxa"/>
              <w:bottom w:w="100" w:type="dxa"/>
              <w:right w:w="160" w:type="dxa"/>
            </w:tcMar>
            <w:vAlign w:val="center"/>
          </w:tcPr>
          <w:p w14:paraId="4E14CD9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GA₃</w:t>
            </w:r>
          </w:p>
        </w:tc>
        <w:tc>
          <w:tcPr>
            <w:tcW w:w="0" w:type="auto"/>
            <w:tcBorders>
              <w:top w:val="single" w:sz="4" w:space="0" w:color="auto"/>
            </w:tcBorders>
            <w:tcMar>
              <w:top w:w="100" w:type="dxa"/>
              <w:left w:w="160" w:type="dxa"/>
              <w:bottom w:w="100" w:type="dxa"/>
              <w:right w:w="160" w:type="dxa"/>
            </w:tcMar>
            <w:vAlign w:val="center"/>
          </w:tcPr>
          <w:p w14:paraId="0F1F8D32"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GElightcyan1</w:t>
            </w:r>
          </w:p>
        </w:tc>
        <w:tc>
          <w:tcPr>
            <w:tcW w:w="0" w:type="auto"/>
            <w:tcBorders>
              <w:top w:val="single" w:sz="4" w:space="0" w:color="auto"/>
            </w:tcBorders>
            <w:tcMar>
              <w:top w:w="100" w:type="dxa"/>
              <w:left w:w="160" w:type="dxa"/>
              <w:bottom w:w="100" w:type="dxa"/>
              <w:right w:w="160" w:type="dxa"/>
            </w:tcMar>
            <w:vAlign w:val="center"/>
          </w:tcPr>
          <w:p w14:paraId="48787641"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−0.996</w:t>
            </w:r>
          </w:p>
        </w:tc>
        <w:tc>
          <w:tcPr>
            <w:tcW w:w="0" w:type="auto"/>
            <w:tcBorders>
              <w:top w:val="single" w:sz="4" w:space="0" w:color="auto"/>
            </w:tcBorders>
            <w:tcMar>
              <w:top w:w="100" w:type="dxa"/>
              <w:left w:w="160" w:type="dxa"/>
              <w:bottom w:w="100" w:type="dxa"/>
              <w:right w:w="160" w:type="dxa"/>
            </w:tcMar>
            <w:vAlign w:val="center"/>
          </w:tcPr>
          <w:p w14:paraId="505D733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2.74×10⁻⁵</w:t>
            </w:r>
          </w:p>
        </w:tc>
        <w:tc>
          <w:tcPr>
            <w:tcW w:w="0" w:type="auto"/>
            <w:tcBorders>
              <w:top w:val="single" w:sz="4" w:space="0" w:color="auto"/>
            </w:tcBorders>
            <w:tcMar>
              <w:top w:w="100" w:type="dxa"/>
              <w:left w:w="160" w:type="dxa"/>
              <w:bottom w:w="100" w:type="dxa"/>
              <w:right w:w="160" w:type="dxa"/>
            </w:tcMar>
            <w:vAlign w:val="center"/>
          </w:tcPr>
          <w:p w14:paraId="2C1978B2"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Negative</w:t>
            </w:r>
          </w:p>
        </w:tc>
        <w:tc>
          <w:tcPr>
            <w:tcW w:w="0" w:type="auto"/>
            <w:tcBorders>
              <w:top w:val="single" w:sz="4" w:space="0" w:color="auto"/>
            </w:tcBorders>
            <w:tcMar>
              <w:top w:w="100" w:type="dxa"/>
              <w:left w:w="160" w:type="dxa"/>
              <w:bottom w:w="100" w:type="dxa"/>
              <w:right w:w="0" w:type="dxa"/>
            </w:tcMar>
            <w:vAlign w:val="center"/>
          </w:tcPr>
          <w:p w14:paraId="6838003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Suppressed by GA₃ (pro</w:t>
            </w:r>
            <w:r>
              <w:rPr>
                <w:rFonts w:ascii="Times New Roman" w:eastAsia="var(--dsw-font-markdown-table)" w:hAnsi="Times New Roman" w:cs="Times New Roman"/>
                <w:kern w:val="0"/>
                <w:szCs w:val="21"/>
                <w:lang w:bidi="ar"/>
              </w:rPr>
              <w:noBreakHyphen/>
              <w:t>sprouting module)</w:t>
            </w:r>
          </w:p>
        </w:tc>
      </w:tr>
      <w:tr w:rsidR="0020797A" w14:paraId="76DDF902" w14:textId="77777777" w:rsidTr="00F77D6F">
        <w:trPr>
          <w:jc w:val="center"/>
        </w:trPr>
        <w:tc>
          <w:tcPr>
            <w:tcW w:w="1117" w:type="dxa"/>
            <w:tcMar>
              <w:top w:w="100" w:type="dxa"/>
              <w:left w:w="0" w:type="dxa"/>
              <w:bottom w:w="100" w:type="dxa"/>
              <w:right w:w="160" w:type="dxa"/>
            </w:tcMar>
            <w:vAlign w:val="center"/>
          </w:tcPr>
          <w:p w14:paraId="5889A15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GA₃</w:t>
            </w:r>
          </w:p>
        </w:tc>
        <w:tc>
          <w:tcPr>
            <w:tcW w:w="0" w:type="auto"/>
            <w:tcMar>
              <w:top w:w="100" w:type="dxa"/>
              <w:left w:w="160" w:type="dxa"/>
              <w:bottom w:w="100" w:type="dxa"/>
              <w:right w:w="160" w:type="dxa"/>
            </w:tcMar>
            <w:vAlign w:val="center"/>
          </w:tcPr>
          <w:p w14:paraId="32FF0A3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GEmagenta1</w:t>
            </w:r>
          </w:p>
        </w:tc>
        <w:tc>
          <w:tcPr>
            <w:tcW w:w="0" w:type="auto"/>
            <w:tcMar>
              <w:top w:w="100" w:type="dxa"/>
              <w:left w:w="160" w:type="dxa"/>
              <w:bottom w:w="100" w:type="dxa"/>
              <w:right w:w="160" w:type="dxa"/>
            </w:tcMar>
            <w:vAlign w:val="center"/>
          </w:tcPr>
          <w:p w14:paraId="7D373BF0"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−0.952</w:t>
            </w:r>
          </w:p>
        </w:tc>
        <w:tc>
          <w:tcPr>
            <w:tcW w:w="0" w:type="auto"/>
            <w:tcMar>
              <w:top w:w="100" w:type="dxa"/>
              <w:left w:w="160" w:type="dxa"/>
              <w:bottom w:w="100" w:type="dxa"/>
              <w:right w:w="160" w:type="dxa"/>
            </w:tcMar>
            <w:vAlign w:val="center"/>
          </w:tcPr>
          <w:p w14:paraId="4B03583A"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3.38×10⁻³</w:t>
            </w:r>
          </w:p>
        </w:tc>
        <w:tc>
          <w:tcPr>
            <w:tcW w:w="0" w:type="auto"/>
            <w:tcMar>
              <w:top w:w="100" w:type="dxa"/>
              <w:left w:w="160" w:type="dxa"/>
              <w:bottom w:w="100" w:type="dxa"/>
              <w:right w:w="160" w:type="dxa"/>
            </w:tcMar>
            <w:vAlign w:val="center"/>
          </w:tcPr>
          <w:p w14:paraId="5A5C9497"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Negative</w:t>
            </w:r>
          </w:p>
        </w:tc>
        <w:tc>
          <w:tcPr>
            <w:tcW w:w="0" w:type="auto"/>
            <w:tcMar>
              <w:top w:w="100" w:type="dxa"/>
              <w:left w:w="160" w:type="dxa"/>
              <w:bottom w:w="100" w:type="dxa"/>
              <w:right w:w="0" w:type="dxa"/>
            </w:tcMar>
            <w:vAlign w:val="center"/>
          </w:tcPr>
          <w:p w14:paraId="2CBD57CC"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Suppressed by GA₃</w:t>
            </w:r>
          </w:p>
        </w:tc>
      </w:tr>
      <w:tr w:rsidR="0020797A" w14:paraId="796818A4" w14:textId="77777777" w:rsidTr="00F77D6F">
        <w:trPr>
          <w:jc w:val="center"/>
        </w:trPr>
        <w:tc>
          <w:tcPr>
            <w:tcW w:w="1117" w:type="dxa"/>
            <w:tcMar>
              <w:top w:w="100" w:type="dxa"/>
              <w:left w:w="0" w:type="dxa"/>
              <w:bottom w:w="100" w:type="dxa"/>
              <w:right w:w="160" w:type="dxa"/>
            </w:tcMar>
            <w:vAlign w:val="center"/>
          </w:tcPr>
          <w:p w14:paraId="3CA6C201"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GA₃</w:t>
            </w:r>
          </w:p>
        </w:tc>
        <w:tc>
          <w:tcPr>
            <w:tcW w:w="0" w:type="auto"/>
            <w:tcMar>
              <w:top w:w="100" w:type="dxa"/>
              <w:left w:w="160" w:type="dxa"/>
              <w:bottom w:w="100" w:type="dxa"/>
              <w:right w:w="160" w:type="dxa"/>
            </w:tcMar>
            <w:vAlign w:val="center"/>
          </w:tcPr>
          <w:p w14:paraId="646D7900"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GEplum2</w:t>
            </w:r>
          </w:p>
        </w:tc>
        <w:tc>
          <w:tcPr>
            <w:tcW w:w="0" w:type="auto"/>
            <w:tcMar>
              <w:top w:w="100" w:type="dxa"/>
              <w:left w:w="160" w:type="dxa"/>
              <w:bottom w:w="100" w:type="dxa"/>
              <w:right w:w="160" w:type="dxa"/>
            </w:tcMar>
            <w:vAlign w:val="center"/>
          </w:tcPr>
          <w:p w14:paraId="56C7F0A1"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−0.934</w:t>
            </w:r>
          </w:p>
        </w:tc>
        <w:tc>
          <w:tcPr>
            <w:tcW w:w="0" w:type="auto"/>
            <w:tcMar>
              <w:top w:w="100" w:type="dxa"/>
              <w:left w:w="160" w:type="dxa"/>
              <w:bottom w:w="100" w:type="dxa"/>
              <w:right w:w="160" w:type="dxa"/>
            </w:tcMar>
            <w:vAlign w:val="center"/>
          </w:tcPr>
          <w:p w14:paraId="4F67457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6.41×10⁻³</w:t>
            </w:r>
          </w:p>
        </w:tc>
        <w:tc>
          <w:tcPr>
            <w:tcW w:w="0" w:type="auto"/>
            <w:tcMar>
              <w:top w:w="100" w:type="dxa"/>
              <w:left w:w="160" w:type="dxa"/>
              <w:bottom w:w="100" w:type="dxa"/>
              <w:right w:w="160" w:type="dxa"/>
            </w:tcMar>
            <w:vAlign w:val="center"/>
          </w:tcPr>
          <w:p w14:paraId="47E03B5F"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Negative</w:t>
            </w:r>
          </w:p>
        </w:tc>
        <w:tc>
          <w:tcPr>
            <w:tcW w:w="0" w:type="auto"/>
            <w:tcMar>
              <w:top w:w="100" w:type="dxa"/>
              <w:left w:w="160" w:type="dxa"/>
              <w:bottom w:w="100" w:type="dxa"/>
              <w:right w:w="0" w:type="dxa"/>
            </w:tcMar>
            <w:vAlign w:val="center"/>
          </w:tcPr>
          <w:p w14:paraId="00528940"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Suppressed by GA₃</w:t>
            </w:r>
          </w:p>
        </w:tc>
      </w:tr>
      <w:tr w:rsidR="0020797A" w14:paraId="0CB5B076" w14:textId="77777777" w:rsidTr="00F77D6F">
        <w:trPr>
          <w:jc w:val="center"/>
        </w:trPr>
        <w:tc>
          <w:tcPr>
            <w:tcW w:w="1117" w:type="dxa"/>
            <w:tcMar>
              <w:top w:w="100" w:type="dxa"/>
              <w:left w:w="0" w:type="dxa"/>
              <w:bottom w:w="100" w:type="dxa"/>
              <w:right w:w="160" w:type="dxa"/>
            </w:tcMar>
            <w:vAlign w:val="center"/>
          </w:tcPr>
          <w:p w14:paraId="298634D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GA₃</w:t>
            </w:r>
          </w:p>
        </w:tc>
        <w:tc>
          <w:tcPr>
            <w:tcW w:w="0" w:type="auto"/>
            <w:tcMar>
              <w:top w:w="100" w:type="dxa"/>
              <w:left w:w="160" w:type="dxa"/>
              <w:bottom w:w="100" w:type="dxa"/>
              <w:right w:w="160" w:type="dxa"/>
            </w:tcMar>
            <w:vAlign w:val="center"/>
          </w:tcPr>
          <w:p w14:paraId="1CA67F5E"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GEindianred3</w:t>
            </w:r>
          </w:p>
        </w:tc>
        <w:tc>
          <w:tcPr>
            <w:tcW w:w="0" w:type="auto"/>
            <w:tcMar>
              <w:top w:w="100" w:type="dxa"/>
              <w:left w:w="160" w:type="dxa"/>
              <w:bottom w:w="100" w:type="dxa"/>
              <w:right w:w="160" w:type="dxa"/>
            </w:tcMar>
            <w:vAlign w:val="center"/>
          </w:tcPr>
          <w:p w14:paraId="3A70E967"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0.984</w:t>
            </w:r>
          </w:p>
        </w:tc>
        <w:tc>
          <w:tcPr>
            <w:tcW w:w="0" w:type="auto"/>
            <w:tcMar>
              <w:top w:w="100" w:type="dxa"/>
              <w:left w:w="160" w:type="dxa"/>
              <w:bottom w:w="100" w:type="dxa"/>
              <w:right w:w="160" w:type="dxa"/>
            </w:tcMar>
            <w:vAlign w:val="center"/>
          </w:tcPr>
          <w:p w14:paraId="18B6ED5C"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3.61×10⁻⁴</w:t>
            </w:r>
          </w:p>
        </w:tc>
        <w:tc>
          <w:tcPr>
            <w:tcW w:w="0" w:type="auto"/>
            <w:tcMar>
              <w:top w:w="100" w:type="dxa"/>
              <w:left w:w="160" w:type="dxa"/>
              <w:bottom w:w="100" w:type="dxa"/>
              <w:right w:w="160" w:type="dxa"/>
            </w:tcMar>
            <w:vAlign w:val="center"/>
          </w:tcPr>
          <w:p w14:paraId="3CBCAD3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Positive</w:t>
            </w:r>
          </w:p>
        </w:tc>
        <w:tc>
          <w:tcPr>
            <w:tcW w:w="0" w:type="auto"/>
            <w:tcMar>
              <w:top w:w="100" w:type="dxa"/>
              <w:left w:w="160" w:type="dxa"/>
              <w:bottom w:w="100" w:type="dxa"/>
              <w:right w:w="0" w:type="dxa"/>
            </w:tcMar>
            <w:vAlign w:val="center"/>
          </w:tcPr>
          <w:p w14:paraId="2D4D6202"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Activated by GA₃ (stress</w:t>
            </w:r>
            <w:r>
              <w:rPr>
                <w:rFonts w:ascii="Times New Roman" w:eastAsia="var(--dsw-font-markdown-table)" w:hAnsi="Times New Roman" w:cs="Times New Roman"/>
                <w:kern w:val="0"/>
                <w:szCs w:val="21"/>
                <w:lang w:bidi="ar"/>
              </w:rPr>
              <w:noBreakHyphen/>
              <w:t>responsive module)</w:t>
            </w:r>
          </w:p>
        </w:tc>
      </w:tr>
      <w:tr w:rsidR="0020797A" w14:paraId="729B94D4" w14:textId="77777777" w:rsidTr="00F77D6F">
        <w:trPr>
          <w:jc w:val="center"/>
        </w:trPr>
        <w:tc>
          <w:tcPr>
            <w:tcW w:w="1117" w:type="dxa"/>
            <w:tcBorders>
              <w:bottom w:val="nil"/>
            </w:tcBorders>
            <w:tcMar>
              <w:top w:w="100" w:type="dxa"/>
              <w:left w:w="0" w:type="dxa"/>
              <w:bottom w:w="100" w:type="dxa"/>
              <w:right w:w="160" w:type="dxa"/>
            </w:tcMar>
            <w:vAlign w:val="center"/>
          </w:tcPr>
          <w:p w14:paraId="313F4827"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GA₃</w:t>
            </w:r>
          </w:p>
        </w:tc>
        <w:tc>
          <w:tcPr>
            <w:tcW w:w="0" w:type="auto"/>
            <w:tcBorders>
              <w:bottom w:val="nil"/>
            </w:tcBorders>
            <w:tcMar>
              <w:top w:w="100" w:type="dxa"/>
              <w:left w:w="160" w:type="dxa"/>
              <w:bottom w:w="100" w:type="dxa"/>
              <w:right w:w="160" w:type="dxa"/>
            </w:tcMar>
            <w:vAlign w:val="center"/>
          </w:tcPr>
          <w:p w14:paraId="63BFDD3A"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GEindianred1</w:t>
            </w:r>
          </w:p>
        </w:tc>
        <w:tc>
          <w:tcPr>
            <w:tcW w:w="0" w:type="auto"/>
            <w:tcBorders>
              <w:bottom w:val="nil"/>
            </w:tcBorders>
            <w:tcMar>
              <w:top w:w="100" w:type="dxa"/>
              <w:left w:w="160" w:type="dxa"/>
              <w:bottom w:w="100" w:type="dxa"/>
              <w:right w:w="160" w:type="dxa"/>
            </w:tcMar>
            <w:vAlign w:val="center"/>
          </w:tcPr>
          <w:p w14:paraId="5296EAD6"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0.952</w:t>
            </w:r>
          </w:p>
        </w:tc>
        <w:tc>
          <w:tcPr>
            <w:tcW w:w="0" w:type="auto"/>
            <w:tcBorders>
              <w:bottom w:val="nil"/>
            </w:tcBorders>
            <w:tcMar>
              <w:top w:w="100" w:type="dxa"/>
              <w:left w:w="160" w:type="dxa"/>
              <w:bottom w:w="100" w:type="dxa"/>
              <w:right w:w="160" w:type="dxa"/>
            </w:tcMar>
            <w:vAlign w:val="center"/>
          </w:tcPr>
          <w:p w14:paraId="02BBFBBF"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3.46×10⁻³</w:t>
            </w:r>
          </w:p>
        </w:tc>
        <w:tc>
          <w:tcPr>
            <w:tcW w:w="0" w:type="auto"/>
            <w:tcBorders>
              <w:bottom w:val="nil"/>
            </w:tcBorders>
            <w:tcMar>
              <w:top w:w="100" w:type="dxa"/>
              <w:left w:w="160" w:type="dxa"/>
              <w:bottom w:w="100" w:type="dxa"/>
              <w:right w:w="160" w:type="dxa"/>
            </w:tcMar>
            <w:vAlign w:val="center"/>
          </w:tcPr>
          <w:p w14:paraId="00B5865D"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Positive</w:t>
            </w:r>
          </w:p>
        </w:tc>
        <w:tc>
          <w:tcPr>
            <w:tcW w:w="0" w:type="auto"/>
            <w:tcBorders>
              <w:bottom w:val="nil"/>
            </w:tcBorders>
            <w:tcMar>
              <w:top w:w="100" w:type="dxa"/>
              <w:left w:w="160" w:type="dxa"/>
              <w:bottom w:w="100" w:type="dxa"/>
              <w:right w:w="0" w:type="dxa"/>
            </w:tcMar>
            <w:vAlign w:val="center"/>
          </w:tcPr>
          <w:p w14:paraId="4EF0453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Activated by GA₃</w:t>
            </w:r>
          </w:p>
        </w:tc>
      </w:tr>
      <w:tr w:rsidR="0020797A" w14:paraId="71D9405A" w14:textId="77777777" w:rsidTr="00F77D6F">
        <w:trPr>
          <w:trHeight w:val="90"/>
          <w:jc w:val="center"/>
        </w:trPr>
        <w:tc>
          <w:tcPr>
            <w:tcW w:w="1117" w:type="dxa"/>
            <w:tcBorders>
              <w:top w:val="nil"/>
              <w:bottom w:val="nil"/>
            </w:tcBorders>
            <w:tcMar>
              <w:top w:w="100" w:type="dxa"/>
              <w:left w:w="0" w:type="dxa"/>
              <w:bottom w:w="100" w:type="dxa"/>
              <w:right w:w="160" w:type="dxa"/>
            </w:tcMar>
            <w:vAlign w:val="center"/>
          </w:tcPr>
          <w:p w14:paraId="55A977E9" w14:textId="77777777" w:rsidR="0020797A" w:rsidRDefault="0020797A" w:rsidP="00F77D6F">
            <w:pPr>
              <w:widowControl/>
              <w:jc w:val="center"/>
              <w:rPr>
                <w:rFonts w:ascii="Times New Roman" w:eastAsia="var(--dsw-font-markdown-table)" w:hAnsi="Times New Roman" w:cs="Times New Roman"/>
                <w:kern w:val="0"/>
                <w:szCs w:val="21"/>
                <w:lang w:bidi="ar"/>
              </w:rPr>
            </w:pPr>
          </w:p>
          <w:p w14:paraId="6169F8E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PP₃₃₃</w:t>
            </w:r>
          </w:p>
        </w:tc>
        <w:tc>
          <w:tcPr>
            <w:tcW w:w="0" w:type="auto"/>
            <w:tcBorders>
              <w:top w:val="nil"/>
              <w:bottom w:val="nil"/>
            </w:tcBorders>
            <w:tcMar>
              <w:top w:w="100" w:type="dxa"/>
              <w:left w:w="160" w:type="dxa"/>
              <w:bottom w:w="100" w:type="dxa"/>
              <w:right w:w="160" w:type="dxa"/>
            </w:tcMar>
            <w:vAlign w:val="center"/>
          </w:tcPr>
          <w:p w14:paraId="397E151A" w14:textId="77777777" w:rsidR="0020797A" w:rsidRDefault="0020797A" w:rsidP="00F77D6F">
            <w:pPr>
              <w:widowControl/>
              <w:jc w:val="center"/>
              <w:rPr>
                <w:rFonts w:ascii="Times New Roman" w:eastAsia="var(--dsw-font-markdown-table)" w:hAnsi="Times New Roman" w:cs="Times New Roman"/>
                <w:kern w:val="0"/>
                <w:szCs w:val="21"/>
                <w:lang w:bidi="ar"/>
              </w:rPr>
            </w:pPr>
          </w:p>
          <w:p w14:paraId="34FC4AD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GEgrey60</w:t>
            </w:r>
          </w:p>
        </w:tc>
        <w:tc>
          <w:tcPr>
            <w:tcW w:w="0" w:type="auto"/>
            <w:tcBorders>
              <w:top w:val="nil"/>
              <w:bottom w:val="nil"/>
            </w:tcBorders>
            <w:tcMar>
              <w:top w:w="100" w:type="dxa"/>
              <w:left w:w="160" w:type="dxa"/>
              <w:bottom w:w="100" w:type="dxa"/>
              <w:right w:w="160" w:type="dxa"/>
            </w:tcMar>
            <w:vAlign w:val="center"/>
          </w:tcPr>
          <w:p w14:paraId="4DD0872E" w14:textId="77777777" w:rsidR="0020797A" w:rsidRDefault="0020797A" w:rsidP="00F77D6F">
            <w:pPr>
              <w:widowControl/>
              <w:jc w:val="center"/>
              <w:rPr>
                <w:rFonts w:ascii="Times New Roman" w:eastAsia="var(--dsw-font-markdown-table)" w:hAnsi="Times New Roman" w:cs="Times New Roman"/>
                <w:kern w:val="0"/>
                <w:szCs w:val="21"/>
                <w:lang w:bidi="ar"/>
              </w:rPr>
            </w:pPr>
          </w:p>
          <w:p w14:paraId="53DEBE76"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0.953</w:t>
            </w:r>
          </w:p>
        </w:tc>
        <w:tc>
          <w:tcPr>
            <w:tcW w:w="0" w:type="auto"/>
            <w:tcBorders>
              <w:top w:val="nil"/>
              <w:bottom w:val="nil"/>
            </w:tcBorders>
            <w:tcMar>
              <w:top w:w="100" w:type="dxa"/>
              <w:left w:w="160" w:type="dxa"/>
              <w:bottom w:w="100" w:type="dxa"/>
              <w:right w:w="160" w:type="dxa"/>
            </w:tcMar>
            <w:vAlign w:val="center"/>
          </w:tcPr>
          <w:p w14:paraId="233D8B09" w14:textId="77777777" w:rsidR="0020797A" w:rsidRDefault="0020797A" w:rsidP="00F77D6F">
            <w:pPr>
              <w:widowControl/>
              <w:jc w:val="center"/>
              <w:rPr>
                <w:rFonts w:ascii="Times New Roman" w:eastAsia="var(--dsw-font-markdown-table)" w:hAnsi="Times New Roman" w:cs="Times New Roman"/>
                <w:kern w:val="0"/>
                <w:szCs w:val="21"/>
                <w:lang w:bidi="ar"/>
              </w:rPr>
            </w:pPr>
          </w:p>
          <w:p w14:paraId="0B0BADC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3.27×10⁻³</w:t>
            </w:r>
          </w:p>
        </w:tc>
        <w:tc>
          <w:tcPr>
            <w:tcW w:w="0" w:type="auto"/>
            <w:tcBorders>
              <w:top w:val="nil"/>
              <w:bottom w:val="nil"/>
            </w:tcBorders>
            <w:tcMar>
              <w:top w:w="100" w:type="dxa"/>
              <w:left w:w="160" w:type="dxa"/>
              <w:bottom w:w="100" w:type="dxa"/>
              <w:right w:w="160" w:type="dxa"/>
            </w:tcMar>
            <w:vAlign w:val="center"/>
          </w:tcPr>
          <w:p w14:paraId="5A15F558" w14:textId="77777777" w:rsidR="0020797A" w:rsidRDefault="0020797A" w:rsidP="00F77D6F">
            <w:pPr>
              <w:widowControl/>
              <w:jc w:val="center"/>
              <w:rPr>
                <w:rFonts w:ascii="Times New Roman" w:eastAsia="var(--dsw-font-markdown-table)" w:hAnsi="Times New Roman" w:cs="Times New Roman"/>
                <w:kern w:val="0"/>
                <w:szCs w:val="21"/>
                <w:lang w:bidi="ar"/>
              </w:rPr>
            </w:pPr>
          </w:p>
          <w:p w14:paraId="1772133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Positive</w:t>
            </w:r>
          </w:p>
        </w:tc>
        <w:tc>
          <w:tcPr>
            <w:tcW w:w="0" w:type="auto"/>
            <w:tcBorders>
              <w:top w:val="nil"/>
              <w:bottom w:val="nil"/>
            </w:tcBorders>
            <w:tcMar>
              <w:top w:w="100" w:type="dxa"/>
              <w:left w:w="160" w:type="dxa"/>
              <w:bottom w:w="100" w:type="dxa"/>
              <w:right w:w="0" w:type="dxa"/>
            </w:tcMar>
            <w:vAlign w:val="center"/>
          </w:tcPr>
          <w:p w14:paraId="0E576A64" w14:textId="77777777" w:rsidR="0020797A" w:rsidRDefault="0020797A" w:rsidP="00F77D6F">
            <w:pPr>
              <w:widowControl/>
              <w:jc w:val="center"/>
              <w:rPr>
                <w:rFonts w:ascii="Times New Roman" w:eastAsia="var(--dsw-font-markdown-table)" w:hAnsi="Times New Roman" w:cs="Times New Roman"/>
                <w:kern w:val="0"/>
                <w:szCs w:val="21"/>
                <w:lang w:bidi="ar"/>
              </w:rPr>
            </w:pPr>
          </w:p>
          <w:p w14:paraId="4A993028"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Activated by PP₃₃₃(pro</w:t>
            </w:r>
            <w:r>
              <w:rPr>
                <w:rFonts w:ascii="Times New Roman" w:eastAsia="var(--dsw-font-markdown-table)" w:hAnsi="Times New Roman" w:cs="Times New Roman"/>
                <w:kern w:val="0"/>
                <w:szCs w:val="21"/>
                <w:lang w:bidi="ar"/>
              </w:rPr>
              <w:noBreakHyphen/>
              <w:t>sprouting module)</w:t>
            </w:r>
          </w:p>
        </w:tc>
      </w:tr>
      <w:tr w:rsidR="0020797A" w14:paraId="0D716A56" w14:textId="77777777" w:rsidTr="00F77D6F">
        <w:trPr>
          <w:jc w:val="center"/>
        </w:trPr>
        <w:tc>
          <w:tcPr>
            <w:tcW w:w="1117" w:type="dxa"/>
            <w:tcBorders>
              <w:top w:val="nil"/>
            </w:tcBorders>
            <w:tcMar>
              <w:top w:w="100" w:type="dxa"/>
              <w:left w:w="0" w:type="dxa"/>
              <w:bottom w:w="100" w:type="dxa"/>
              <w:right w:w="160" w:type="dxa"/>
            </w:tcMar>
            <w:vAlign w:val="center"/>
          </w:tcPr>
          <w:p w14:paraId="3686A406"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PP₃₃₃</w:t>
            </w:r>
          </w:p>
        </w:tc>
        <w:tc>
          <w:tcPr>
            <w:tcW w:w="0" w:type="auto"/>
            <w:tcBorders>
              <w:top w:val="nil"/>
            </w:tcBorders>
            <w:tcMar>
              <w:top w:w="100" w:type="dxa"/>
              <w:left w:w="160" w:type="dxa"/>
              <w:bottom w:w="100" w:type="dxa"/>
              <w:right w:w="160" w:type="dxa"/>
            </w:tcMar>
            <w:vAlign w:val="center"/>
          </w:tcPr>
          <w:p w14:paraId="664F403C"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GEbisque4</w:t>
            </w:r>
          </w:p>
        </w:tc>
        <w:tc>
          <w:tcPr>
            <w:tcW w:w="0" w:type="auto"/>
            <w:tcBorders>
              <w:top w:val="nil"/>
            </w:tcBorders>
            <w:tcMar>
              <w:top w:w="100" w:type="dxa"/>
              <w:left w:w="160" w:type="dxa"/>
              <w:bottom w:w="100" w:type="dxa"/>
              <w:right w:w="160" w:type="dxa"/>
            </w:tcMar>
            <w:vAlign w:val="center"/>
          </w:tcPr>
          <w:p w14:paraId="096037A2"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0.941</w:t>
            </w:r>
          </w:p>
        </w:tc>
        <w:tc>
          <w:tcPr>
            <w:tcW w:w="0" w:type="auto"/>
            <w:tcBorders>
              <w:top w:val="nil"/>
            </w:tcBorders>
            <w:tcMar>
              <w:top w:w="100" w:type="dxa"/>
              <w:left w:w="160" w:type="dxa"/>
              <w:bottom w:w="100" w:type="dxa"/>
              <w:right w:w="160" w:type="dxa"/>
            </w:tcMar>
            <w:vAlign w:val="center"/>
          </w:tcPr>
          <w:p w14:paraId="4B4302AA"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5.17×10⁻³</w:t>
            </w:r>
          </w:p>
        </w:tc>
        <w:tc>
          <w:tcPr>
            <w:tcW w:w="0" w:type="auto"/>
            <w:tcBorders>
              <w:top w:val="nil"/>
            </w:tcBorders>
            <w:tcMar>
              <w:top w:w="100" w:type="dxa"/>
              <w:left w:w="160" w:type="dxa"/>
              <w:bottom w:w="100" w:type="dxa"/>
              <w:right w:w="160" w:type="dxa"/>
            </w:tcMar>
            <w:vAlign w:val="center"/>
          </w:tcPr>
          <w:p w14:paraId="64CA122A"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Positive</w:t>
            </w:r>
          </w:p>
        </w:tc>
        <w:tc>
          <w:tcPr>
            <w:tcW w:w="0" w:type="auto"/>
            <w:tcBorders>
              <w:top w:val="nil"/>
            </w:tcBorders>
            <w:tcMar>
              <w:top w:w="100" w:type="dxa"/>
              <w:left w:w="160" w:type="dxa"/>
              <w:bottom w:w="100" w:type="dxa"/>
              <w:right w:w="0" w:type="dxa"/>
            </w:tcMar>
            <w:vAlign w:val="center"/>
          </w:tcPr>
          <w:p w14:paraId="3727D05E"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Activated by PP₃₃₃</w:t>
            </w:r>
          </w:p>
        </w:tc>
      </w:tr>
      <w:tr w:rsidR="0020797A" w14:paraId="418F6941" w14:textId="77777777" w:rsidTr="00F77D6F">
        <w:trPr>
          <w:jc w:val="center"/>
        </w:trPr>
        <w:tc>
          <w:tcPr>
            <w:tcW w:w="1117" w:type="dxa"/>
            <w:tcMar>
              <w:top w:w="100" w:type="dxa"/>
              <w:left w:w="0" w:type="dxa"/>
              <w:bottom w:w="100" w:type="dxa"/>
              <w:right w:w="160" w:type="dxa"/>
            </w:tcMar>
            <w:vAlign w:val="center"/>
          </w:tcPr>
          <w:p w14:paraId="530923F5"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PP₃₃₃</w:t>
            </w:r>
          </w:p>
        </w:tc>
        <w:tc>
          <w:tcPr>
            <w:tcW w:w="0" w:type="auto"/>
            <w:tcMar>
              <w:top w:w="100" w:type="dxa"/>
              <w:left w:w="160" w:type="dxa"/>
              <w:bottom w:w="100" w:type="dxa"/>
              <w:right w:w="160" w:type="dxa"/>
            </w:tcMar>
            <w:vAlign w:val="center"/>
          </w:tcPr>
          <w:p w14:paraId="20B5491E"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GEdarkred</w:t>
            </w:r>
          </w:p>
        </w:tc>
        <w:tc>
          <w:tcPr>
            <w:tcW w:w="0" w:type="auto"/>
            <w:tcMar>
              <w:top w:w="100" w:type="dxa"/>
              <w:left w:w="160" w:type="dxa"/>
              <w:bottom w:w="100" w:type="dxa"/>
              <w:right w:w="160" w:type="dxa"/>
            </w:tcMar>
            <w:vAlign w:val="center"/>
          </w:tcPr>
          <w:p w14:paraId="65C2D8F1"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0.868</w:t>
            </w:r>
          </w:p>
        </w:tc>
        <w:tc>
          <w:tcPr>
            <w:tcW w:w="0" w:type="auto"/>
            <w:tcMar>
              <w:top w:w="100" w:type="dxa"/>
              <w:left w:w="160" w:type="dxa"/>
              <w:bottom w:w="100" w:type="dxa"/>
              <w:right w:w="160" w:type="dxa"/>
            </w:tcMar>
            <w:vAlign w:val="center"/>
          </w:tcPr>
          <w:p w14:paraId="7F09759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2.49×10⁻²</w:t>
            </w:r>
          </w:p>
        </w:tc>
        <w:tc>
          <w:tcPr>
            <w:tcW w:w="0" w:type="auto"/>
            <w:tcMar>
              <w:top w:w="100" w:type="dxa"/>
              <w:left w:w="160" w:type="dxa"/>
              <w:bottom w:w="100" w:type="dxa"/>
              <w:right w:w="160" w:type="dxa"/>
            </w:tcMar>
            <w:vAlign w:val="center"/>
          </w:tcPr>
          <w:p w14:paraId="28F1B645"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Positive</w:t>
            </w:r>
          </w:p>
        </w:tc>
        <w:tc>
          <w:tcPr>
            <w:tcW w:w="0" w:type="auto"/>
            <w:tcMar>
              <w:top w:w="100" w:type="dxa"/>
              <w:left w:w="160" w:type="dxa"/>
              <w:bottom w:w="100" w:type="dxa"/>
              <w:right w:w="0" w:type="dxa"/>
            </w:tcMar>
            <w:vAlign w:val="center"/>
          </w:tcPr>
          <w:p w14:paraId="5BEA2B6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Activated by PP₃₃₃</w:t>
            </w:r>
          </w:p>
        </w:tc>
      </w:tr>
      <w:tr w:rsidR="0020797A" w14:paraId="5CECF870" w14:textId="77777777" w:rsidTr="00F77D6F">
        <w:trPr>
          <w:jc w:val="center"/>
        </w:trPr>
        <w:tc>
          <w:tcPr>
            <w:tcW w:w="1117" w:type="dxa"/>
            <w:tcMar>
              <w:top w:w="100" w:type="dxa"/>
              <w:left w:w="0" w:type="dxa"/>
              <w:bottom w:w="100" w:type="dxa"/>
              <w:right w:w="160" w:type="dxa"/>
            </w:tcMar>
            <w:vAlign w:val="center"/>
          </w:tcPr>
          <w:p w14:paraId="35C5B8D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PP₃₃₃</w:t>
            </w:r>
          </w:p>
        </w:tc>
        <w:tc>
          <w:tcPr>
            <w:tcW w:w="0" w:type="auto"/>
            <w:tcMar>
              <w:top w:w="100" w:type="dxa"/>
              <w:left w:w="160" w:type="dxa"/>
              <w:bottom w:w="100" w:type="dxa"/>
              <w:right w:w="160" w:type="dxa"/>
            </w:tcMar>
            <w:vAlign w:val="center"/>
          </w:tcPr>
          <w:p w14:paraId="7D518604"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GEgreen</w:t>
            </w:r>
          </w:p>
        </w:tc>
        <w:tc>
          <w:tcPr>
            <w:tcW w:w="0" w:type="auto"/>
            <w:tcMar>
              <w:top w:w="100" w:type="dxa"/>
              <w:left w:w="160" w:type="dxa"/>
              <w:bottom w:w="100" w:type="dxa"/>
              <w:right w:w="160" w:type="dxa"/>
            </w:tcMar>
            <w:vAlign w:val="center"/>
          </w:tcPr>
          <w:p w14:paraId="3B8F4D3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−0.896</w:t>
            </w:r>
          </w:p>
        </w:tc>
        <w:tc>
          <w:tcPr>
            <w:tcW w:w="0" w:type="auto"/>
            <w:tcMar>
              <w:top w:w="100" w:type="dxa"/>
              <w:left w:w="160" w:type="dxa"/>
              <w:bottom w:w="100" w:type="dxa"/>
              <w:right w:w="160" w:type="dxa"/>
            </w:tcMar>
            <w:vAlign w:val="center"/>
          </w:tcPr>
          <w:p w14:paraId="03918036"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1.58×10⁻²</w:t>
            </w:r>
          </w:p>
        </w:tc>
        <w:tc>
          <w:tcPr>
            <w:tcW w:w="0" w:type="auto"/>
            <w:tcMar>
              <w:top w:w="100" w:type="dxa"/>
              <w:left w:w="160" w:type="dxa"/>
              <w:bottom w:w="100" w:type="dxa"/>
              <w:right w:w="160" w:type="dxa"/>
            </w:tcMar>
            <w:vAlign w:val="center"/>
          </w:tcPr>
          <w:p w14:paraId="7FF0538E"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Negative</w:t>
            </w:r>
          </w:p>
        </w:tc>
        <w:tc>
          <w:tcPr>
            <w:tcW w:w="0" w:type="auto"/>
            <w:tcMar>
              <w:top w:w="100" w:type="dxa"/>
              <w:left w:w="160" w:type="dxa"/>
              <w:bottom w:w="100" w:type="dxa"/>
              <w:right w:w="0" w:type="dxa"/>
            </w:tcMar>
            <w:vAlign w:val="center"/>
          </w:tcPr>
          <w:p w14:paraId="41C27AC7"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Suppressed by PP₃₃₃</w:t>
            </w:r>
          </w:p>
        </w:tc>
      </w:tr>
      <w:tr w:rsidR="0020797A" w14:paraId="56262E0A" w14:textId="77777777" w:rsidTr="00F77D6F">
        <w:trPr>
          <w:jc w:val="center"/>
        </w:trPr>
        <w:tc>
          <w:tcPr>
            <w:tcW w:w="1117" w:type="dxa"/>
            <w:tcBorders>
              <w:bottom w:val="single" w:sz="12" w:space="0" w:color="auto"/>
            </w:tcBorders>
            <w:tcMar>
              <w:top w:w="100" w:type="dxa"/>
              <w:left w:w="0" w:type="dxa"/>
              <w:bottom w:w="100" w:type="dxa"/>
              <w:right w:w="160" w:type="dxa"/>
            </w:tcMar>
            <w:vAlign w:val="center"/>
          </w:tcPr>
          <w:p w14:paraId="0A03B9DB"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PP₃₃₃</w:t>
            </w:r>
          </w:p>
        </w:tc>
        <w:tc>
          <w:tcPr>
            <w:tcW w:w="0" w:type="auto"/>
            <w:tcBorders>
              <w:bottom w:val="single" w:sz="12" w:space="0" w:color="auto"/>
            </w:tcBorders>
            <w:tcMar>
              <w:top w:w="100" w:type="dxa"/>
              <w:left w:w="160" w:type="dxa"/>
              <w:bottom w:w="100" w:type="dxa"/>
              <w:right w:w="160" w:type="dxa"/>
            </w:tcMar>
            <w:vAlign w:val="center"/>
          </w:tcPr>
          <w:p w14:paraId="4BFDBFE1"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GEyellow4</w:t>
            </w:r>
          </w:p>
        </w:tc>
        <w:tc>
          <w:tcPr>
            <w:tcW w:w="0" w:type="auto"/>
            <w:tcBorders>
              <w:bottom w:val="single" w:sz="12" w:space="0" w:color="auto"/>
            </w:tcBorders>
            <w:tcMar>
              <w:top w:w="100" w:type="dxa"/>
              <w:left w:w="160" w:type="dxa"/>
              <w:bottom w:w="100" w:type="dxa"/>
              <w:right w:w="160" w:type="dxa"/>
            </w:tcMar>
            <w:vAlign w:val="center"/>
          </w:tcPr>
          <w:p w14:paraId="60B6F2DA"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−0.866</w:t>
            </w:r>
          </w:p>
        </w:tc>
        <w:tc>
          <w:tcPr>
            <w:tcW w:w="0" w:type="auto"/>
            <w:tcBorders>
              <w:bottom w:val="single" w:sz="12" w:space="0" w:color="auto"/>
            </w:tcBorders>
            <w:tcMar>
              <w:top w:w="100" w:type="dxa"/>
              <w:left w:w="160" w:type="dxa"/>
              <w:bottom w:w="100" w:type="dxa"/>
              <w:right w:w="160" w:type="dxa"/>
            </w:tcMar>
            <w:vAlign w:val="center"/>
          </w:tcPr>
          <w:p w14:paraId="658F8669"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2.56×10⁻²</w:t>
            </w:r>
          </w:p>
        </w:tc>
        <w:tc>
          <w:tcPr>
            <w:tcW w:w="0" w:type="auto"/>
            <w:tcBorders>
              <w:bottom w:val="single" w:sz="12" w:space="0" w:color="auto"/>
            </w:tcBorders>
            <w:tcMar>
              <w:top w:w="100" w:type="dxa"/>
              <w:left w:w="160" w:type="dxa"/>
              <w:bottom w:w="100" w:type="dxa"/>
              <w:right w:w="160" w:type="dxa"/>
            </w:tcMar>
            <w:vAlign w:val="center"/>
          </w:tcPr>
          <w:p w14:paraId="4E245597"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Negative</w:t>
            </w:r>
          </w:p>
        </w:tc>
        <w:tc>
          <w:tcPr>
            <w:tcW w:w="0" w:type="auto"/>
            <w:tcBorders>
              <w:bottom w:val="single" w:sz="12" w:space="0" w:color="auto"/>
            </w:tcBorders>
            <w:tcMar>
              <w:top w:w="100" w:type="dxa"/>
              <w:left w:w="160" w:type="dxa"/>
              <w:bottom w:w="100" w:type="dxa"/>
              <w:right w:w="0" w:type="dxa"/>
            </w:tcMar>
            <w:vAlign w:val="center"/>
          </w:tcPr>
          <w:p w14:paraId="62F46DD3" w14:textId="77777777" w:rsidR="0020797A" w:rsidRDefault="0020797A" w:rsidP="00F77D6F">
            <w:pPr>
              <w:widowControl/>
              <w:jc w:val="center"/>
              <w:rPr>
                <w:rFonts w:ascii="Times New Roman" w:eastAsia="var(--dsw-font-markdown-table)" w:hAnsi="Times New Roman" w:cs="Times New Roman"/>
                <w:szCs w:val="21"/>
              </w:rPr>
            </w:pPr>
            <w:r>
              <w:rPr>
                <w:rFonts w:ascii="Times New Roman" w:eastAsia="var(--dsw-font-markdown-table)" w:hAnsi="Times New Roman" w:cs="Times New Roman"/>
                <w:kern w:val="0"/>
                <w:szCs w:val="21"/>
                <w:lang w:bidi="ar"/>
              </w:rPr>
              <w:t>Suppressed by PP₃₃₃</w:t>
            </w:r>
          </w:p>
        </w:tc>
      </w:tr>
    </w:tbl>
    <w:p w14:paraId="11C10F2D" w14:textId="77777777" w:rsidR="0020797A" w:rsidRDefault="0020797A" w:rsidP="0020797A">
      <w:pPr>
        <w:widowControl/>
        <w:jc w:val="center"/>
        <w:rPr>
          <w:rFonts w:ascii="Times New Roman" w:eastAsia="SimSun" w:hAnsi="Times New Roman" w:cs="Times New Roman"/>
          <w:color w:val="000000"/>
          <w:kern w:val="0"/>
          <w:sz w:val="18"/>
          <w:szCs w:val="18"/>
          <w:lang w:bidi="ar"/>
        </w:rPr>
      </w:pPr>
      <w:r>
        <w:rPr>
          <w:rFonts w:ascii="Times New Roman" w:eastAsia="var(--dsw-font-markdown-base)" w:hAnsi="Times New Roman" w:cs="Times New Roman"/>
          <w:color w:val="000000" w:themeColor="text1"/>
          <w:sz w:val="18"/>
          <w:szCs w:val="18"/>
          <w:shd w:val="clear" w:color="auto" w:fill="FFFFFF"/>
        </w:rPr>
        <w:t>Note: Only correlations with |r| &gt; 0.85 and P &lt; 0.05 are shown. MEgrey: metabolite module (28 metabolites, Table S1). Gene module names: WGCNA color labels.</w:t>
      </w:r>
    </w:p>
    <w:p w14:paraId="16903685" w14:textId="77777777" w:rsidR="008B07A6" w:rsidRDefault="008B07A6"/>
    <w:sectPr w:rsidR="008B0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ar(--dsw-font-markdown-table-h">
    <w:altName w:val="Segoe Print"/>
    <w:charset w:val="00"/>
    <w:family w:val="auto"/>
    <w:pitch w:val="default"/>
  </w:font>
  <w:font w:name="var(--dsw-font-markdown-table)">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var(--dsw-font-markdown-base)">
    <w:altName w:val="Segoe Prin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7A"/>
    <w:rsid w:val="00066677"/>
    <w:rsid w:val="00153A17"/>
    <w:rsid w:val="001A37F3"/>
    <w:rsid w:val="0020797A"/>
    <w:rsid w:val="003A4E89"/>
    <w:rsid w:val="00556784"/>
    <w:rsid w:val="007601B9"/>
    <w:rsid w:val="008B07A6"/>
    <w:rsid w:val="0097029A"/>
    <w:rsid w:val="00987B63"/>
    <w:rsid w:val="00990454"/>
    <w:rsid w:val="00A234E6"/>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70BDA"/>
  <w15:chartTrackingRefBased/>
  <w15:docId w15:val="{1F2FA17A-CE00-4F35-89FA-D519F4801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7A"/>
    <w:pPr>
      <w:widowControl w:val="0"/>
      <w:spacing w:after="0" w:line="240" w:lineRule="auto"/>
      <w:jc w:val="both"/>
    </w:pPr>
    <w:rPr>
      <w:rFonts w:eastAsiaTheme="minorEastAsia"/>
      <w:sz w:val="21"/>
      <w:lang w:eastAsia="zh-CN"/>
      <w14:ligatures w14:val="none"/>
    </w:rPr>
  </w:style>
  <w:style w:type="paragraph" w:styleId="Heading1">
    <w:name w:val="heading 1"/>
    <w:basedOn w:val="Normal"/>
    <w:next w:val="Normal"/>
    <w:link w:val="Heading1Char"/>
    <w:uiPriority w:val="9"/>
    <w:qFormat/>
    <w:rsid w:val="0020797A"/>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0797A"/>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0797A"/>
    <w:pPr>
      <w:keepNext/>
      <w:keepLines/>
      <w:widowControl/>
      <w:spacing w:before="160" w:after="80" w:line="278" w:lineRule="auto"/>
      <w:jc w:val="left"/>
      <w:outlineLvl w:val="2"/>
    </w:pPr>
    <w:rPr>
      <w:rFonts w:eastAsiaTheme="majorEastAsia"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0797A"/>
    <w:pPr>
      <w:keepNext/>
      <w:keepLines/>
      <w:widowControl/>
      <w:spacing w:before="80" w:after="40" w:line="278" w:lineRule="auto"/>
      <w:jc w:val="left"/>
      <w:outlineLvl w:val="3"/>
    </w:pPr>
    <w:rPr>
      <w:rFonts w:eastAsiaTheme="majorEastAsia" w:cstheme="majorBidi"/>
      <w:i/>
      <w:iCs/>
      <w:color w:val="0F4761" w:themeColor="accent1" w:themeShade="BF"/>
      <w:sz w:val="24"/>
      <w:lang w:eastAsia="en-US"/>
      <w14:ligatures w14:val="standardContextual"/>
    </w:rPr>
  </w:style>
  <w:style w:type="paragraph" w:styleId="Heading5">
    <w:name w:val="heading 5"/>
    <w:basedOn w:val="Normal"/>
    <w:next w:val="Normal"/>
    <w:link w:val="Heading5Char"/>
    <w:uiPriority w:val="9"/>
    <w:semiHidden/>
    <w:unhideWhenUsed/>
    <w:qFormat/>
    <w:rsid w:val="0020797A"/>
    <w:pPr>
      <w:keepNext/>
      <w:keepLines/>
      <w:widowControl/>
      <w:spacing w:before="80" w:after="40" w:line="278" w:lineRule="auto"/>
      <w:jc w:val="left"/>
      <w:outlineLvl w:val="4"/>
    </w:pPr>
    <w:rPr>
      <w:rFonts w:eastAsiaTheme="majorEastAsia" w:cstheme="majorBidi"/>
      <w:color w:val="0F4761" w:themeColor="accent1" w:themeShade="BF"/>
      <w:sz w:val="24"/>
      <w:lang w:eastAsia="en-US"/>
      <w14:ligatures w14:val="standardContextual"/>
    </w:rPr>
  </w:style>
  <w:style w:type="paragraph" w:styleId="Heading6">
    <w:name w:val="heading 6"/>
    <w:basedOn w:val="Normal"/>
    <w:next w:val="Normal"/>
    <w:link w:val="Heading6Char"/>
    <w:uiPriority w:val="9"/>
    <w:semiHidden/>
    <w:unhideWhenUsed/>
    <w:qFormat/>
    <w:rsid w:val="0020797A"/>
    <w:pPr>
      <w:keepNext/>
      <w:keepLines/>
      <w:widowControl/>
      <w:spacing w:before="40" w:line="278" w:lineRule="auto"/>
      <w:jc w:val="left"/>
      <w:outlineLvl w:val="5"/>
    </w:pPr>
    <w:rPr>
      <w:rFonts w:eastAsiaTheme="majorEastAsia" w:cstheme="majorBidi"/>
      <w:i/>
      <w:iCs/>
      <w:color w:val="595959" w:themeColor="text1" w:themeTint="A6"/>
      <w:sz w:val="24"/>
      <w:lang w:eastAsia="en-US"/>
      <w14:ligatures w14:val="standardContextual"/>
    </w:rPr>
  </w:style>
  <w:style w:type="paragraph" w:styleId="Heading7">
    <w:name w:val="heading 7"/>
    <w:basedOn w:val="Normal"/>
    <w:next w:val="Normal"/>
    <w:link w:val="Heading7Char"/>
    <w:uiPriority w:val="9"/>
    <w:semiHidden/>
    <w:unhideWhenUsed/>
    <w:qFormat/>
    <w:rsid w:val="0020797A"/>
    <w:pPr>
      <w:keepNext/>
      <w:keepLines/>
      <w:widowControl/>
      <w:spacing w:before="40" w:line="278" w:lineRule="auto"/>
      <w:jc w:val="left"/>
      <w:outlineLvl w:val="6"/>
    </w:pPr>
    <w:rPr>
      <w:rFonts w:eastAsiaTheme="majorEastAsia" w:cstheme="majorBidi"/>
      <w:color w:val="595959" w:themeColor="text1" w:themeTint="A6"/>
      <w:sz w:val="24"/>
      <w:lang w:eastAsia="en-US"/>
      <w14:ligatures w14:val="standardContextual"/>
    </w:rPr>
  </w:style>
  <w:style w:type="paragraph" w:styleId="Heading8">
    <w:name w:val="heading 8"/>
    <w:basedOn w:val="Normal"/>
    <w:next w:val="Normal"/>
    <w:link w:val="Heading8Char"/>
    <w:uiPriority w:val="9"/>
    <w:semiHidden/>
    <w:unhideWhenUsed/>
    <w:qFormat/>
    <w:rsid w:val="0020797A"/>
    <w:pPr>
      <w:keepNext/>
      <w:keepLines/>
      <w:widowControl/>
      <w:spacing w:line="278" w:lineRule="auto"/>
      <w:jc w:val="left"/>
      <w:outlineLvl w:val="7"/>
    </w:pPr>
    <w:rPr>
      <w:rFonts w:eastAsiaTheme="majorEastAsia" w:cstheme="majorBidi"/>
      <w:i/>
      <w:iCs/>
      <w:color w:val="272727" w:themeColor="text1" w:themeTint="D8"/>
      <w:sz w:val="24"/>
      <w:lang w:eastAsia="en-US"/>
      <w14:ligatures w14:val="standardContextual"/>
    </w:rPr>
  </w:style>
  <w:style w:type="paragraph" w:styleId="Heading9">
    <w:name w:val="heading 9"/>
    <w:basedOn w:val="Normal"/>
    <w:next w:val="Normal"/>
    <w:link w:val="Heading9Char"/>
    <w:uiPriority w:val="9"/>
    <w:semiHidden/>
    <w:unhideWhenUsed/>
    <w:qFormat/>
    <w:rsid w:val="0020797A"/>
    <w:pPr>
      <w:keepNext/>
      <w:keepLines/>
      <w:widowControl/>
      <w:spacing w:line="278" w:lineRule="auto"/>
      <w:jc w:val="left"/>
      <w:outlineLvl w:val="8"/>
    </w:pPr>
    <w:rPr>
      <w:rFonts w:eastAsiaTheme="majorEastAsia" w:cstheme="majorBidi"/>
      <w:color w:val="272727" w:themeColor="text1" w:themeTint="D8"/>
      <w:sz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97A"/>
    <w:rPr>
      <w:rFonts w:eastAsiaTheme="majorEastAsia" w:cstheme="majorBidi"/>
      <w:color w:val="272727" w:themeColor="text1" w:themeTint="D8"/>
    </w:rPr>
  </w:style>
  <w:style w:type="paragraph" w:styleId="Title">
    <w:name w:val="Title"/>
    <w:basedOn w:val="Normal"/>
    <w:next w:val="Normal"/>
    <w:link w:val="TitleChar"/>
    <w:uiPriority w:val="10"/>
    <w:qFormat/>
    <w:rsid w:val="0020797A"/>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07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97A"/>
    <w:pPr>
      <w:widowControl/>
      <w:numPr>
        <w:ilvl w:val="1"/>
      </w:numPr>
      <w:spacing w:after="160" w:line="278" w:lineRule="auto"/>
      <w:jc w:val="left"/>
    </w:pPr>
    <w:rPr>
      <w:rFonts w:eastAsiaTheme="majorEastAsia"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207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97A"/>
    <w:pPr>
      <w:widowControl/>
      <w:spacing w:before="160" w:after="160" w:line="278" w:lineRule="auto"/>
      <w:jc w:val="center"/>
    </w:pPr>
    <w:rPr>
      <w:rFonts w:eastAsiaTheme="minorHAnsi"/>
      <w:i/>
      <w:iCs/>
      <w:color w:val="404040" w:themeColor="text1" w:themeTint="BF"/>
      <w:sz w:val="24"/>
      <w:lang w:eastAsia="en-US"/>
      <w14:ligatures w14:val="standardContextual"/>
    </w:rPr>
  </w:style>
  <w:style w:type="character" w:customStyle="1" w:styleId="QuoteChar">
    <w:name w:val="Quote Char"/>
    <w:basedOn w:val="DefaultParagraphFont"/>
    <w:link w:val="Quote"/>
    <w:uiPriority w:val="29"/>
    <w:rsid w:val="0020797A"/>
    <w:rPr>
      <w:i/>
      <w:iCs/>
      <w:color w:val="404040" w:themeColor="text1" w:themeTint="BF"/>
    </w:rPr>
  </w:style>
  <w:style w:type="paragraph" w:styleId="ListParagraph">
    <w:name w:val="List Paragraph"/>
    <w:basedOn w:val="Normal"/>
    <w:uiPriority w:val="34"/>
    <w:qFormat/>
    <w:rsid w:val="0020797A"/>
    <w:pPr>
      <w:widowControl/>
      <w:spacing w:after="160" w:line="278" w:lineRule="auto"/>
      <w:ind w:left="720"/>
      <w:contextualSpacing/>
      <w:jc w:val="left"/>
    </w:pPr>
    <w:rPr>
      <w:rFonts w:eastAsiaTheme="minorHAnsi"/>
      <w:sz w:val="24"/>
      <w:lang w:eastAsia="en-US"/>
      <w14:ligatures w14:val="standardContextual"/>
    </w:rPr>
  </w:style>
  <w:style w:type="character" w:styleId="IntenseEmphasis">
    <w:name w:val="Intense Emphasis"/>
    <w:basedOn w:val="DefaultParagraphFont"/>
    <w:uiPriority w:val="21"/>
    <w:qFormat/>
    <w:rsid w:val="0020797A"/>
    <w:rPr>
      <w:i/>
      <w:iCs/>
      <w:color w:val="0F4761" w:themeColor="accent1" w:themeShade="BF"/>
    </w:rPr>
  </w:style>
  <w:style w:type="paragraph" w:styleId="IntenseQuote">
    <w:name w:val="Intense Quote"/>
    <w:basedOn w:val="Normal"/>
    <w:next w:val="Normal"/>
    <w:link w:val="IntenseQuoteChar"/>
    <w:uiPriority w:val="30"/>
    <w:qFormat/>
    <w:rsid w:val="0020797A"/>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lang w:eastAsia="en-US"/>
      <w14:ligatures w14:val="standardContextual"/>
    </w:rPr>
  </w:style>
  <w:style w:type="character" w:customStyle="1" w:styleId="IntenseQuoteChar">
    <w:name w:val="Intense Quote Char"/>
    <w:basedOn w:val="DefaultParagraphFont"/>
    <w:link w:val="IntenseQuote"/>
    <w:uiPriority w:val="30"/>
    <w:rsid w:val="0020797A"/>
    <w:rPr>
      <w:i/>
      <w:iCs/>
      <w:color w:val="0F4761" w:themeColor="accent1" w:themeShade="BF"/>
    </w:rPr>
  </w:style>
  <w:style w:type="character" w:styleId="IntenseReference">
    <w:name w:val="Intense Reference"/>
    <w:basedOn w:val="DefaultParagraphFont"/>
    <w:uiPriority w:val="32"/>
    <w:qFormat/>
    <w:rsid w:val="0020797A"/>
    <w:rPr>
      <w:b/>
      <w:bCs/>
      <w:smallCaps/>
      <w:color w:val="0F4761" w:themeColor="accent1" w:themeShade="BF"/>
      <w:spacing w:val="5"/>
    </w:rPr>
  </w:style>
  <w:style w:type="character" w:styleId="Strong">
    <w:name w:val="Strong"/>
    <w:basedOn w:val="DefaultParagraphFont"/>
    <w:qFormat/>
    <w:rsid w:val="0020797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2026-09-17T12:56:00Z</dcterms:created>
  <dcterms:modified xsi:type="dcterms:W3CDTF">2026-09-17T12:56:00Z</dcterms:modified>
</cp:coreProperties>
</file>