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14418" w:type="dxa"/>
        <w:jc w:val="left"/>
        <w:tblInd w:w="-426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firstRow="0" w:noVBand="0" w:lastRow="0" w:firstColumn="0" w:lastColumn="0" w:noHBand="0" w:val="0000"/>
      </w:tblPr>
      <w:tblGrid>
        <w:gridCol w:w="4491"/>
        <w:gridCol w:w="1937"/>
        <w:gridCol w:w="2117"/>
        <w:gridCol w:w="1994"/>
        <w:gridCol w:w="672"/>
        <w:gridCol w:w="1880"/>
        <w:gridCol w:w="1326"/>
      </w:tblGrid>
      <w:tr>
        <w:trPr>
          <w:trHeight w:val="25" w:hRule="atLeast"/>
          <w:cantSplit w:val="true"/>
        </w:trPr>
        <w:tc>
          <w:tcPr>
            <w:tcW w:w="14417" w:type="dxa"/>
            <w:gridSpan w:val="7"/>
            <w:tcBorders>
              <w:top w:val="single" w:sz="18" w:space="0" w:color="000000"/>
              <w:bottom w:val="single" w:sz="18" w:space="0" w:color="000000"/>
            </w:tcBorders>
            <w:vAlign w:val="center"/>
          </w:tcPr>
          <w:p>
            <w:pPr>
              <w:pStyle w:val="Normal1"/>
              <w:widowControl w:val="false"/>
              <w:pBdr/>
              <w:spacing w:lineRule="auto" w:line="240"/>
              <w:rPr>
                <w:rFonts w:ascii="Calibri" w:hAnsi="Calibri" w:eastAsia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bookmarkStart w:id="0" w:name="_GoBack"/>
            <w:bookmarkEnd w:id="0"/>
            <w:r>
              <w:rPr>
                <w:rFonts w:eastAsia="Calibri" w:cs="Calibri" w:ascii="Calibri" w:hAnsi="Calibri"/>
                <w:b/>
                <w:color w:val="000000"/>
                <w:sz w:val="20"/>
                <w:szCs w:val="20"/>
                <w:lang w:val="en-US"/>
              </w:rPr>
              <w:t xml:space="preserve">Supplementary Table 1. </w:t>
            </w:r>
            <w:r>
              <w:rPr>
                <w:rFonts w:eastAsia="Calibri" w:cs="Calibri" w:ascii="Calibri" w:hAnsi="Calibri"/>
                <w:b/>
                <w:bCs/>
                <w:color w:val="000000"/>
                <w:sz w:val="20"/>
                <w:szCs w:val="20"/>
                <w:lang w:val="en-US"/>
              </w:rPr>
              <w:t>Differences between early dropouts and retained subjects</w:t>
            </w:r>
          </w:p>
        </w:tc>
      </w:tr>
      <w:tr>
        <w:trPr>
          <w:trHeight w:val="20" w:hRule="atLeast"/>
          <w:cantSplit w:val="true"/>
        </w:trPr>
        <w:tc>
          <w:tcPr>
            <w:tcW w:w="4491" w:type="dxa"/>
            <w:tcBorders>
              <w:top w:val="single" w:sz="18" w:space="0" w:color="000000"/>
              <w:bottom w:val="single" w:sz="4" w:space="0" w:color="000000"/>
            </w:tcBorders>
            <w:vAlign w:val="center"/>
          </w:tcPr>
          <w:p>
            <w:pPr>
              <w:pStyle w:val="Normal1"/>
              <w:widowControl w:val="false"/>
              <w:pBdr/>
              <w:spacing w:lineRule="auto" w:line="240"/>
              <w:rPr>
                <w:rFonts w:ascii="Calibri" w:hAnsi="Calibri" w:eastAsia="Calibri" w:cs="Calibri"/>
                <w:color w:val="000000"/>
                <w:sz w:val="20"/>
                <w:szCs w:val="20"/>
              </w:rPr>
            </w:pPr>
            <w:r>
              <w:rPr>
                <w:rFonts w:eastAsia="Calibri" w:cs="Calibri" w:ascii="Calibri" w:hAnsi="Calibri"/>
                <w:b/>
                <w:bCs/>
                <w:color w:val="000000"/>
                <w:sz w:val="20"/>
                <w:szCs w:val="20"/>
                <w:lang w:val="en-US"/>
              </w:rPr>
              <w:t xml:space="preserve">Sociodemographic Variables </w:t>
            </w:r>
          </w:p>
        </w:tc>
        <w:tc>
          <w:tcPr>
            <w:tcW w:w="1937" w:type="dxa"/>
            <w:tcBorders>
              <w:top w:val="single" w:sz="18" w:space="0" w:color="000000"/>
              <w:bottom w:val="single" w:sz="4" w:space="0" w:color="000000"/>
            </w:tcBorders>
            <w:vAlign w:val="center"/>
          </w:tcPr>
          <w:p>
            <w:pPr>
              <w:pStyle w:val="Normal1"/>
              <w:spacing w:lineRule="auto" w:line="240"/>
              <w:jc w:val="center"/>
              <w:rPr>
                <w:rFonts w:ascii="Calibri" w:hAnsi="Calibri" w:eastAsia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Calibri" w:cs="Calibri" w:ascii="Calibri" w:hAnsi="Calibri"/>
                <w:b/>
                <w:bCs/>
                <w:color w:val="000000"/>
                <w:sz w:val="20"/>
                <w:szCs w:val="20"/>
                <w:lang w:val="en-US"/>
              </w:rPr>
              <w:t>Early dropouts (n=12)</w:t>
            </w:r>
          </w:p>
        </w:tc>
        <w:tc>
          <w:tcPr>
            <w:tcW w:w="2117" w:type="dxa"/>
            <w:tcBorders>
              <w:top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1"/>
              <w:spacing w:lineRule="auto" w:line="240"/>
              <w:jc w:val="center"/>
              <w:rPr>
                <w:rFonts w:ascii="Calibri" w:hAnsi="Calibri" w:eastAsia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Calibri" w:cs="Calibri" w:ascii="Calibri" w:hAnsi="Calibri"/>
                <w:b/>
                <w:bCs/>
                <w:color w:val="000000"/>
                <w:sz w:val="20"/>
                <w:szCs w:val="20"/>
                <w:lang w:val="en-US"/>
              </w:rPr>
              <w:t>Retained subject (n=45)</w:t>
            </w:r>
          </w:p>
        </w:tc>
        <w:tc>
          <w:tcPr>
            <w:tcW w:w="1994" w:type="dxa"/>
            <w:tcBorders>
              <w:top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Normal1"/>
              <w:spacing w:lineRule="auto" w:line="240"/>
              <w:jc w:val="center"/>
              <w:rPr>
                <w:rFonts w:ascii="Calibri" w:hAnsi="Calibri" w:eastAsia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eastAsia="Calibri" w:cs="Calibri" w:ascii="Calibri" w:hAnsi="Calibri"/>
                <w:b/>
                <w:bCs/>
                <w:color w:val="000000"/>
                <w:sz w:val="20"/>
                <w:szCs w:val="20"/>
                <w:lang w:val="en-US"/>
              </w:rPr>
              <w:t>Test (X</w:t>
            </w:r>
            <w:r>
              <w:rPr>
                <w:rFonts w:eastAsia="Calibri" w:cs="Calibri" w:ascii="Calibri" w:hAnsi="Calibri"/>
                <w:b/>
                <w:bCs/>
                <w:color w:val="000000"/>
                <w:sz w:val="20"/>
                <w:szCs w:val="20"/>
                <w:vertAlign w:val="superscript"/>
                <w:lang w:val="en-US"/>
              </w:rPr>
              <w:t>2</w:t>
            </w:r>
            <w:r>
              <w:rPr>
                <w:rFonts w:eastAsia="Calibri" w:cs="Calibri" w:ascii="Calibri" w:hAnsi="Calibri"/>
                <w:b/>
                <w:bCs/>
                <w:color w:val="000000"/>
                <w:sz w:val="20"/>
                <w:szCs w:val="20"/>
                <w:lang w:val="en-US"/>
              </w:rPr>
              <w:t xml:space="preserve"> or Student’s t)</w:t>
            </w:r>
          </w:p>
        </w:tc>
        <w:tc>
          <w:tcPr>
            <w:tcW w:w="672" w:type="dxa"/>
            <w:tcBorders>
              <w:top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Normal1"/>
              <w:spacing w:lineRule="auto" w:line="240"/>
              <w:jc w:val="center"/>
              <w:rPr>
                <w:rFonts w:ascii="Calibri" w:hAnsi="Calibri" w:eastAsia="Calibri" w:cs="Calibri"/>
                <w:color w:val="000000"/>
                <w:sz w:val="20"/>
                <w:szCs w:val="20"/>
              </w:rPr>
            </w:pPr>
            <w:r>
              <w:rPr>
                <w:rFonts w:eastAsia="Calibri" w:cs="Calibri" w:ascii="Calibri" w:hAnsi="Calibri"/>
                <w:b/>
                <w:color w:val="000000"/>
                <w:sz w:val="20"/>
                <w:szCs w:val="20"/>
                <w:lang w:val="en-US"/>
              </w:rPr>
              <w:t>p</w:t>
            </w:r>
          </w:p>
        </w:tc>
        <w:tc>
          <w:tcPr>
            <w:tcW w:w="1880" w:type="dxa"/>
            <w:tcBorders>
              <w:top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Normal1"/>
              <w:spacing w:lineRule="auto" w:line="240"/>
              <w:jc w:val="center"/>
              <w:rPr>
                <w:rFonts w:ascii="Calibri" w:hAnsi="Calibri" w:eastAsia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eastAsia="Calibri" w:cs="Calibri" w:ascii="Calibri" w:hAnsi="Calibri"/>
                <w:b/>
                <w:color w:val="000000"/>
                <w:sz w:val="20"/>
                <w:szCs w:val="20"/>
                <w:lang w:val="en-US"/>
              </w:rPr>
              <w:t>Cohen’s d or Cramer's V</w:t>
            </w:r>
          </w:p>
        </w:tc>
        <w:tc>
          <w:tcPr>
            <w:tcW w:w="1326" w:type="dxa"/>
            <w:tcBorders>
              <w:top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Normal1"/>
              <w:spacing w:lineRule="auto" w:line="240"/>
              <w:jc w:val="center"/>
              <w:rPr>
                <w:rFonts w:ascii="Calibri" w:hAnsi="Calibri" w:eastAsia="Calibri" w:cs="Calibri"/>
                <w:color w:val="000000"/>
                <w:sz w:val="20"/>
                <w:szCs w:val="20"/>
              </w:rPr>
            </w:pPr>
            <w:r>
              <w:rPr>
                <w:rFonts w:eastAsia="Calibri" w:cs="Calibri" w:ascii="Calibri" w:hAnsi="Calibri"/>
                <w:b/>
                <w:sz w:val="20"/>
                <w:szCs w:val="20"/>
                <w:lang w:val="en-US"/>
              </w:rPr>
              <w:t xml:space="preserve">95% CI </w:t>
            </w:r>
          </w:p>
        </w:tc>
      </w:tr>
      <w:tr>
        <w:trPr>
          <w:trHeight w:val="20" w:hRule="atLeast"/>
          <w:cantSplit w:val="true"/>
        </w:trPr>
        <w:tc>
          <w:tcPr>
            <w:tcW w:w="449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1"/>
              <w:widowControl w:val="false"/>
              <w:pBdr/>
              <w:spacing w:lineRule="auto" w:line="240"/>
              <w:rPr>
                <w:rFonts w:ascii="Calibri" w:hAnsi="Calibri" w:eastAsia="Calibri" w:cs="Calibri"/>
                <w:color w:val="000000"/>
                <w:sz w:val="20"/>
                <w:szCs w:val="20"/>
              </w:rPr>
            </w:pPr>
            <w:r>
              <w:rPr>
                <w:rFonts w:eastAsia="Calibri" w:cs="Calibri" w:ascii="Calibri" w:hAnsi="Calibri"/>
                <w:color w:val="000000"/>
                <w:sz w:val="20"/>
                <w:szCs w:val="20"/>
                <w:lang w:val="en-US"/>
              </w:rPr>
              <w:t>Age (years), mean ± SD</w:t>
            </w:r>
          </w:p>
        </w:tc>
        <w:tc>
          <w:tcPr>
            <w:tcW w:w="1937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1"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  <w:t>18.83±3.35</w:t>
            </w:r>
          </w:p>
        </w:tc>
        <w:tc>
          <w:tcPr>
            <w:tcW w:w="2117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Normal1"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  <w:t>16.76±2.40</w:t>
            </w:r>
          </w:p>
        </w:tc>
        <w:tc>
          <w:tcPr>
            <w:tcW w:w="1994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Normal1"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  <w:t>2.014</w:t>
            </w:r>
          </w:p>
        </w:tc>
        <w:tc>
          <w:tcPr>
            <w:tcW w:w="672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Normal1"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  <w:t>0.063</w:t>
            </w:r>
          </w:p>
        </w:tc>
        <w:tc>
          <w:tcPr>
            <w:tcW w:w="1880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Normal1"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bCs/>
                <w:sz w:val="20"/>
                <w:szCs w:val="20"/>
                <w:lang w:val="en-US"/>
              </w:rPr>
              <w:t>0.791</w:t>
            </w:r>
          </w:p>
        </w:tc>
        <w:tc>
          <w:tcPr>
            <w:tcW w:w="1326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Normal1"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  <w:t>-0.13. 4.29</w:t>
            </w:r>
          </w:p>
        </w:tc>
      </w:tr>
      <w:tr>
        <w:trPr>
          <w:trHeight w:val="14" w:hRule="atLeast"/>
          <w:cantSplit w:val="true"/>
        </w:trPr>
        <w:tc>
          <w:tcPr>
            <w:tcW w:w="4491" w:type="dxa"/>
            <w:tcBorders>
              <w:top w:val="single" w:sz="4" w:space="0" w:color="000000"/>
              <w:bottom w:val="single" w:sz="6" w:space="0" w:color="000000"/>
            </w:tcBorders>
            <w:vAlign w:val="center"/>
          </w:tcPr>
          <w:p>
            <w:pPr>
              <w:pStyle w:val="Normal1"/>
              <w:widowControl w:val="false"/>
              <w:pBdr/>
              <w:spacing w:lineRule="auto" w:line="240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color w:val="000000"/>
                <w:sz w:val="20"/>
                <w:szCs w:val="20"/>
                <w:lang w:val="en-US"/>
              </w:rPr>
              <w:t>Sex, N (%): female</w:t>
            </w:r>
          </w:p>
        </w:tc>
        <w:tc>
          <w:tcPr>
            <w:tcW w:w="1937" w:type="dxa"/>
            <w:tcBorders>
              <w:top w:val="single" w:sz="4" w:space="0" w:color="000000"/>
            </w:tcBorders>
            <w:vAlign w:val="center"/>
          </w:tcPr>
          <w:p>
            <w:pPr>
              <w:pStyle w:val="Normal1"/>
              <w:pBdr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  <w:t>12 (100)</w:t>
            </w:r>
          </w:p>
        </w:tc>
        <w:tc>
          <w:tcPr>
            <w:tcW w:w="2117" w:type="dxa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1"/>
              <w:pBdr/>
              <w:tabs>
                <w:tab w:val="clear" w:pos="708"/>
                <w:tab w:val="left" w:pos="622" w:leader="none"/>
                <w:tab w:val="center" w:pos="935" w:leader="none"/>
              </w:tabs>
              <w:spacing w:lineRule="auto" w:line="240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  <w:tab/>
              <w:t>395 (86.7)</w:t>
            </w:r>
          </w:p>
        </w:tc>
        <w:tc>
          <w:tcPr>
            <w:tcW w:w="1994" w:type="dxa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1"/>
              <w:pBdr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  <w:t>1.788</w:t>
            </w:r>
          </w:p>
        </w:tc>
        <w:tc>
          <w:tcPr>
            <w:tcW w:w="672" w:type="dxa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1"/>
              <w:pBdr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  <w:t>0.409</w:t>
            </w:r>
          </w:p>
        </w:tc>
        <w:tc>
          <w:tcPr>
            <w:tcW w:w="1880" w:type="dxa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1"/>
              <w:pBdr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  <w:t>0.177</w:t>
            </w:r>
          </w:p>
        </w:tc>
        <w:tc>
          <w:tcPr>
            <w:tcW w:w="1326" w:type="dxa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1"/>
              <w:pBdr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</w:r>
          </w:p>
        </w:tc>
      </w:tr>
      <w:tr>
        <w:trPr>
          <w:trHeight w:val="14" w:hRule="atLeast"/>
          <w:cantSplit w:val="true"/>
        </w:trPr>
        <w:tc>
          <w:tcPr>
            <w:tcW w:w="4491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1"/>
              <w:widowControl w:val="false"/>
              <w:pBdr/>
              <w:spacing w:lineRule="auto" w:line="240"/>
              <w:rPr>
                <w:rFonts w:ascii="Calibri" w:hAnsi="Calibri" w:eastAsia="Calibri" w:cs="Calibri"/>
                <w:color w:val="000000"/>
                <w:sz w:val="20"/>
                <w:szCs w:val="20"/>
              </w:rPr>
            </w:pPr>
            <w:r>
              <w:rPr>
                <w:rFonts w:eastAsia="Calibri" w:cs="Calibri" w:ascii="Calibri" w:hAnsi="Calibri"/>
                <w:color w:val="000000"/>
                <w:sz w:val="20"/>
                <w:szCs w:val="20"/>
                <w:lang w:val="en-US"/>
              </w:rPr>
              <w:t>Single: yes (%)</w:t>
            </w:r>
          </w:p>
        </w:tc>
        <w:tc>
          <w:tcPr>
            <w:tcW w:w="1937" w:type="dxa"/>
            <w:tcBorders>
              <w:top w:val="single" w:sz="6" w:space="0" w:color="000000"/>
            </w:tcBorders>
            <w:vAlign w:val="center"/>
          </w:tcPr>
          <w:p>
            <w:pPr>
              <w:pStyle w:val="Normal1"/>
              <w:pBdr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  <w:t>12 (100)</w:t>
            </w:r>
          </w:p>
        </w:tc>
        <w:tc>
          <w:tcPr>
            <w:tcW w:w="2117" w:type="dxa"/>
            <w:tcBorders>
              <w:top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1"/>
              <w:pBdr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  <w:t>45 (100)</w:t>
            </w:r>
          </w:p>
        </w:tc>
        <w:tc>
          <w:tcPr>
            <w:tcW w:w="1994" w:type="dxa"/>
            <w:tcBorders>
              <w:top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1"/>
              <w:pBdr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  <w:t>-</w:t>
            </w:r>
          </w:p>
        </w:tc>
        <w:tc>
          <w:tcPr>
            <w:tcW w:w="672" w:type="dxa"/>
            <w:tcBorders>
              <w:top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1"/>
              <w:pBdr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  <w:t>-</w:t>
            </w:r>
          </w:p>
        </w:tc>
        <w:tc>
          <w:tcPr>
            <w:tcW w:w="1880" w:type="dxa"/>
            <w:tcBorders>
              <w:top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1"/>
              <w:pBdr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  <w:t>-</w:t>
            </w:r>
          </w:p>
        </w:tc>
        <w:tc>
          <w:tcPr>
            <w:tcW w:w="1326" w:type="dxa"/>
            <w:tcBorders>
              <w:top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1"/>
              <w:pBdr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  <w:t>-</w:t>
            </w:r>
          </w:p>
        </w:tc>
      </w:tr>
      <w:tr>
        <w:trPr>
          <w:trHeight w:val="14" w:hRule="atLeast"/>
          <w:cantSplit w:val="true"/>
        </w:trPr>
        <w:tc>
          <w:tcPr>
            <w:tcW w:w="4491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1"/>
              <w:widowControl w:val="false"/>
              <w:pBdr/>
              <w:spacing w:lineRule="auto" w:line="24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eastAsia="Calibri" w:cs="Calibri" w:ascii="Calibri" w:hAnsi="Calibri"/>
                <w:color w:val="000000"/>
                <w:sz w:val="20"/>
                <w:szCs w:val="20"/>
                <w:lang w:val="en-US"/>
              </w:rPr>
              <w:t>Educational level</w:t>
            </w:r>
          </w:p>
        </w:tc>
        <w:tc>
          <w:tcPr>
            <w:tcW w:w="1937" w:type="dxa"/>
            <w:tcBorders>
              <w:top w:val="single" w:sz="6" w:space="0" w:color="000000"/>
            </w:tcBorders>
            <w:vAlign w:val="bottom"/>
          </w:tcPr>
          <w:p>
            <w:pPr>
              <w:pStyle w:val="Normal1"/>
              <w:pBdr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</w:r>
          </w:p>
        </w:tc>
        <w:tc>
          <w:tcPr>
            <w:tcW w:w="2117" w:type="dxa"/>
            <w:tcBorders>
              <w:top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1"/>
              <w:pBdr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</w:r>
          </w:p>
        </w:tc>
        <w:tc>
          <w:tcPr>
            <w:tcW w:w="1994" w:type="dxa"/>
            <w:tcBorders>
              <w:top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1"/>
              <w:pBdr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  <w:t>2.298</w:t>
            </w:r>
          </w:p>
        </w:tc>
        <w:tc>
          <w:tcPr>
            <w:tcW w:w="672" w:type="dxa"/>
            <w:tcBorders>
              <w:top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1"/>
              <w:pBdr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  <w:t>0.806</w:t>
            </w:r>
          </w:p>
        </w:tc>
        <w:tc>
          <w:tcPr>
            <w:tcW w:w="1880" w:type="dxa"/>
            <w:tcBorders>
              <w:top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1"/>
              <w:pBdr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  <w:t>0.201</w:t>
            </w:r>
          </w:p>
        </w:tc>
        <w:tc>
          <w:tcPr>
            <w:tcW w:w="1326" w:type="dxa"/>
            <w:tcBorders>
              <w:top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1"/>
              <w:pBdr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4491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Normal1"/>
              <w:widowControl w:val="false"/>
              <w:pBdr/>
              <w:spacing w:lineRule="auto" w:line="240"/>
              <w:ind w:firstLine="32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cs="Calibri" w:ascii="Calibri" w:hAnsi="Calibri"/>
                <w:color w:val="000000"/>
                <w:sz w:val="20"/>
                <w:szCs w:val="20"/>
                <w:lang w:val="en-US"/>
              </w:rPr>
              <w:t>Incomplete Primary Education</w:t>
            </w:r>
          </w:p>
        </w:tc>
        <w:tc>
          <w:tcPr>
            <w:tcW w:w="1937" w:type="dxa"/>
            <w:tcBorders>
              <w:top w:val="single" w:sz="6" w:space="0" w:color="000000"/>
            </w:tcBorders>
            <w:vAlign w:val="center"/>
          </w:tcPr>
          <w:p>
            <w:pPr>
              <w:pStyle w:val="Normal1"/>
              <w:pBdr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  <w:t>0 (0)</w:t>
            </w:r>
          </w:p>
        </w:tc>
        <w:tc>
          <w:tcPr>
            <w:tcW w:w="2117" w:type="dxa"/>
            <w:tcBorders>
              <w:top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1"/>
              <w:pBdr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  <w:t>1 (2.1)</w:t>
            </w:r>
          </w:p>
        </w:tc>
        <w:tc>
          <w:tcPr>
            <w:tcW w:w="1994" w:type="dxa"/>
            <w:tcBorders>
              <w:top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1"/>
              <w:pBdr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</w:r>
          </w:p>
        </w:tc>
        <w:tc>
          <w:tcPr>
            <w:tcW w:w="672" w:type="dxa"/>
            <w:tcBorders>
              <w:top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1"/>
              <w:pBdr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</w:r>
          </w:p>
        </w:tc>
        <w:tc>
          <w:tcPr>
            <w:tcW w:w="1880" w:type="dxa"/>
            <w:tcBorders>
              <w:top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1"/>
              <w:pBdr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</w:r>
          </w:p>
        </w:tc>
        <w:tc>
          <w:tcPr>
            <w:tcW w:w="1326" w:type="dxa"/>
            <w:tcBorders>
              <w:top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1"/>
              <w:pBdr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</w:r>
          </w:p>
        </w:tc>
      </w:tr>
      <w:tr>
        <w:trPr>
          <w:trHeight w:val="14" w:hRule="atLeast"/>
          <w:cantSplit w:val="true"/>
        </w:trPr>
        <w:tc>
          <w:tcPr>
            <w:tcW w:w="4491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Normal1"/>
              <w:widowControl w:val="false"/>
              <w:pBdr/>
              <w:spacing w:lineRule="auto" w:line="240"/>
              <w:ind w:firstLine="32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cs="Calibri" w:ascii="Calibri" w:hAnsi="Calibri"/>
                <w:color w:val="000000"/>
                <w:sz w:val="20"/>
                <w:szCs w:val="20"/>
                <w:lang w:val="en-US"/>
              </w:rPr>
              <w:t>Complete Primary Education</w:t>
            </w:r>
          </w:p>
        </w:tc>
        <w:tc>
          <w:tcPr>
            <w:tcW w:w="1937" w:type="dxa"/>
            <w:tcBorders>
              <w:top w:val="single" w:sz="6" w:space="0" w:color="000000"/>
            </w:tcBorders>
            <w:vAlign w:val="center"/>
          </w:tcPr>
          <w:p>
            <w:pPr>
              <w:pStyle w:val="Normal1"/>
              <w:pBdr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  <w:t>2 (22)</w:t>
            </w:r>
          </w:p>
        </w:tc>
        <w:tc>
          <w:tcPr>
            <w:tcW w:w="2117" w:type="dxa"/>
            <w:tcBorders>
              <w:top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1"/>
              <w:pBdr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  <w:t>8 (17.8)</w:t>
            </w:r>
          </w:p>
        </w:tc>
        <w:tc>
          <w:tcPr>
            <w:tcW w:w="1994" w:type="dxa"/>
            <w:tcBorders>
              <w:top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1"/>
              <w:pBdr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</w:r>
          </w:p>
        </w:tc>
        <w:tc>
          <w:tcPr>
            <w:tcW w:w="672" w:type="dxa"/>
            <w:tcBorders>
              <w:top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1"/>
              <w:pBdr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</w:r>
          </w:p>
        </w:tc>
        <w:tc>
          <w:tcPr>
            <w:tcW w:w="1880" w:type="dxa"/>
            <w:tcBorders>
              <w:top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1"/>
              <w:pBdr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</w:r>
          </w:p>
        </w:tc>
        <w:tc>
          <w:tcPr>
            <w:tcW w:w="1326" w:type="dxa"/>
            <w:tcBorders>
              <w:top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1"/>
              <w:pBdr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</w:r>
          </w:p>
        </w:tc>
      </w:tr>
      <w:tr>
        <w:trPr>
          <w:trHeight w:val="14" w:hRule="atLeast"/>
          <w:cantSplit w:val="true"/>
        </w:trPr>
        <w:tc>
          <w:tcPr>
            <w:tcW w:w="4491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Normal1"/>
              <w:widowControl w:val="false"/>
              <w:pBdr/>
              <w:spacing w:lineRule="auto" w:line="240"/>
              <w:ind w:firstLine="32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cs="Calibri" w:ascii="Calibri" w:hAnsi="Calibri"/>
                <w:color w:val="000000"/>
                <w:sz w:val="20"/>
                <w:szCs w:val="20"/>
                <w:lang w:val="en-US"/>
              </w:rPr>
              <w:t>Secondary Education/High School</w:t>
            </w:r>
          </w:p>
        </w:tc>
        <w:tc>
          <w:tcPr>
            <w:tcW w:w="1937" w:type="dxa"/>
            <w:tcBorders>
              <w:top w:val="single" w:sz="6" w:space="0" w:color="000000"/>
            </w:tcBorders>
            <w:vAlign w:val="center"/>
          </w:tcPr>
          <w:p>
            <w:pPr>
              <w:pStyle w:val="Normal1"/>
              <w:pBdr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  <w:t>7 (58.3)</w:t>
            </w:r>
          </w:p>
        </w:tc>
        <w:tc>
          <w:tcPr>
            <w:tcW w:w="2117" w:type="dxa"/>
            <w:tcBorders>
              <w:top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1"/>
              <w:pBdr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  <w:t>30 (66.7)</w:t>
            </w:r>
          </w:p>
        </w:tc>
        <w:tc>
          <w:tcPr>
            <w:tcW w:w="1994" w:type="dxa"/>
            <w:tcBorders>
              <w:top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1"/>
              <w:pBdr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</w:r>
          </w:p>
        </w:tc>
        <w:tc>
          <w:tcPr>
            <w:tcW w:w="672" w:type="dxa"/>
            <w:tcBorders>
              <w:top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1"/>
              <w:pBdr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</w:r>
          </w:p>
        </w:tc>
        <w:tc>
          <w:tcPr>
            <w:tcW w:w="1880" w:type="dxa"/>
            <w:tcBorders>
              <w:top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1"/>
              <w:pBdr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</w:r>
          </w:p>
        </w:tc>
        <w:tc>
          <w:tcPr>
            <w:tcW w:w="1326" w:type="dxa"/>
            <w:tcBorders>
              <w:top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1"/>
              <w:pBdr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</w:r>
          </w:p>
        </w:tc>
      </w:tr>
      <w:tr>
        <w:trPr>
          <w:trHeight w:val="14" w:hRule="atLeast"/>
          <w:cantSplit w:val="true"/>
        </w:trPr>
        <w:tc>
          <w:tcPr>
            <w:tcW w:w="4491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Normal1"/>
              <w:widowControl w:val="false"/>
              <w:pBdr/>
              <w:spacing w:lineRule="auto" w:line="240"/>
              <w:ind w:firstLine="322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color w:val="000000"/>
                <w:sz w:val="20"/>
                <w:szCs w:val="20"/>
                <w:lang w:val="en-US"/>
              </w:rPr>
              <w:t>Vocational and Educational Training</w:t>
            </w:r>
            <w:r>
              <w:rPr>
                <w:rFonts w:cs="Calibri" w:ascii="Calibri" w:hAnsi="Calibri"/>
                <w:color w:val="3C3C3C"/>
                <w:sz w:val="20"/>
                <w:szCs w:val="20"/>
                <w:shd w:fill="FFFFFF" w:val="clear"/>
                <w:lang w:val="en-US"/>
              </w:rPr>
              <w:t> </w:t>
            </w:r>
          </w:p>
        </w:tc>
        <w:tc>
          <w:tcPr>
            <w:tcW w:w="1937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1"/>
              <w:pBdr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  <w:t>1 (8.3)</w:t>
            </w:r>
          </w:p>
        </w:tc>
        <w:tc>
          <w:tcPr>
            <w:tcW w:w="211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1"/>
              <w:pBdr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  <w:t>3 (6.7)</w:t>
            </w:r>
          </w:p>
        </w:tc>
        <w:tc>
          <w:tcPr>
            <w:tcW w:w="1994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1"/>
              <w:pBdr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</w:r>
          </w:p>
        </w:tc>
        <w:tc>
          <w:tcPr>
            <w:tcW w:w="672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1"/>
              <w:pBdr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</w:r>
          </w:p>
        </w:tc>
        <w:tc>
          <w:tcPr>
            <w:tcW w:w="188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1"/>
              <w:pBdr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</w:r>
          </w:p>
        </w:tc>
        <w:tc>
          <w:tcPr>
            <w:tcW w:w="1326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1"/>
              <w:pBdr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</w:r>
          </w:p>
        </w:tc>
      </w:tr>
      <w:tr>
        <w:trPr>
          <w:trHeight w:val="14" w:hRule="atLeast"/>
          <w:cantSplit w:val="true"/>
        </w:trPr>
        <w:tc>
          <w:tcPr>
            <w:tcW w:w="4491" w:type="dxa"/>
            <w:tcBorders>
              <w:top w:val="single" w:sz="6" w:space="0" w:color="000000"/>
              <w:bottom w:val="single" w:sz="4" w:space="0" w:color="000000"/>
            </w:tcBorders>
          </w:tcPr>
          <w:p>
            <w:pPr>
              <w:pStyle w:val="Normal1"/>
              <w:widowControl w:val="false"/>
              <w:pBdr/>
              <w:spacing w:lineRule="auto" w:line="240"/>
              <w:ind w:firstLine="32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cs="Calibri" w:ascii="Calibri" w:hAnsi="Calibri"/>
                <w:color w:val="000000"/>
                <w:sz w:val="20"/>
                <w:szCs w:val="20"/>
                <w:lang w:val="en-US"/>
              </w:rPr>
              <w:t>University</w:t>
            </w:r>
          </w:p>
        </w:tc>
        <w:tc>
          <w:tcPr>
            <w:tcW w:w="1937" w:type="dxa"/>
            <w:tcBorders>
              <w:top w:val="single" w:sz="6" w:space="0" w:color="000000"/>
              <w:bottom w:val="single" w:sz="4" w:space="0" w:color="000000"/>
            </w:tcBorders>
            <w:vAlign w:val="center"/>
          </w:tcPr>
          <w:p>
            <w:pPr>
              <w:pStyle w:val="Normal1"/>
              <w:pBdr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  <w:t>0 (0)</w:t>
            </w:r>
          </w:p>
        </w:tc>
        <w:tc>
          <w:tcPr>
            <w:tcW w:w="2117" w:type="dxa"/>
            <w:tcBorders>
              <w:top w:val="single" w:sz="6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1"/>
              <w:pBdr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  <w:t>3 (6.7)</w:t>
            </w:r>
          </w:p>
        </w:tc>
        <w:tc>
          <w:tcPr>
            <w:tcW w:w="1994" w:type="dxa"/>
            <w:tcBorders>
              <w:top w:val="single" w:sz="6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1"/>
              <w:pBdr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</w:r>
          </w:p>
        </w:tc>
        <w:tc>
          <w:tcPr>
            <w:tcW w:w="672" w:type="dxa"/>
            <w:tcBorders>
              <w:top w:val="single" w:sz="6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1"/>
              <w:pBdr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</w:r>
          </w:p>
        </w:tc>
        <w:tc>
          <w:tcPr>
            <w:tcW w:w="1880" w:type="dxa"/>
            <w:tcBorders>
              <w:top w:val="single" w:sz="6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1"/>
              <w:pBdr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</w:r>
          </w:p>
        </w:tc>
        <w:tc>
          <w:tcPr>
            <w:tcW w:w="1326" w:type="dxa"/>
            <w:tcBorders>
              <w:top w:val="single" w:sz="6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1"/>
              <w:pBdr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</w:r>
          </w:p>
        </w:tc>
      </w:tr>
      <w:tr>
        <w:trPr>
          <w:trHeight w:val="14" w:hRule="atLeast"/>
          <w:cantSplit w:val="true"/>
        </w:trPr>
        <w:tc>
          <w:tcPr>
            <w:tcW w:w="4491" w:type="dxa"/>
            <w:tcBorders>
              <w:top w:val="single" w:sz="6" w:space="0" w:color="000000"/>
              <w:bottom w:val="single" w:sz="4" w:space="0" w:color="000000"/>
            </w:tcBorders>
          </w:tcPr>
          <w:p>
            <w:pPr>
              <w:pStyle w:val="Normal1"/>
              <w:widowControl w:val="false"/>
              <w:pBdr/>
              <w:spacing w:lineRule="auto" w:line="24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cs="Calibri" w:ascii="Calibri" w:hAnsi="Calibri"/>
                <w:color w:val="000000"/>
                <w:sz w:val="20"/>
                <w:szCs w:val="20"/>
                <w:lang w:val="en-US"/>
              </w:rPr>
              <w:t>Employment status: Student</w:t>
            </w:r>
          </w:p>
        </w:tc>
        <w:tc>
          <w:tcPr>
            <w:tcW w:w="1937" w:type="dxa"/>
            <w:tcBorders>
              <w:top w:val="single" w:sz="6" w:space="0" w:color="000000"/>
              <w:bottom w:val="single" w:sz="4" w:space="0" w:color="000000"/>
            </w:tcBorders>
            <w:vAlign w:val="center"/>
          </w:tcPr>
          <w:p>
            <w:pPr>
              <w:pStyle w:val="Normal1"/>
              <w:pBdr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  <w:t>6 (50)</w:t>
            </w:r>
          </w:p>
        </w:tc>
        <w:tc>
          <w:tcPr>
            <w:tcW w:w="2117" w:type="dxa"/>
            <w:tcBorders>
              <w:top w:val="single" w:sz="6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Normal1"/>
              <w:pBdr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  <w:t>36 (80)</w:t>
            </w:r>
          </w:p>
        </w:tc>
        <w:tc>
          <w:tcPr>
            <w:tcW w:w="1994" w:type="dxa"/>
            <w:tcBorders>
              <w:top w:val="single" w:sz="6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1"/>
              <w:pBdr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  <w:t>6.804</w:t>
            </w:r>
          </w:p>
        </w:tc>
        <w:tc>
          <w:tcPr>
            <w:tcW w:w="672" w:type="dxa"/>
            <w:tcBorders>
              <w:top w:val="single" w:sz="6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1"/>
              <w:pBdr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  <w:t>0.236</w:t>
            </w:r>
          </w:p>
        </w:tc>
        <w:tc>
          <w:tcPr>
            <w:tcW w:w="1880" w:type="dxa"/>
            <w:tcBorders>
              <w:top w:val="single" w:sz="6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1"/>
              <w:pBdr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  <w:t>0.345</w:t>
            </w:r>
          </w:p>
        </w:tc>
        <w:tc>
          <w:tcPr>
            <w:tcW w:w="1326" w:type="dxa"/>
            <w:tcBorders>
              <w:top w:val="single" w:sz="6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1"/>
              <w:pBdr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</w:r>
          </w:p>
        </w:tc>
      </w:tr>
      <w:tr>
        <w:trPr>
          <w:trHeight w:val="14" w:hRule="atLeast"/>
          <w:cantSplit w:val="true"/>
        </w:trPr>
        <w:tc>
          <w:tcPr>
            <w:tcW w:w="4491" w:type="dxa"/>
            <w:tcBorders>
              <w:top w:val="single" w:sz="4" w:space="0" w:color="000000"/>
              <w:bottom w:val="single" w:sz="6" w:space="0" w:color="000000"/>
            </w:tcBorders>
            <w:vAlign w:val="center"/>
          </w:tcPr>
          <w:p>
            <w:pPr>
              <w:pStyle w:val="Normal1"/>
              <w:widowControl w:val="false"/>
              <w:spacing w:lineRule="auto" w:line="240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b/>
                <w:bCs/>
                <w:color w:val="000000"/>
                <w:sz w:val="20"/>
                <w:szCs w:val="20"/>
                <w:lang w:val="en-US"/>
              </w:rPr>
              <w:t xml:space="preserve">Psychiatric comorbidity </w:t>
            </w:r>
          </w:p>
        </w:tc>
        <w:tc>
          <w:tcPr>
            <w:tcW w:w="1937" w:type="dxa"/>
            <w:tcBorders>
              <w:top w:val="single" w:sz="4" w:space="0" w:color="000000"/>
              <w:bottom w:val="single" w:sz="6" w:space="0" w:color="000000"/>
            </w:tcBorders>
            <w:vAlign w:val="bottom"/>
          </w:tcPr>
          <w:p>
            <w:pPr>
              <w:pStyle w:val="Normal1"/>
              <w:pBdr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</w:r>
          </w:p>
        </w:tc>
        <w:tc>
          <w:tcPr>
            <w:tcW w:w="2117" w:type="dxa"/>
            <w:tcBorders>
              <w:top w:val="single" w:sz="4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Normal1"/>
              <w:pBdr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</w:r>
          </w:p>
        </w:tc>
        <w:tc>
          <w:tcPr>
            <w:tcW w:w="1994" w:type="dxa"/>
            <w:tcBorders>
              <w:top w:val="single" w:sz="4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Normal1"/>
              <w:pBdr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</w:r>
          </w:p>
        </w:tc>
        <w:tc>
          <w:tcPr>
            <w:tcW w:w="672" w:type="dxa"/>
            <w:tcBorders>
              <w:top w:val="single" w:sz="4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Normal1"/>
              <w:pBdr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</w:r>
          </w:p>
        </w:tc>
        <w:tc>
          <w:tcPr>
            <w:tcW w:w="1880" w:type="dxa"/>
            <w:tcBorders>
              <w:top w:val="single" w:sz="4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Normal1"/>
              <w:pBdr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</w:r>
          </w:p>
        </w:tc>
        <w:tc>
          <w:tcPr>
            <w:tcW w:w="1326" w:type="dxa"/>
            <w:tcBorders>
              <w:top w:val="single" w:sz="4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Normal1"/>
              <w:pBdr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</w:r>
          </w:p>
        </w:tc>
      </w:tr>
      <w:tr>
        <w:trPr>
          <w:trHeight w:val="14" w:hRule="atLeast"/>
          <w:cantSplit w:val="true"/>
        </w:trPr>
        <w:tc>
          <w:tcPr>
            <w:tcW w:w="4491" w:type="dxa"/>
            <w:tcBorders>
              <w:top w:val="single" w:sz="4" w:space="0" w:color="000000"/>
              <w:bottom w:val="single" w:sz="6" w:space="0" w:color="000000"/>
            </w:tcBorders>
            <w:vAlign w:val="center"/>
          </w:tcPr>
          <w:p>
            <w:pPr>
              <w:pStyle w:val="Normal1"/>
              <w:widowControl w:val="false"/>
              <w:spacing w:lineRule="auto" w:line="240"/>
              <w:rPr>
                <w:highlight w:val="none"/>
                <w:shd w:fill="FFFFFF" w:val="clear"/>
              </w:rPr>
            </w:pPr>
            <w:r>
              <w:rPr>
                <w:rFonts w:cs="Calibri" w:ascii="Calibri" w:hAnsi="Calibri"/>
                <w:color w:val="000000"/>
                <w:sz w:val="20"/>
                <w:szCs w:val="20"/>
                <w:shd w:fill="FFFFFF" w:val="clear"/>
                <w:lang w:val="en-US"/>
              </w:rPr>
              <w:t>ADHD</w:t>
            </w:r>
          </w:p>
        </w:tc>
        <w:tc>
          <w:tcPr>
            <w:tcW w:w="1937" w:type="dxa"/>
            <w:tcBorders>
              <w:top w:val="single" w:sz="4" w:space="0" w:color="000000"/>
              <w:bottom w:val="single" w:sz="6" w:space="0" w:color="000000"/>
            </w:tcBorders>
            <w:vAlign w:val="bottom"/>
          </w:tcPr>
          <w:p>
            <w:pPr>
              <w:pStyle w:val="Normal1"/>
              <w:pBdr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  <w:t>7 (58.3)</w:t>
            </w:r>
          </w:p>
        </w:tc>
        <w:tc>
          <w:tcPr>
            <w:tcW w:w="2117" w:type="dxa"/>
            <w:tcBorders>
              <w:top w:val="single" w:sz="4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Normal1"/>
              <w:pBdr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  <w:t>20 (44.4)</w:t>
            </w:r>
          </w:p>
        </w:tc>
        <w:tc>
          <w:tcPr>
            <w:tcW w:w="1994" w:type="dxa"/>
            <w:tcBorders>
              <w:top w:val="single" w:sz="4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Normal1"/>
              <w:pBdr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  <w:t>3.103</w:t>
            </w:r>
          </w:p>
        </w:tc>
        <w:tc>
          <w:tcPr>
            <w:tcW w:w="672" w:type="dxa"/>
            <w:tcBorders>
              <w:top w:val="single" w:sz="4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Normal1"/>
              <w:pBdr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  <w:t>0.212</w:t>
            </w:r>
          </w:p>
        </w:tc>
        <w:tc>
          <w:tcPr>
            <w:tcW w:w="1880" w:type="dxa"/>
            <w:tcBorders>
              <w:top w:val="single" w:sz="4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Normal1"/>
              <w:pBdr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  <w:t>0.233</w:t>
            </w:r>
          </w:p>
        </w:tc>
        <w:tc>
          <w:tcPr>
            <w:tcW w:w="1326" w:type="dxa"/>
            <w:tcBorders>
              <w:top w:val="single" w:sz="4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Normal1"/>
              <w:pBdr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</w:r>
          </w:p>
        </w:tc>
      </w:tr>
      <w:tr>
        <w:trPr>
          <w:trHeight w:val="14" w:hRule="atLeast"/>
          <w:cantSplit w:val="true"/>
        </w:trPr>
        <w:tc>
          <w:tcPr>
            <w:tcW w:w="4491" w:type="dxa"/>
            <w:tcBorders>
              <w:top w:val="single" w:sz="4" w:space="0" w:color="000000"/>
              <w:bottom w:val="single" w:sz="6" w:space="0" w:color="000000"/>
            </w:tcBorders>
            <w:vAlign w:val="center"/>
          </w:tcPr>
          <w:p>
            <w:pPr>
              <w:pStyle w:val="Normal1"/>
              <w:widowControl w:val="false"/>
              <w:spacing w:lineRule="auto" w:line="240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  <w:t>Prior Psychological treatment: No</w:t>
            </w:r>
          </w:p>
        </w:tc>
        <w:tc>
          <w:tcPr>
            <w:tcW w:w="1937" w:type="dxa"/>
            <w:tcBorders>
              <w:top w:val="single" w:sz="4" w:space="0" w:color="000000"/>
              <w:bottom w:val="single" w:sz="6" w:space="0" w:color="000000"/>
            </w:tcBorders>
          </w:tcPr>
          <w:p>
            <w:pPr>
              <w:pStyle w:val="Normal1"/>
              <w:pBdr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  <w:t>4 (33.3)</w:t>
            </w:r>
          </w:p>
        </w:tc>
        <w:tc>
          <w:tcPr>
            <w:tcW w:w="2117" w:type="dxa"/>
            <w:tcBorders>
              <w:top w:val="single" w:sz="4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1"/>
              <w:pBdr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  <w:t>10 (22.2)</w:t>
            </w:r>
          </w:p>
        </w:tc>
        <w:tc>
          <w:tcPr>
            <w:tcW w:w="1994" w:type="dxa"/>
            <w:tcBorders>
              <w:top w:val="single" w:sz="4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Normal1"/>
              <w:pBdr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  <w:t>11.531</w:t>
            </w:r>
          </w:p>
        </w:tc>
        <w:tc>
          <w:tcPr>
            <w:tcW w:w="672" w:type="dxa"/>
            <w:tcBorders>
              <w:top w:val="single" w:sz="4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Normal1"/>
              <w:pBdr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  <w:t>0.073</w:t>
            </w:r>
          </w:p>
        </w:tc>
        <w:tc>
          <w:tcPr>
            <w:tcW w:w="1880" w:type="dxa"/>
            <w:tcBorders>
              <w:top w:val="single" w:sz="4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Normal1"/>
              <w:pBdr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  <w:t>0.450</w:t>
            </w:r>
          </w:p>
        </w:tc>
        <w:tc>
          <w:tcPr>
            <w:tcW w:w="1326" w:type="dxa"/>
            <w:tcBorders>
              <w:top w:val="single" w:sz="4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Normal1"/>
              <w:pBdr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</w:r>
          </w:p>
        </w:tc>
      </w:tr>
      <w:tr>
        <w:trPr>
          <w:trHeight w:val="14" w:hRule="atLeast"/>
          <w:cantSplit w:val="true"/>
        </w:trPr>
        <w:tc>
          <w:tcPr>
            <w:tcW w:w="4491" w:type="dxa"/>
            <w:tcBorders>
              <w:top w:val="single" w:sz="4" w:space="0" w:color="000000"/>
              <w:bottom w:val="single" w:sz="6" w:space="0" w:color="000000"/>
            </w:tcBorders>
          </w:tcPr>
          <w:p>
            <w:pPr>
              <w:pStyle w:val="Normal1"/>
              <w:widowControl w:val="false"/>
              <w:spacing w:lineRule="auto" w:line="240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color w:val="000000"/>
                <w:sz w:val="20"/>
                <w:szCs w:val="20"/>
                <w:lang w:val="en-US"/>
              </w:rPr>
              <w:t>Prior Pharmacological Treatment: No</w:t>
            </w:r>
          </w:p>
        </w:tc>
        <w:tc>
          <w:tcPr>
            <w:tcW w:w="1937" w:type="dxa"/>
            <w:tcBorders>
              <w:top w:val="single" w:sz="4" w:space="0" w:color="000000"/>
              <w:bottom w:val="single" w:sz="6" w:space="0" w:color="000000"/>
            </w:tcBorders>
          </w:tcPr>
          <w:p>
            <w:pPr>
              <w:pStyle w:val="Normal1"/>
              <w:pBdr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  <w:t>2 (16.7)</w:t>
            </w:r>
          </w:p>
        </w:tc>
        <w:tc>
          <w:tcPr>
            <w:tcW w:w="2117" w:type="dxa"/>
            <w:tcBorders>
              <w:top w:val="single" w:sz="4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1"/>
              <w:pBdr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  <w:t>11 (24.4)</w:t>
            </w:r>
          </w:p>
        </w:tc>
        <w:tc>
          <w:tcPr>
            <w:tcW w:w="1994" w:type="dxa"/>
            <w:tcBorders>
              <w:top w:val="single" w:sz="4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Normal1"/>
              <w:pBdr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  <w:t>1.279</w:t>
            </w:r>
          </w:p>
        </w:tc>
        <w:tc>
          <w:tcPr>
            <w:tcW w:w="672" w:type="dxa"/>
            <w:tcBorders>
              <w:top w:val="single" w:sz="4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Normal1"/>
              <w:pBdr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  <w:t>0.734</w:t>
            </w:r>
          </w:p>
        </w:tc>
        <w:tc>
          <w:tcPr>
            <w:tcW w:w="1880" w:type="dxa"/>
            <w:tcBorders>
              <w:top w:val="single" w:sz="4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Normal1"/>
              <w:pBdr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  <w:t>0.150</w:t>
            </w:r>
          </w:p>
        </w:tc>
        <w:tc>
          <w:tcPr>
            <w:tcW w:w="1326" w:type="dxa"/>
            <w:tcBorders>
              <w:top w:val="single" w:sz="4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Normal1"/>
              <w:pBdr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</w:r>
          </w:p>
        </w:tc>
      </w:tr>
      <w:tr>
        <w:trPr>
          <w:trHeight w:val="14" w:hRule="atLeast"/>
          <w:cantSplit w:val="true"/>
        </w:trPr>
        <w:tc>
          <w:tcPr>
            <w:tcW w:w="4491" w:type="dxa"/>
            <w:tcBorders>
              <w:top w:val="single" w:sz="4" w:space="0" w:color="000000"/>
              <w:bottom w:val="single" w:sz="6" w:space="0" w:color="000000"/>
            </w:tcBorders>
            <w:vAlign w:val="center"/>
          </w:tcPr>
          <w:p>
            <w:pPr>
              <w:pStyle w:val="Normal1"/>
              <w:widowControl w:val="false"/>
              <w:spacing w:lineRule="auto" w:line="240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b/>
                <w:bCs/>
                <w:color w:val="000000"/>
                <w:sz w:val="20"/>
                <w:szCs w:val="20"/>
                <w:lang w:val="en-US"/>
              </w:rPr>
              <w:t xml:space="preserve">NSSI and clinical severity </w:t>
            </w:r>
          </w:p>
        </w:tc>
        <w:tc>
          <w:tcPr>
            <w:tcW w:w="1937" w:type="dxa"/>
            <w:tcBorders>
              <w:top w:val="single" w:sz="4" w:space="0" w:color="000000"/>
              <w:bottom w:val="single" w:sz="6" w:space="0" w:color="000000"/>
            </w:tcBorders>
            <w:vAlign w:val="bottom"/>
          </w:tcPr>
          <w:p>
            <w:pPr>
              <w:pStyle w:val="Normal1"/>
              <w:pBdr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</w:r>
          </w:p>
        </w:tc>
        <w:tc>
          <w:tcPr>
            <w:tcW w:w="2117" w:type="dxa"/>
            <w:tcBorders>
              <w:top w:val="single" w:sz="4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Normal1"/>
              <w:pBdr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</w:r>
          </w:p>
        </w:tc>
        <w:tc>
          <w:tcPr>
            <w:tcW w:w="1994" w:type="dxa"/>
            <w:tcBorders>
              <w:top w:val="single" w:sz="4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Normal1"/>
              <w:pBdr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</w:r>
          </w:p>
        </w:tc>
        <w:tc>
          <w:tcPr>
            <w:tcW w:w="672" w:type="dxa"/>
            <w:tcBorders>
              <w:top w:val="single" w:sz="4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Normal1"/>
              <w:pBdr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</w:r>
          </w:p>
        </w:tc>
        <w:tc>
          <w:tcPr>
            <w:tcW w:w="1880" w:type="dxa"/>
            <w:tcBorders>
              <w:top w:val="single" w:sz="4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Normal1"/>
              <w:pBdr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</w:r>
          </w:p>
        </w:tc>
        <w:tc>
          <w:tcPr>
            <w:tcW w:w="1326" w:type="dxa"/>
            <w:tcBorders>
              <w:top w:val="single" w:sz="4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Normal1"/>
              <w:pBdr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</w:r>
          </w:p>
        </w:tc>
      </w:tr>
      <w:tr>
        <w:trPr>
          <w:trHeight w:val="14" w:hRule="atLeast"/>
          <w:cantSplit w:val="true"/>
        </w:trPr>
        <w:tc>
          <w:tcPr>
            <w:tcW w:w="4491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Normal1"/>
              <w:spacing w:lineRule="auto" w:line="240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color w:val="000000"/>
                <w:sz w:val="20"/>
                <w:szCs w:val="20"/>
                <w:lang w:val="en-US"/>
              </w:rPr>
              <w:t xml:space="preserve">Age of Onset of Symptomatology </w:t>
            </w:r>
          </w:p>
        </w:tc>
        <w:tc>
          <w:tcPr>
            <w:tcW w:w="1937" w:type="dxa"/>
            <w:tcBorders>
              <w:bottom w:val="single" w:sz="6" w:space="0" w:color="000000"/>
            </w:tcBorders>
            <w:vAlign w:val="bottom"/>
          </w:tcPr>
          <w:p>
            <w:pPr>
              <w:pStyle w:val="Normal1"/>
              <w:pBdr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  <w:t>13.67±1.61</w:t>
            </w:r>
          </w:p>
        </w:tc>
        <w:tc>
          <w:tcPr>
            <w:tcW w:w="2117" w:type="dxa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Normal1"/>
              <w:pBdr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  <w:t>12.96±1.80</w:t>
            </w:r>
          </w:p>
        </w:tc>
        <w:tc>
          <w:tcPr>
            <w:tcW w:w="1994" w:type="dxa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Normal1"/>
              <w:pBdr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  <w:t>1.243</w:t>
            </w:r>
          </w:p>
        </w:tc>
        <w:tc>
          <w:tcPr>
            <w:tcW w:w="672" w:type="dxa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Normal1"/>
              <w:pBdr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  <w:t>0.219</w:t>
            </w:r>
          </w:p>
        </w:tc>
        <w:tc>
          <w:tcPr>
            <w:tcW w:w="1880" w:type="dxa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Normal1"/>
              <w:pBdr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bCs/>
                <w:sz w:val="20"/>
                <w:szCs w:val="20"/>
                <w:lang w:val="en-US"/>
              </w:rPr>
              <w:t>0.403</w:t>
            </w:r>
          </w:p>
        </w:tc>
        <w:tc>
          <w:tcPr>
            <w:tcW w:w="1326" w:type="dxa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Normal1"/>
              <w:pBdr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  <w:t>-0.44. 1.86</w:t>
            </w:r>
          </w:p>
        </w:tc>
      </w:tr>
      <w:tr>
        <w:trPr>
          <w:trHeight w:val="14" w:hRule="atLeast"/>
          <w:cantSplit w:val="true"/>
        </w:trPr>
        <w:tc>
          <w:tcPr>
            <w:tcW w:w="4491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Normal1"/>
              <w:spacing w:lineRule="auto" w:line="240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color w:val="000000"/>
                <w:sz w:val="20"/>
                <w:szCs w:val="20"/>
                <w:lang w:val="en-US"/>
              </w:rPr>
              <w:t>Age at first contact with Mental Health</w:t>
            </w:r>
          </w:p>
        </w:tc>
        <w:tc>
          <w:tcPr>
            <w:tcW w:w="1937" w:type="dxa"/>
            <w:tcBorders>
              <w:bottom w:val="single" w:sz="6" w:space="0" w:color="000000"/>
            </w:tcBorders>
            <w:vAlign w:val="bottom"/>
          </w:tcPr>
          <w:p>
            <w:pPr>
              <w:pStyle w:val="Normal1"/>
              <w:pBdr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  <w:t>14.67±2.39</w:t>
            </w:r>
          </w:p>
        </w:tc>
        <w:tc>
          <w:tcPr>
            <w:tcW w:w="2117" w:type="dxa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Normal1"/>
              <w:pBdr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  <w:t>14.13±1.78</w:t>
            </w:r>
          </w:p>
        </w:tc>
        <w:tc>
          <w:tcPr>
            <w:tcW w:w="1994" w:type="dxa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Normal1"/>
              <w:pBdr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  <w:t>0.857</w:t>
            </w:r>
          </w:p>
        </w:tc>
        <w:tc>
          <w:tcPr>
            <w:tcW w:w="672" w:type="dxa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Normal1"/>
              <w:pBdr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  <w:t>0.395</w:t>
            </w:r>
          </w:p>
        </w:tc>
        <w:tc>
          <w:tcPr>
            <w:tcW w:w="1880" w:type="dxa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Normal1"/>
              <w:pBdr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bCs/>
                <w:sz w:val="20"/>
                <w:szCs w:val="20"/>
                <w:lang w:val="en-US"/>
              </w:rPr>
              <w:t>0.282</w:t>
            </w:r>
          </w:p>
        </w:tc>
        <w:tc>
          <w:tcPr>
            <w:tcW w:w="1326" w:type="dxa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Normal1"/>
              <w:pBdr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  <w:t>-0.71. 1.78</w:t>
            </w:r>
          </w:p>
        </w:tc>
      </w:tr>
      <w:tr>
        <w:trPr>
          <w:trHeight w:val="14" w:hRule="atLeast"/>
          <w:cantSplit w:val="true"/>
        </w:trPr>
        <w:tc>
          <w:tcPr>
            <w:tcW w:w="4491" w:type="dxa"/>
            <w:tcBorders>
              <w:top w:val="single" w:sz="4" w:space="0" w:color="000000"/>
              <w:bottom w:val="single" w:sz="6" w:space="0" w:color="000000"/>
            </w:tcBorders>
          </w:tcPr>
          <w:p>
            <w:pPr>
              <w:pStyle w:val="Normal1"/>
              <w:widowControl w:val="false"/>
              <w:spacing w:lineRule="auto" w:line="24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cs="Calibri" w:ascii="Calibri" w:hAnsi="Calibri"/>
                <w:color w:val="000000"/>
                <w:sz w:val="20"/>
                <w:szCs w:val="20"/>
                <w:lang w:val="en-US"/>
              </w:rPr>
              <w:t>NSSI Main Type: Cutting</w:t>
            </w:r>
          </w:p>
        </w:tc>
        <w:tc>
          <w:tcPr>
            <w:tcW w:w="1937" w:type="dxa"/>
            <w:tcBorders>
              <w:top w:val="single" w:sz="4" w:space="0" w:color="000000"/>
              <w:bottom w:val="single" w:sz="6" w:space="0" w:color="000000"/>
            </w:tcBorders>
          </w:tcPr>
          <w:p>
            <w:pPr>
              <w:pStyle w:val="Normal1"/>
              <w:pBdr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  <w:t>9 (75)</w:t>
            </w:r>
          </w:p>
        </w:tc>
        <w:tc>
          <w:tcPr>
            <w:tcW w:w="2117" w:type="dxa"/>
            <w:tcBorders>
              <w:top w:val="single" w:sz="4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1"/>
              <w:pBdr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  <w:t>34 (75.6)</w:t>
            </w:r>
          </w:p>
        </w:tc>
        <w:tc>
          <w:tcPr>
            <w:tcW w:w="1994" w:type="dxa"/>
            <w:tcBorders>
              <w:top w:val="single" w:sz="4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1"/>
              <w:pBdr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  <w:t>0.312</w:t>
            </w:r>
          </w:p>
        </w:tc>
        <w:tc>
          <w:tcPr>
            <w:tcW w:w="672" w:type="dxa"/>
            <w:tcBorders>
              <w:top w:val="single" w:sz="4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1"/>
              <w:pBdr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  <w:t>0.958</w:t>
            </w:r>
          </w:p>
        </w:tc>
        <w:tc>
          <w:tcPr>
            <w:tcW w:w="1880" w:type="dxa"/>
            <w:tcBorders>
              <w:top w:val="single" w:sz="4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1"/>
              <w:pBdr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  <w:t>0.074</w:t>
            </w:r>
          </w:p>
        </w:tc>
        <w:tc>
          <w:tcPr>
            <w:tcW w:w="1326" w:type="dxa"/>
            <w:tcBorders>
              <w:top w:val="single" w:sz="4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Normal1"/>
              <w:pBdr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</w:r>
          </w:p>
        </w:tc>
      </w:tr>
      <w:tr>
        <w:trPr>
          <w:trHeight w:val="14" w:hRule="atLeast"/>
          <w:cantSplit w:val="true"/>
        </w:trPr>
        <w:tc>
          <w:tcPr>
            <w:tcW w:w="4491" w:type="dxa"/>
            <w:tcBorders>
              <w:top w:val="single" w:sz="4" w:space="0" w:color="000000"/>
              <w:bottom w:val="single" w:sz="6" w:space="0" w:color="000000"/>
            </w:tcBorders>
          </w:tcPr>
          <w:p>
            <w:pPr>
              <w:pStyle w:val="Normal1"/>
              <w:widowControl w:val="false"/>
              <w:spacing w:lineRule="auto" w:line="240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color w:val="000000"/>
                <w:sz w:val="20"/>
                <w:szCs w:val="20"/>
                <w:lang w:val="en-US"/>
              </w:rPr>
              <w:t>Number self-injury attempts in the past</w:t>
            </w:r>
          </w:p>
        </w:tc>
        <w:tc>
          <w:tcPr>
            <w:tcW w:w="1937" w:type="dxa"/>
            <w:tcBorders>
              <w:top w:val="single" w:sz="4" w:space="0" w:color="000000"/>
              <w:bottom w:val="single" w:sz="6" w:space="0" w:color="000000"/>
            </w:tcBorders>
            <w:vAlign w:val="bottom"/>
          </w:tcPr>
          <w:p>
            <w:pPr>
              <w:pStyle w:val="Normal1"/>
              <w:pBdr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  <w:t>1.83±1.34</w:t>
            </w:r>
          </w:p>
        </w:tc>
        <w:tc>
          <w:tcPr>
            <w:tcW w:w="2117" w:type="dxa"/>
            <w:tcBorders>
              <w:top w:val="single" w:sz="4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Normal1"/>
              <w:pBdr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  <w:t>1.51±1.97</w:t>
            </w:r>
          </w:p>
        </w:tc>
        <w:tc>
          <w:tcPr>
            <w:tcW w:w="1994" w:type="dxa"/>
            <w:tcBorders>
              <w:top w:val="single" w:sz="4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Normal1"/>
              <w:pBdr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  <w:t>0.532</w:t>
            </w:r>
          </w:p>
        </w:tc>
        <w:tc>
          <w:tcPr>
            <w:tcW w:w="672" w:type="dxa"/>
            <w:tcBorders>
              <w:top w:val="single" w:sz="4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Normal1"/>
              <w:pBdr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  <w:t>0.597</w:t>
            </w:r>
          </w:p>
        </w:tc>
        <w:tc>
          <w:tcPr>
            <w:tcW w:w="1880" w:type="dxa"/>
            <w:tcBorders>
              <w:top w:val="single" w:sz="4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Normal1"/>
              <w:pBdr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  <w:t>0.172</w:t>
            </w:r>
          </w:p>
        </w:tc>
        <w:tc>
          <w:tcPr>
            <w:tcW w:w="1326" w:type="dxa"/>
            <w:tcBorders>
              <w:top w:val="single" w:sz="4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Normal1"/>
              <w:pBdr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  <w:t>-0.89. 1.53</w:t>
            </w:r>
          </w:p>
        </w:tc>
      </w:tr>
      <w:tr>
        <w:trPr>
          <w:trHeight w:val="14" w:hRule="atLeast"/>
          <w:cantSplit w:val="true"/>
        </w:trPr>
        <w:tc>
          <w:tcPr>
            <w:tcW w:w="4491" w:type="dxa"/>
            <w:tcBorders>
              <w:top w:val="single" w:sz="4" w:space="0" w:color="000000"/>
              <w:bottom w:val="single" w:sz="6" w:space="0" w:color="000000"/>
            </w:tcBorders>
            <w:vAlign w:val="center"/>
          </w:tcPr>
          <w:p>
            <w:pPr>
              <w:pStyle w:val="Normal1"/>
              <w:widowControl w:val="false"/>
              <w:spacing w:lineRule="auto" w:line="240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color w:val="000000"/>
                <w:sz w:val="20"/>
                <w:szCs w:val="20"/>
                <w:lang w:val="en-US"/>
              </w:rPr>
              <w:t>Number of previous psychiatric admissions</w:t>
            </w:r>
          </w:p>
        </w:tc>
        <w:tc>
          <w:tcPr>
            <w:tcW w:w="1937" w:type="dxa"/>
            <w:tcBorders>
              <w:top w:val="single" w:sz="4" w:space="0" w:color="000000"/>
              <w:bottom w:val="single" w:sz="6" w:space="0" w:color="000000"/>
            </w:tcBorders>
            <w:vAlign w:val="bottom"/>
          </w:tcPr>
          <w:p>
            <w:pPr>
              <w:pStyle w:val="Normal1"/>
              <w:pBdr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  <w:t>0.25±0.45</w:t>
            </w:r>
          </w:p>
        </w:tc>
        <w:tc>
          <w:tcPr>
            <w:tcW w:w="2117" w:type="dxa"/>
            <w:tcBorders>
              <w:top w:val="single" w:sz="4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Normal1"/>
              <w:pBdr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  <w:t>0.33±0.56</w:t>
            </w:r>
          </w:p>
        </w:tc>
        <w:tc>
          <w:tcPr>
            <w:tcW w:w="1994" w:type="dxa"/>
            <w:tcBorders>
              <w:top w:val="single" w:sz="4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Normal1"/>
              <w:pBdr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  <w:t>-0.472</w:t>
            </w:r>
          </w:p>
        </w:tc>
        <w:tc>
          <w:tcPr>
            <w:tcW w:w="672" w:type="dxa"/>
            <w:tcBorders>
              <w:top w:val="single" w:sz="4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Normal1"/>
              <w:pBdr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  <w:t>0.639</w:t>
            </w:r>
          </w:p>
        </w:tc>
        <w:tc>
          <w:tcPr>
            <w:tcW w:w="1880" w:type="dxa"/>
            <w:tcBorders>
              <w:top w:val="single" w:sz="4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Normal1"/>
              <w:pBdr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  <w:t>-0.148</w:t>
            </w:r>
          </w:p>
        </w:tc>
        <w:tc>
          <w:tcPr>
            <w:tcW w:w="1326" w:type="dxa"/>
            <w:tcBorders>
              <w:top w:val="single" w:sz="4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Normal1"/>
              <w:pBdr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  <w:t>-0.44. 0.27</w:t>
            </w:r>
          </w:p>
        </w:tc>
      </w:tr>
      <w:tr>
        <w:trPr>
          <w:trHeight w:val="14" w:hRule="atLeast"/>
          <w:cantSplit w:val="true"/>
        </w:trPr>
        <w:tc>
          <w:tcPr>
            <w:tcW w:w="4491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  <w:t>Psychometric Instruments Variables</w:t>
            </w:r>
          </w:p>
        </w:tc>
        <w:tc>
          <w:tcPr>
            <w:tcW w:w="1937" w:type="dxa"/>
            <w:tcBorders>
              <w:bottom w:val="single" w:sz="6" w:space="0" w:color="000000"/>
            </w:tcBorders>
            <w:vAlign w:val="center"/>
          </w:tcPr>
          <w:p>
            <w:pPr>
              <w:pStyle w:val="Normal1"/>
              <w:pBdr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</w:r>
          </w:p>
        </w:tc>
        <w:tc>
          <w:tcPr>
            <w:tcW w:w="2117" w:type="dxa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1"/>
              <w:pBdr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</w:r>
          </w:p>
        </w:tc>
        <w:tc>
          <w:tcPr>
            <w:tcW w:w="1994" w:type="dxa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1"/>
              <w:pBdr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</w:r>
          </w:p>
        </w:tc>
        <w:tc>
          <w:tcPr>
            <w:tcW w:w="672" w:type="dxa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1"/>
              <w:pBdr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</w:r>
          </w:p>
        </w:tc>
        <w:tc>
          <w:tcPr>
            <w:tcW w:w="1880" w:type="dxa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1"/>
              <w:pBdr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</w:r>
          </w:p>
        </w:tc>
        <w:tc>
          <w:tcPr>
            <w:tcW w:w="1326" w:type="dxa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1"/>
              <w:pBdr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</w:r>
          </w:p>
        </w:tc>
      </w:tr>
      <w:tr>
        <w:trPr>
          <w:trHeight w:val="199" w:hRule="atLeast"/>
          <w:cantSplit w:val="true"/>
        </w:trPr>
        <w:tc>
          <w:tcPr>
            <w:tcW w:w="4491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Normal1"/>
              <w:widowControl w:val="false"/>
              <w:spacing w:lineRule="auto" w:line="240"/>
              <w:rPr/>
            </w:pPr>
            <w:r>
              <w:rPr>
                <w:rFonts w:cs="Calibri" w:ascii="Calibri" w:hAnsi="Calibri"/>
                <w:color w:val="000000"/>
                <w:sz w:val="20"/>
                <w:szCs w:val="20"/>
                <w:lang w:val="en-US"/>
              </w:rPr>
              <w:t>DERS Total</w:t>
            </w:r>
            <w:r>
              <w:rPr/>
              <w:t xml:space="preserve"> </w:t>
            </w:r>
          </w:p>
        </w:tc>
        <w:tc>
          <w:tcPr>
            <w:tcW w:w="1937" w:type="dxa"/>
            <w:tcBorders>
              <w:top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1"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  <w:t>103.91±21.92</w:t>
            </w:r>
          </w:p>
        </w:tc>
        <w:tc>
          <w:tcPr>
            <w:tcW w:w="211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Normal1"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  <w:t>100.36±18.68</w:t>
            </w:r>
          </w:p>
        </w:tc>
        <w:tc>
          <w:tcPr>
            <w:tcW w:w="1994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Normal1"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  <w:t>0.544</w:t>
            </w:r>
          </w:p>
        </w:tc>
        <w:tc>
          <w:tcPr>
            <w:tcW w:w="672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Normal1"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  <w:t>0.589</w:t>
            </w:r>
          </w:p>
        </w:tc>
        <w:tc>
          <w:tcPr>
            <w:tcW w:w="188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Normal1"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  <w:t>0.183</w:t>
            </w:r>
          </w:p>
        </w:tc>
        <w:tc>
          <w:tcPr>
            <w:tcW w:w="1326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Normal1"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  <w:t>-9.52. 16.62</w:t>
            </w:r>
          </w:p>
        </w:tc>
      </w:tr>
      <w:tr>
        <w:trPr>
          <w:trHeight w:val="199" w:hRule="atLeast"/>
          <w:cantSplit w:val="true"/>
        </w:trPr>
        <w:tc>
          <w:tcPr>
            <w:tcW w:w="4491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Normal1"/>
              <w:widowControl w:val="false"/>
              <w:spacing w:lineRule="auto" w:line="240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color w:val="000000"/>
                <w:sz w:val="20"/>
                <w:szCs w:val="20"/>
                <w:lang w:val="en-US"/>
              </w:rPr>
              <w:t>PID-5-SF Total</w:t>
            </w:r>
          </w:p>
        </w:tc>
        <w:tc>
          <w:tcPr>
            <w:tcW w:w="1937" w:type="dxa"/>
            <w:tcBorders>
              <w:top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1"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  <w:t>74.64±14.79</w:t>
            </w:r>
          </w:p>
        </w:tc>
        <w:tc>
          <w:tcPr>
            <w:tcW w:w="211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Normal1"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  <w:t>71.76±11.96</w:t>
            </w:r>
          </w:p>
        </w:tc>
        <w:tc>
          <w:tcPr>
            <w:tcW w:w="1994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Normal1"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  <w:t>0.683</w:t>
            </w:r>
          </w:p>
        </w:tc>
        <w:tc>
          <w:tcPr>
            <w:tcW w:w="672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Normal1"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  <w:t>0.497</w:t>
            </w:r>
          </w:p>
        </w:tc>
        <w:tc>
          <w:tcPr>
            <w:tcW w:w="188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Normal1"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  <w:t>0.229</w:t>
            </w:r>
          </w:p>
        </w:tc>
        <w:tc>
          <w:tcPr>
            <w:tcW w:w="1326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Normal1"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  <w:t>-5.57. 11.33</w:t>
            </w:r>
          </w:p>
        </w:tc>
      </w:tr>
      <w:tr>
        <w:trPr>
          <w:trHeight w:val="199" w:hRule="atLeast"/>
          <w:cantSplit w:val="true"/>
        </w:trPr>
        <w:tc>
          <w:tcPr>
            <w:tcW w:w="4491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Normal1"/>
              <w:widowControl w:val="false"/>
              <w:spacing w:lineRule="auto" w:line="240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color w:val="000000"/>
                <w:sz w:val="20"/>
                <w:szCs w:val="20"/>
                <w:lang w:val="en-US"/>
              </w:rPr>
              <w:t>Negative affectivity</w:t>
            </w:r>
          </w:p>
        </w:tc>
        <w:tc>
          <w:tcPr>
            <w:tcW w:w="1937" w:type="dxa"/>
            <w:tcBorders>
              <w:top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1"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  <w:t>73.36±13.62</w:t>
            </w:r>
          </w:p>
        </w:tc>
        <w:tc>
          <w:tcPr>
            <w:tcW w:w="211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Normal1"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  <w:t>70.13±11.34</w:t>
            </w:r>
          </w:p>
        </w:tc>
        <w:tc>
          <w:tcPr>
            <w:tcW w:w="1994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Normal1"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  <w:t>0.814</w:t>
            </w:r>
          </w:p>
        </w:tc>
        <w:tc>
          <w:tcPr>
            <w:tcW w:w="672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Normal1"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  <w:t>0.419</w:t>
            </w:r>
          </w:p>
        </w:tc>
        <w:tc>
          <w:tcPr>
            <w:tcW w:w="188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Normal1"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  <w:t>0.273</w:t>
            </w:r>
          </w:p>
        </w:tc>
        <w:tc>
          <w:tcPr>
            <w:tcW w:w="1326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Normal1"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  <w:t>-4.72. 11.18</w:t>
            </w:r>
          </w:p>
        </w:tc>
      </w:tr>
      <w:tr>
        <w:trPr>
          <w:trHeight w:val="199" w:hRule="atLeast"/>
          <w:cantSplit w:val="true"/>
        </w:trPr>
        <w:tc>
          <w:tcPr>
            <w:tcW w:w="4491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Normal1"/>
              <w:widowControl w:val="false"/>
              <w:spacing w:lineRule="auto" w:line="240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color w:val="000000"/>
                <w:sz w:val="20"/>
                <w:szCs w:val="20"/>
                <w:lang w:val="en-US"/>
              </w:rPr>
              <w:t>Antagonism</w:t>
            </w:r>
          </w:p>
        </w:tc>
        <w:tc>
          <w:tcPr>
            <w:tcW w:w="1937" w:type="dxa"/>
            <w:tcBorders>
              <w:top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1"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  <w:t>54.45±14.14</w:t>
            </w:r>
          </w:p>
        </w:tc>
        <w:tc>
          <w:tcPr>
            <w:tcW w:w="211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Normal1"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  <w:t>56.27±13.07</w:t>
            </w:r>
          </w:p>
        </w:tc>
        <w:tc>
          <w:tcPr>
            <w:tcW w:w="1994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Normal1"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  <w:t>-0.406</w:t>
            </w:r>
          </w:p>
        </w:tc>
        <w:tc>
          <w:tcPr>
            <w:tcW w:w="672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Normal1"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  <w:t>0.687</w:t>
            </w:r>
          </w:p>
        </w:tc>
        <w:tc>
          <w:tcPr>
            <w:tcW w:w="188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Normal1"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  <w:t>-0.137</w:t>
            </w:r>
          </w:p>
        </w:tc>
        <w:tc>
          <w:tcPr>
            <w:tcW w:w="1326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Normal1"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  <w:t>-10.77. 7.14</w:t>
            </w:r>
          </w:p>
        </w:tc>
      </w:tr>
      <w:tr>
        <w:trPr>
          <w:trHeight w:val="14" w:hRule="atLeast"/>
          <w:cantSplit w:val="true"/>
        </w:trPr>
        <w:tc>
          <w:tcPr>
            <w:tcW w:w="4491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Normal1"/>
              <w:widowControl w:val="false"/>
              <w:spacing w:lineRule="auto" w:line="240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color w:val="000000"/>
                <w:sz w:val="20"/>
                <w:szCs w:val="20"/>
                <w:lang w:val="en-US"/>
              </w:rPr>
              <w:t>ISAS</w:t>
            </w:r>
          </w:p>
        </w:tc>
        <w:tc>
          <w:tcPr>
            <w:tcW w:w="1937" w:type="dxa"/>
            <w:tcBorders>
              <w:bottom w:val="single" w:sz="6" w:space="0" w:color="000000"/>
            </w:tcBorders>
            <w:vAlign w:val="center"/>
          </w:tcPr>
          <w:p>
            <w:pPr>
              <w:pStyle w:val="Normal1"/>
              <w:pBdr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</w:r>
          </w:p>
        </w:tc>
        <w:tc>
          <w:tcPr>
            <w:tcW w:w="2117" w:type="dxa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1"/>
              <w:pBdr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</w:r>
          </w:p>
        </w:tc>
        <w:tc>
          <w:tcPr>
            <w:tcW w:w="1994" w:type="dxa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1"/>
              <w:pBdr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</w:r>
          </w:p>
        </w:tc>
        <w:tc>
          <w:tcPr>
            <w:tcW w:w="672" w:type="dxa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1"/>
              <w:pBdr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</w:r>
          </w:p>
        </w:tc>
        <w:tc>
          <w:tcPr>
            <w:tcW w:w="1880" w:type="dxa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1"/>
              <w:pBdr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</w:r>
          </w:p>
        </w:tc>
        <w:tc>
          <w:tcPr>
            <w:tcW w:w="1326" w:type="dxa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1"/>
              <w:pBdr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</w:r>
          </w:p>
        </w:tc>
      </w:tr>
      <w:tr>
        <w:trPr>
          <w:trHeight w:val="199" w:hRule="atLeast"/>
          <w:cantSplit w:val="true"/>
        </w:trPr>
        <w:tc>
          <w:tcPr>
            <w:tcW w:w="4491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Normal1"/>
              <w:widowControl w:val="false"/>
              <w:spacing w:lineRule="auto" w:line="240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color w:val="000000"/>
                <w:sz w:val="20"/>
                <w:szCs w:val="20"/>
                <w:lang w:val="en-US"/>
              </w:rPr>
              <w:t>At what age did you first harm yourself?</w:t>
            </w:r>
          </w:p>
        </w:tc>
        <w:tc>
          <w:tcPr>
            <w:tcW w:w="1937" w:type="dxa"/>
            <w:tcBorders>
              <w:top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1"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  <w:t>14.45±2.98</w:t>
            </w:r>
          </w:p>
        </w:tc>
        <w:tc>
          <w:tcPr>
            <w:tcW w:w="211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Normal1"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  <w:t>12.64±2.25</w:t>
            </w:r>
          </w:p>
        </w:tc>
        <w:tc>
          <w:tcPr>
            <w:tcW w:w="1994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Normal1"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  <w:t>2.242</w:t>
            </w:r>
          </w:p>
        </w:tc>
        <w:tc>
          <w:tcPr>
            <w:tcW w:w="672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Normal1"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  <w:t>0.029</w:t>
            </w:r>
          </w:p>
        </w:tc>
        <w:tc>
          <w:tcPr>
            <w:tcW w:w="188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Normal1"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  <w:t>0.750</w:t>
            </w:r>
          </w:p>
        </w:tc>
        <w:tc>
          <w:tcPr>
            <w:tcW w:w="1326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Normal1"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  <w:t>0.19. 3.43</w:t>
            </w:r>
          </w:p>
        </w:tc>
      </w:tr>
      <w:tr>
        <w:trPr>
          <w:trHeight w:val="199" w:hRule="atLeast"/>
          <w:cantSplit w:val="true"/>
        </w:trPr>
        <w:tc>
          <w:tcPr>
            <w:tcW w:w="4491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Normal1"/>
              <w:widowControl w:val="false"/>
              <w:spacing w:lineRule="auto" w:line="240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color w:val="000000"/>
                <w:sz w:val="20"/>
                <w:szCs w:val="20"/>
                <w:lang w:val="en-US"/>
              </w:rPr>
              <w:t>Functionality of NSSI according to ISAS</w:t>
            </w:r>
          </w:p>
        </w:tc>
        <w:tc>
          <w:tcPr>
            <w:tcW w:w="1937" w:type="dxa"/>
            <w:tcBorders>
              <w:top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1"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</w:r>
          </w:p>
        </w:tc>
        <w:tc>
          <w:tcPr>
            <w:tcW w:w="211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Normal1"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</w:r>
          </w:p>
        </w:tc>
        <w:tc>
          <w:tcPr>
            <w:tcW w:w="1994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Normal1"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</w:r>
          </w:p>
        </w:tc>
        <w:tc>
          <w:tcPr>
            <w:tcW w:w="672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Normal1"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</w:r>
          </w:p>
        </w:tc>
        <w:tc>
          <w:tcPr>
            <w:tcW w:w="188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Normal1"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</w:r>
          </w:p>
        </w:tc>
        <w:tc>
          <w:tcPr>
            <w:tcW w:w="1326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Normal1"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</w:r>
          </w:p>
        </w:tc>
      </w:tr>
      <w:tr>
        <w:trPr>
          <w:trHeight w:val="199" w:hRule="atLeast"/>
          <w:cantSplit w:val="true"/>
        </w:trPr>
        <w:tc>
          <w:tcPr>
            <w:tcW w:w="4491" w:type="dxa"/>
            <w:tcBorders>
              <w:top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1"/>
              <w:widowControl w:val="false"/>
              <w:spacing w:lineRule="auto" w:line="240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color w:val="000000"/>
                <w:sz w:val="20"/>
                <w:szCs w:val="20"/>
                <w:lang w:val="en-US"/>
              </w:rPr>
              <w:t>Affectiveive Regulation</w:t>
            </w:r>
          </w:p>
        </w:tc>
        <w:tc>
          <w:tcPr>
            <w:tcW w:w="1937" w:type="dxa"/>
            <w:tcBorders>
              <w:top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1"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  <w:t>5.64±0.67</w:t>
            </w:r>
          </w:p>
        </w:tc>
        <w:tc>
          <w:tcPr>
            <w:tcW w:w="211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Normal1"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  <w:t>5.29±1.20</w:t>
            </w:r>
          </w:p>
        </w:tc>
        <w:tc>
          <w:tcPr>
            <w:tcW w:w="1994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Normal1"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  <w:t>0.922</w:t>
            </w:r>
          </w:p>
        </w:tc>
        <w:tc>
          <w:tcPr>
            <w:tcW w:w="672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Normal1"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  <w:t>0.361</w:t>
            </w:r>
          </w:p>
        </w:tc>
        <w:tc>
          <w:tcPr>
            <w:tcW w:w="188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Normal1"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  <w:t>0.314</w:t>
            </w:r>
          </w:p>
        </w:tc>
        <w:tc>
          <w:tcPr>
            <w:tcW w:w="1326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Normal1"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  <w:t>-0.41. 1.10</w:t>
            </w:r>
          </w:p>
        </w:tc>
      </w:tr>
      <w:tr>
        <w:trPr>
          <w:trHeight w:val="199" w:hRule="atLeast"/>
          <w:cantSplit w:val="true"/>
        </w:trPr>
        <w:tc>
          <w:tcPr>
            <w:tcW w:w="4491" w:type="dxa"/>
            <w:tcBorders>
              <w:top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1"/>
              <w:widowControl w:val="false"/>
              <w:spacing w:lineRule="auto" w:line="240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color w:val="000000"/>
                <w:sz w:val="20"/>
                <w:szCs w:val="20"/>
                <w:lang w:val="en-US"/>
              </w:rPr>
              <w:t>Interpersonal Boundaries</w:t>
            </w:r>
          </w:p>
        </w:tc>
        <w:tc>
          <w:tcPr>
            <w:tcW w:w="1937" w:type="dxa"/>
            <w:tcBorders>
              <w:top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1"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  <w:t>0.73±1.10</w:t>
            </w:r>
          </w:p>
        </w:tc>
        <w:tc>
          <w:tcPr>
            <w:tcW w:w="211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Normal1"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  <w:t>0.47±0.89</w:t>
            </w:r>
          </w:p>
        </w:tc>
        <w:tc>
          <w:tcPr>
            <w:tcW w:w="1994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Normal1"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  <w:t>0.827</w:t>
            </w:r>
          </w:p>
        </w:tc>
        <w:tc>
          <w:tcPr>
            <w:tcW w:w="672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Normal1"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  <w:t>0.412</w:t>
            </w:r>
          </w:p>
        </w:tc>
        <w:tc>
          <w:tcPr>
            <w:tcW w:w="188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Normal1"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  <w:t>0.278</w:t>
            </w:r>
          </w:p>
        </w:tc>
        <w:tc>
          <w:tcPr>
            <w:tcW w:w="1326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Normal1"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  <w:t>-0.37. 0.89</w:t>
            </w:r>
          </w:p>
        </w:tc>
      </w:tr>
      <w:tr>
        <w:trPr>
          <w:trHeight w:val="199" w:hRule="atLeast"/>
          <w:cantSplit w:val="true"/>
        </w:trPr>
        <w:tc>
          <w:tcPr>
            <w:tcW w:w="4491" w:type="dxa"/>
            <w:tcBorders>
              <w:top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1"/>
              <w:widowControl w:val="false"/>
              <w:spacing w:lineRule="auto" w:line="240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color w:val="000000"/>
                <w:sz w:val="20"/>
                <w:szCs w:val="20"/>
                <w:lang w:val="en-US"/>
              </w:rPr>
              <w:t>Self-Punishment</w:t>
            </w:r>
          </w:p>
        </w:tc>
        <w:tc>
          <w:tcPr>
            <w:tcW w:w="1937" w:type="dxa"/>
            <w:tcBorders>
              <w:top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1"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  <w:t>4.64±1.80</w:t>
            </w:r>
          </w:p>
        </w:tc>
        <w:tc>
          <w:tcPr>
            <w:tcW w:w="211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Normal1"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  <w:t>4.49±1.70</w:t>
            </w:r>
          </w:p>
        </w:tc>
        <w:tc>
          <w:tcPr>
            <w:tcW w:w="1994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Normal1"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  <w:t>0.255</w:t>
            </w:r>
          </w:p>
        </w:tc>
        <w:tc>
          <w:tcPr>
            <w:tcW w:w="672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Normal1"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  <w:t>0.800</w:t>
            </w:r>
          </w:p>
        </w:tc>
        <w:tc>
          <w:tcPr>
            <w:tcW w:w="188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Normal1"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  <w:t>0.087</w:t>
            </w:r>
          </w:p>
        </w:tc>
        <w:tc>
          <w:tcPr>
            <w:tcW w:w="1326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Normal1"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  <w:t>-1.01. 1.31</w:t>
            </w:r>
          </w:p>
        </w:tc>
      </w:tr>
      <w:tr>
        <w:trPr>
          <w:trHeight w:val="199" w:hRule="atLeast"/>
          <w:cantSplit w:val="true"/>
        </w:trPr>
        <w:tc>
          <w:tcPr>
            <w:tcW w:w="4491" w:type="dxa"/>
            <w:tcBorders>
              <w:top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1"/>
              <w:widowControl w:val="false"/>
              <w:spacing w:lineRule="auto" w:line="240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color w:val="000000"/>
                <w:sz w:val="20"/>
                <w:szCs w:val="20"/>
                <w:lang w:val="en-US"/>
              </w:rPr>
              <w:t>Self-Care</w:t>
            </w:r>
          </w:p>
        </w:tc>
        <w:tc>
          <w:tcPr>
            <w:tcW w:w="1937" w:type="dxa"/>
            <w:tcBorders>
              <w:top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1"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  <w:t>2.45±1.69</w:t>
            </w:r>
          </w:p>
        </w:tc>
        <w:tc>
          <w:tcPr>
            <w:tcW w:w="211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Normal1"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  <w:t>2.31±1.41</w:t>
            </w:r>
          </w:p>
        </w:tc>
        <w:tc>
          <w:tcPr>
            <w:tcW w:w="1994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Normal1"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  <w:t>0.290</w:t>
            </w:r>
          </w:p>
        </w:tc>
        <w:tc>
          <w:tcPr>
            <w:tcW w:w="672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Normal1"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  <w:t>0.773</w:t>
            </w:r>
          </w:p>
        </w:tc>
        <w:tc>
          <w:tcPr>
            <w:tcW w:w="188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Normal1"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  <w:t>0.095</w:t>
            </w:r>
          </w:p>
        </w:tc>
        <w:tc>
          <w:tcPr>
            <w:tcW w:w="1326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Normal1"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  <w:t>-0.85. 1.13</w:t>
            </w:r>
          </w:p>
        </w:tc>
      </w:tr>
      <w:tr>
        <w:trPr>
          <w:trHeight w:val="199" w:hRule="atLeast"/>
          <w:cantSplit w:val="true"/>
        </w:trPr>
        <w:tc>
          <w:tcPr>
            <w:tcW w:w="4491" w:type="dxa"/>
            <w:tcBorders>
              <w:top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1"/>
              <w:widowControl w:val="false"/>
              <w:spacing w:lineRule="auto" w:line="240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color w:val="000000"/>
                <w:sz w:val="20"/>
                <w:szCs w:val="20"/>
                <w:lang w:val="en-US"/>
              </w:rPr>
              <w:t>Anti-Dissociation</w:t>
            </w:r>
          </w:p>
        </w:tc>
        <w:tc>
          <w:tcPr>
            <w:tcW w:w="1937" w:type="dxa"/>
            <w:tcBorders>
              <w:top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1"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  <w:t>1.73±1.62</w:t>
            </w:r>
          </w:p>
        </w:tc>
        <w:tc>
          <w:tcPr>
            <w:tcW w:w="211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Normal1"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  <w:t>2.31±1.81</w:t>
            </w:r>
          </w:p>
        </w:tc>
        <w:tc>
          <w:tcPr>
            <w:tcW w:w="1994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Normal1"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  <w:t>-0.979</w:t>
            </w:r>
          </w:p>
        </w:tc>
        <w:tc>
          <w:tcPr>
            <w:tcW w:w="672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Normal1"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  <w:t>0.332</w:t>
            </w:r>
          </w:p>
        </w:tc>
        <w:tc>
          <w:tcPr>
            <w:tcW w:w="188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Normal1"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  <w:t>-0.327</w:t>
            </w:r>
          </w:p>
        </w:tc>
        <w:tc>
          <w:tcPr>
            <w:tcW w:w="1326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Normal1"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  <w:t>-1.78. 0.61</w:t>
            </w:r>
          </w:p>
        </w:tc>
      </w:tr>
      <w:tr>
        <w:trPr>
          <w:trHeight w:val="199" w:hRule="atLeast"/>
          <w:cantSplit w:val="true"/>
        </w:trPr>
        <w:tc>
          <w:tcPr>
            <w:tcW w:w="4491" w:type="dxa"/>
            <w:tcBorders>
              <w:top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1"/>
              <w:widowControl w:val="false"/>
              <w:spacing w:lineRule="auto" w:line="240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color w:val="000000"/>
                <w:sz w:val="20"/>
                <w:szCs w:val="20"/>
                <w:lang w:val="en-US"/>
              </w:rPr>
              <w:t>Anti-Suicide</w:t>
            </w:r>
          </w:p>
        </w:tc>
        <w:tc>
          <w:tcPr>
            <w:tcW w:w="1937" w:type="dxa"/>
            <w:tcBorders>
              <w:top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1"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  <w:t>3.73±1.74</w:t>
            </w:r>
          </w:p>
        </w:tc>
        <w:tc>
          <w:tcPr>
            <w:tcW w:w="211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Normal1"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  <w:t>3.69±1.88</w:t>
            </w:r>
          </w:p>
        </w:tc>
        <w:tc>
          <w:tcPr>
            <w:tcW w:w="1994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Normal1"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  <w:t>0.062</w:t>
            </w:r>
          </w:p>
        </w:tc>
        <w:tc>
          <w:tcPr>
            <w:tcW w:w="672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Normal1"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  <w:t>0.951</w:t>
            </w:r>
          </w:p>
        </w:tc>
        <w:tc>
          <w:tcPr>
            <w:tcW w:w="188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Normal1"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  <w:t>0.062</w:t>
            </w:r>
          </w:p>
        </w:tc>
        <w:tc>
          <w:tcPr>
            <w:tcW w:w="1326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Normal1"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  <w:t>-1.21. 1.29</w:t>
            </w:r>
          </w:p>
        </w:tc>
      </w:tr>
      <w:tr>
        <w:trPr>
          <w:trHeight w:val="199" w:hRule="atLeast"/>
          <w:cantSplit w:val="true"/>
        </w:trPr>
        <w:tc>
          <w:tcPr>
            <w:tcW w:w="4491" w:type="dxa"/>
            <w:tcBorders>
              <w:top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1"/>
              <w:widowControl w:val="false"/>
              <w:spacing w:lineRule="auto" w:line="240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color w:val="000000"/>
                <w:sz w:val="20"/>
                <w:szCs w:val="20"/>
                <w:lang w:val="en-US"/>
              </w:rPr>
              <w:t>Sensation-Seeking</w:t>
            </w:r>
          </w:p>
        </w:tc>
        <w:tc>
          <w:tcPr>
            <w:tcW w:w="1937" w:type="dxa"/>
            <w:tcBorders>
              <w:top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1"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  <w:t>0.55±1.04</w:t>
            </w:r>
          </w:p>
        </w:tc>
        <w:tc>
          <w:tcPr>
            <w:tcW w:w="211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Normal1"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  <w:t>0.91±1.06</w:t>
            </w:r>
          </w:p>
        </w:tc>
        <w:tc>
          <w:tcPr>
            <w:tcW w:w="1994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Normal1"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  <w:t>-1.028</w:t>
            </w:r>
          </w:p>
        </w:tc>
        <w:tc>
          <w:tcPr>
            <w:tcW w:w="672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Normal1"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  <w:t>0.308</w:t>
            </w:r>
          </w:p>
        </w:tc>
        <w:tc>
          <w:tcPr>
            <w:tcW w:w="188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Normal1"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  <w:t>-0.150</w:t>
            </w:r>
          </w:p>
        </w:tc>
        <w:tc>
          <w:tcPr>
            <w:tcW w:w="1326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Normal1"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  <w:t>-1.08. 0.35</w:t>
            </w:r>
          </w:p>
        </w:tc>
      </w:tr>
      <w:tr>
        <w:trPr>
          <w:trHeight w:val="199" w:hRule="atLeast"/>
          <w:cantSplit w:val="true"/>
        </w:trPr>
        <w:tc>
          <w:tcPr>
            <w:tcW w:w="4491" w:type="dxa"/>
            <w:tcBorders>
              <w:top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1"/>
              <w:widowControl w:val="false"/>
              <w:spacing w:lineRule="auto" w:line="240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color w:val="000000"/>
                <w:sz w:val="20"/>
                <w:szCs w:val="20"/>
                <w:lang w:val="en-US"/>
              </w:rPr>
              <w:t xml:space="preserve"> </w:t>
            </w:r>
            <w:r>
              <w:rPr>
                <w:rFonts w:cs="Calibri" w:ascii="Calibri" w:hAnsi="Calibri"/>
                <w:color w:val="000000"/>
                <w:sz w:val="20"/>
                <w:szCs w:val="20"/>
                <w:lang w:val="en-US"/>
              </w:rPr>
              <w:t>Peer Relationships</w:t>
            </w:r>
          </w:p>
        </w:tc>
        <w:tc>
          <w:tcPr>
            <w:tcW w:w="1937" w:type="dxa"/>
            <w:tcBorders>
              <w:top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1"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  <w:t>0.00±0.00</w:t>
            </w:r>
          </w:p>
        </w:tc>
        <w:tc>
          <w:tcPr>
            <w:tcW w:w="211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Normal1"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  <w:t>0.09±0.36</w:t>
            </w:r>
          </w:p>
        </w:tc>
        <w:tc>
          <w:tcPr>
            <w:tcW w:w="1994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Normal1"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  <w:t>-0.817</w:t>
            </w:r>
          </w:p>
        </w:tc>
        <w:tc>
          <w:tcPr>
            <w:tcW w:w="672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Normal1"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  <w:t>0.417</w:t>
            </w:r>
          </w:p>
        </w:tc>
        <w:tc>
          <w:tcPr>
            <w:tcW w:w="188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Normal1"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  <w:t>0</w:t>
            </w:r>
          </w:p>
        </w:tc>
        <w:tc>
          <w:tcPr>
            <w:tcW w:w="1326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Normal1"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  <w:t>-0.31. 0.13</w:t>
            </w:r>
          </w:p>
        </w:tc>
      </w:tr>
      <w:tr>
        <w:trPr>
          <w:trHeight w:val="199" w:hRule="atLeast"/>
          <w:cantSplit w:val="true"/>
        </w:trPr>
        <w:tc>
          <w:tcPr>
            <w:tcW w:w="4491" w:type="dxa"/>
            <w:tcBorders>
              <w:top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1"/>
              <w:widowControl w:val="false"/>
              <w:spacing w:lineRule="auto" w:line="240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color w:val="000000"/>
                <w:sz w:val="20"/>
                <w:szCs w:val="20"/>
                <w:lang w:val="en-US"/>
              </w:rPr>
              <w:t>Interpersonal Influence</w:t>
            </w:r>
          </w:p>
        </w:tc>
        <w:tc>
          <w:tcPr>
            <w:tcW w:w="1937" w:type="dxa"/>
            <w:tcBorders>
              <w:top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1"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  <w:t>1.64±1.57</w:t>
            </w:r>
          </w:p>
        </w:tc>
        <w:tc>
          <w:tcPr>
            <w:tcW w:w="211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Normal1"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  <w:t>0.93±1.34</w:t>
            </w:r>
          </w:p>
        </w:tc>
        <w:tc>
          <w:tcPr>
            <w:tcW w:w="1994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Normal1"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  <w:t>1.511</w:t>
            </w:r>
          </w:p>
        </w:tc>
        <w:tc>
          <w:tcPr>
            <w:tcW w:w="672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Normal1"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  <w:t>0.137</w:t>
            </w:r>
          </w:p>
        </w:tc>
        <w:tc>
          <w:tcPr>
            <w:tcW w:w="188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Normal1"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  <w:t>0.423</w:t>
            </w:r>
          </w:p>
        </w:tc>
        <w:tc>
          <w:tcPr>
            <w:tcW w:w="1326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Normal1"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  <w:t>-0.23. 1.64</w:t>
            </w:r>
          </w:p>
        </w:tc>
      </w:tr>
      <w:tr>
        <w:trPr>
          <w:trHeight w:val="199" w:hRule="atLeast"/>
          <w:cantSplit w:val="true"/>
        </w:trPr>
        <w:tc>
          <w:tcPr>
            <w:tcW w:w="4491" w:type="dxa"/>
            <w:tcBorders>
              <w:top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1"/>
              <w:widowControl w:val="false"/>
              <w:spacing w:lineRule="auto" w:line="240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color w:val="000000"/>
                <w:sz w:val="20"/>
                <w:szCs w:val="20"/>
                <w:lang w:val="en-US"/>
              </w:rPr>
              <w:t>Toughness/resistence</w:t>
            </w:r>
          </w:p>
        </w:tc>
        <w:tc>
          <w:tcPr>
            <w:tcW w:w="1937" w:type="dxa"/>
            <w:tcBorders>
              <w:top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1"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  <w:t>0.73±1.01</w:t>
            </w:r>
          </w:p>
        </w:tc>
        <w:tc>
          <w:tcPr>
            <w:tcW w:w="211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Normal1"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  <w:t>1.04±1.33</w:t>
            </w:r>
          </w:p>
        </w:tc>
        <w:tc>
          <w:tcPr>
            <w:tcW w:w="1994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Normal1"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  <w:t>-0.738</w:t>
            </w:r>
          </w:p>
        </w:tc>
        <w:tc>
          <w:tcPr>
            <w:tcW w:w="672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Normal1"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  <w:t>0.464</w:t>
            </w:r>
          </w:p>
        </w:tc>
        <w:tc>
          <w:tcPr>
            <w:tcW w:w="188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Normal1"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  <w:t>-0.148</w:t>
            </w:r>
          </w:p>
        </w:tc>
        <w:tc>
          <w:tcPr>
            <w:tcW w:w="1326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Normal1"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  <w:t>-1.18. 0.54</w:t>
            </w:r>
          </w:p>
        </w:tc>
      </w:tr>
      <w:tr>
        <w:trPr>
          <w:trHeight w:val="199" w:hRule="atLeast"/>
          <w:cantSplit w:val="true"/>
        </w:trPr>
        <w:tc>
          <w:tcPr>
            <w:tcW w:w="4491" w:type="dxa"/>
            <w:tcBorders>
              <w:top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1"/>
              <w:widowControl w:val="false"/>
              <w:spacing w:lineRule="auto" w:line="240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color w:val="000000"/>
                <w:sz w:val="20"/>
                <w:szCs w:val="20"/>
                <w:lang w:val="en-US"/>
              </w:rPr>
              <w:t>Emphasizing Distress</w:t>
            </w:r>
          </w:p>
        </w:tc>
        <w:tc>
          <w:tcPr>
            <w:tcW w:w="1937" w:type="dxa"/>
            <w:tcBorders>
              <w:top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1"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  <w:t>2.82±2.36</w:t>
            </w:r>
          </w:p>
        </w:tc>
        <w:tc>
          <w:tcPr>
            <w:tcW w:w="211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Normal1"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  <w:t>2.62±2.24</w:t>
            </w:r>
          </w:p>
        </w:tc>
        <w:tc>
          <w:tcPr>
            <w:tcW w:w="1994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Normal1"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  <w:t>0.258</w:t>
            </w:r>
          </w:p>
        </w:tc>
        <w:tc>
          <w:tcPr>
            <w:tcW w:w="672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Normal1"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  <w:t>0.798</w:t>
            </w:r>
          </w:p>
        </w:tc>
        <w:tc>
          <w:tcPr>
            <w:tcW w:w="188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Normal1"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  <w:t>0.061</w:t>
            </w:r>
          </w:p>
        </w:tc>
        <w:tc>
          <w:tcPr>
            <w:tcW w:w="1326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Normal1"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  <w:t>-1.33. 1.72</w:t>
            </w:r>
          </w:p>
        </w:tc>
      </w:tr>
      <w:tr>
        <w:trPr>
          <w:trHeight w:val="199" w:hRule="atLeast"/>
          <w:cantSplit w:val="true"/>
        </w:trPr>
        <w:tc>
          <w:tcPr>
            <w:tcW w:w="4491" w:type="dxa"/>
            <w:tcBorders>
              <w:top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1"/>
              <w:widowControl w:val="false"/>
              <w:spacing w:lineRule="auto" w:line="240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color w:val="000000"/>
                <w:sz w:val="20"/>
                <w:szCs w:val="20"/>
                <w:lang w:val="en-US"/>
              </w:rPr>
              <w:t>Revenge</w:t>
            </w:r>
          </w:p>
        </w:tc>
        <w:tc>
          <w:tcPr>
            <w:tcW w:w="1937" w:type="dxa"/>
            <w:tcBorders>
              <w:top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1"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  <w:t>1.18±1.89</w:t>
            </w:r>
          </w:p>
        </w:tc>
        <w:tc>
          <w:tcPr>
            <w:tcW w:w="211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Normal1"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  <w:t>0.49±1.22</w:t>
            </w:r>
          </w:p>
        </w:tc>
        <w:tc>
          <w:tcPr>
            <w:tcW w:w="1994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Normal1"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  <w:t>1.507</w:t>
            </w:r>
          </w:p>
        </w:tc>
        <w:tc>
          <w:tcPr>
            <w:tcW w:w="672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Normal1"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  <w:t>0.138</w:t>
            </w:r>
          </w:p>
        </w:tc>
        <w:tc>
          <w:tcPr>
            <w:tcW w:w="188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Normal1"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  <w:t>0.273</w:t>
            </w:r>
          </w:p>
        </w:tc>
        <w:tc>
          <w:tcPr>
            <w:tcW w:w="1326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Normal1"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  <w:t>-0.23. 1.61</w:t>
            </w:r>
          </w:p>
        </w:tc>
      </w:tr>
      <w:tr>
        <w:trPr>
          <w:trHeight w:val="199" w:hRule="atLeast"/>
          <w:cantSplit w:val="true"/>
        </w:trPr>
        <w:tc>
          <w:tcPr>
            <w:tcW w:w="4491" w:type="dxa"/>
            <w:tcBorders>
              <w:top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1"/>
              <w:widowControl w:val="false"/>
              <w:spacing w:lineRule="auto" w:line="240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color w:val="000000"/>
                <w:sz w:val="20"/>
                <w:szCs w:val="20"/>
                <w:lang w:val="en-US"/>
              </w:rPr>
              <w:t>Autonomy</w:t>
            </w:r>
          </w:p>
        </w:tc>
        <w:tc>
          <w:tcPr>
            <w:tcW w:w="1937" w:type="dxa"/>
            <w:tcBorders>
              <w:top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1"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  <w:t>0.18±0.40</w:t>
            </w:r>
          </w:p>
        </w:tc>
        <w:tc>
          <w:tcPr>
            <w:tcW w:w="211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Normal1"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  <w:t>0.80±1.38</w:t>
            </w:r>
          </w:p>
        </w:tc>
        <w:tc>
          <w:tcPr>
            <w:tcW w:w="1994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Normal1"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  <w:t>-2.592</w:t>
            </w:r>
          </w:p>
        </w:tc>
        <w:tc>
          <w:tcPr>
            <w:tcW w:w="672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Normal1"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  <w:t>0.012</w:t>
            </w:r>
          </w:p>
        </w:tc>
        <w:tc>
          <w:tcPr>
            <w:tcW w:w="188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Normal1"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  <w:t>-0.497</w:t>
            </w:r>
          </w:p>
        </w:tc>
        <w:tc>
          <w:tcPr>
            <w:tcW w:w="1326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Normal1"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  <w:t>-1.10. -0.14</w:t>
            </w:r>
          </w:p>
        </w:tc>
      </w:tr>
      <w:tr>
        <w:trPr>
          <w:trHeight w:val="199" w:hRule="atLeast"/>
          <w:cantSplit w:val="true"/>
        </w:trPr>
        <w:tc>
          <w:tcPr>
            <w:tcW w:w="4491" w:type="dxa"/>
            <w:tcBorders>
              <w:top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1"/>
              <w:widowControl w:val="false"/>
              <w:spacing w:lineRule="auto" w:line="240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color w:val="000000"/>
                <w:sz w:val="20"/>
                <w:szCs w:val="20"/>
                <w:lang w:val="en-US"/>
              </w:rPr>
              <w:t>BPD Checklist</w:t>
            </w:r>
          </w:p>
        </w:tc>
        <w:tc>
          <w:tcPr>
            <w:tcW w:w="1937" w:type="dxa"/>
            <w:tcBorders>
              <w:top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1"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  <w:t>130.73±36.58</w:t>
            </w:r>
          </w:p>
        </w:tc>
        <w:tc>
          <w:tcPr>
            <w:tcW w:w="211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Normal1"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  <w:t>124.56±34.29</w:t>
            </w:r>
          </w:p>
        </w:tc>
        <w:tc>
          <w:tcPr>
            <w:tcW w:w="1994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Normal1"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  <w:t>0.528</w:t>
            </w:r>
          </w:p>
        </w:tc>
        <w:tc>
          <w:tcPr>
            <w:tcW w:w="672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Normal1"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  <w:t>0.599</w:t>
            </w:r>
          </w:p>
        </w:tc>
        <w:tc>
          <w:tcPr>
            <w:tcW w:w="188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Normal1"/>
              <w:spacing w:lineRule="auto" w:line="240"/>
              <w:jc w:val="center"/>
              <w:rPr>
                <w:rFonts w:ascii="Calibri" w:hAnsi="Calibri" w:cs="Calibri"/>
                <w:bCs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bCs/>
                <w:sz w:val="20"/>
                <w:szCs w:val="20"/>
                <w:lang w:val="en-US"/>
              </w:rPr>
              <w:t>0.177</w:t>
            </w:r>
          </w:p>
        </w:tc>
        <w:tc>
          <w:tcPr>
            <w:tcW w:w="1326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Normal1"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  <w:t>-17.25, 29.59</w:t>
            </w:r>
          </w:p>
        </w:tc>
      </w:tr>
      <w:tr>
        <w:trPr>
          <w:trHeight w:val="199" w:hRule="atLeast"/>
          <w:cantSplit w:val="true"/>
        </w:trPr>
        <w:tc>
          <w:tcPr>
            <w:tcW w:w="4491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Normal1"/>
              <w:widowControl w:val="false"/>
              <w:spacing w:lineRule="auto" w:line="240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color w:val="000000"/>
                <w:sz w:val="20"/>
                <w:szCs w:val="20"/>
                <w:lang w:val="en-US"/>
              </w:rPr>
              <w:t>BPFSC-11 Total</w:t>
            </w:r>
          </w:p>
        </w:tc>
        <w:tc>
          <w:tcPr>
            <w:tcW w:w="1937" w:type="dxa"/>
            <w:tcBorders>
              <w:top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1"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  <w:t>42.55±8.35</w:t>
            </w:r>
          </w:p>
        </w:tc>
        <w:tc>
          <w:tcPr>
            <w:tcW w:w="211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Normal1"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  <w:t>41.38±7.88</w:t>
            </w:r>
          </w:p>
        </w:tc>
        <w:tc>
          <w:tcPr>
            <w:tcW w:w="1994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Normal1"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  <w:t>0.436</w:t>
            </w:r>
          </w:p>
        </w:tc>
        <w:tc>
          <w:tcPr>
            <w:tcW w:w="672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Normal1"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  <w:t>0.665</w:t>
            </w:r>
          </w:p>
        </w:tc>
        <w:tc>
          <w:tcPr>
            <w:tcW w:w="188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Normal1"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  <w:t>0.147</w:t>
            </w:r>
          </w:p>
        </w:tc>
        <w:tc>
          <w:tcPr>
            <w:tcW w:w="1326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Normal1"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  <w:t>-4.21, 6.54</w:t>
            </w:r>
          </w:p>
        </w:tc>
      </w:tr>
      <w:tr>
        <w:trPr>
          <w:trHeight w:val="199" w:hRule="atLeast"/>
          <w:cantSplit w:val="true"/>
        </w:trPr>
        <w:tc>
          <w:tcPr>
            <w:tcW w:w="4491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Normal1"/>
              <w:widowControl w:val="false"/>
              <w:spacing w:lineRule="auto" w:line="240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color w:val="000000"/>
                <w:sz w:val="20"/>
                <w:szCs w:val="20"/>
                <w:lang w:val="en-US"/>
              </w:rPr>
              <w:t xml:space="preserve">BPS Total </w:t>
            </w:r>
          </w:p>
        </w:tc>
        <w:tc>
          <w:tcPr>
            <w:tcW w:w="1937" w:type="dxa"/>
            <w:tcBorders>
              <w:top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1"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  <w:t>37.71±11.24</w:t>
            </w:r>
          </w:p>
        </w:tc>
        <w:tc>
          <w:tcPr>
            <w:tcW w:w="211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Normal1"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  <w:t>39.29±7.15</w:t>
            </w:r>
          </w:p>
        </w:tc>
        <w:tc>
          <w:tcPr>
            <w:tcW w:w="1994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Normal1"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  <w:t>-0.494</w:t>
            </w:r>
          </w:p>
        </w:tc>
        <w:tc>
          <w:tcPr>
            <w:tcW w:w="672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Normal1"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  <w:t>0.623</w:t>
            </w:r>
          </w:p>
        </w:tc>
        <w:tc>
          <w:tcPr>
            <w:tcW w:w="188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Normal1"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  <w:t>-0.194</w:t>
            </w:r>
          </w:p>
        </w:tc>
        <w:tc>
          <w:tcPr>
            <w:tcW w:w="1326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Normal1"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  <w:t>-8.01, 4.85</w:t>
            </w:r>
          </w:p>
        </w:tc>
      </w:tr>
      <w:tr>
        <w:trPr>
          <w:trHeight w:val="199" w:hRule="atLeast"/>
          <w:cantSplit w:val="true"/>
        </w:trPr>
        <w:tc>
          <w:tcPr>
            <w:tcW w:w="4491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Normal1"/>
              <w:widowControl w:val="false"/>
              <w:spacing w:lineRule="auto" w:line="240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color w:val="000000"/>
                <w:sz w:val="20"/>
                <w:szCs w:val="20"/>
                <w:lang w:val="en-US"/>
              </w:rPr>
              <w:t xml:space="preserve">SR </w:t>
            </w:r>
          </w:p>
        </w:tc>
        <w:tc>
          <w:tcPr>
            <w:tcW w:w="1937" w:type="dxa"/>
            <w:tcBorders>
              <w:top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1"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  <w:t>9.83±2.37</w:t>
            </w:r>
          </w:p>
        </w:tc>
        <w:tc>
          <w:tcPr>
            <w:tcW w:w="211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Normal1"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  <w:t>9.47±2.46</w:t>
            </w:r>
          </w:p>
        </w:tc>
        <w:tc>
          <w:tcPr>
            <w:tcW w:w="1994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Normal1"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  <w:t>0.463</w:t>
            </w:r>
          </w:p>
        </w:tc>
        <w:tc>
          <w:tcPr>
            <w:tcW w:w="672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Normal1"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  <w:t>0.645</w:t>
            </w:r>
          </w:p>
        </w:tc>
        <w:tc>
          <w:tcPr>
            <w:tcW w:w="188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Normal1"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  <w:t>0.147</w:t>
            </w:r>
          </w:p>
        </w:tc>
        <w:tc>
          <w:tcPr>
            <w:tcW w:w="1326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Normal1"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  <w:t>-1.22. 1.95</w:t>
            </w:r>
          </w:p>
        </w:tc>
      </w:tr>
      <w:tr>
        <w:trPr>
          <w:trHeight w:val="199" w:hRule="atLeast"/>
          <w:cantSplit w:val="true"/>
        </w:trPr>
        <w:tc>
          <w:tcPr>
            <w:tcW w:w="4491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Normal1"/>
              <w:widowControl w:val="false"/>
              <w:spacing w:lineRule="auto" w:line="240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color w:val="000000"/>
                <w:sz w:val="20"/>
                <w:szCs w:val="20"/>
                <w:lang w:val="en-US"/>
              </w:rPr>
              <w:t>BDI-II Total</w:t>
            </w:r>
          </w:p>
        </w:tc>
        <w:tc>
          <w:tcPr>
            <w:tcW w:w="1937" w:type="dxa"/>
            <w:tcBorders>
              <w:top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1"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  <w:t>37.25±15.85</w:t>
            </w:r>
          </w:p>
        </w:tc>
        <w:tc>
          <w:tcPr>
            <w:tcW w:w="211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Normal1"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  <w:t>35.76±10.86</w:t>
            </w:r>
          </w:p>
        </w:tc>
        <w:tc>
          <w:tcPr>
            <w:tcW w:w="1994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Normal1"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  <w:t>0.383</w:t>
            </w:r>
          </w:p>
        </w:tc>
        <w:tc>
          <w:tcPr>
            <w:tcW w:w="672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Normal1"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  <w:t>0.704</w:t>
            </w:r>
          </w:p>
        </w:tc>
        <w:tc>
          <w:tcPr>
            <w:tcW w:w="188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Normal1"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  <w:t> </w:t>
            </w:r>
            <w:r>
              <w:rPr>
                <w:rFonts w:cs="Calibri" w:ascii="Calibri" w:hAnsi="Calibri"/>
                <w:sz w:val="20"/>
                <w:szCs w:val="20"/>
                <w:lang w:val="en-US"/>
              </w:rPr>
              <w:t>0.124</w:t>
            </w:r>
          </w:p>
        </w:tc>
        <w:tc>
          <w:tcPr>
            <w:tcW w:w="1326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Normal1"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  <w:t>-6.33. 9.32</w:t>
            </w:r>
          </w:p>
        </w:tc>
      </w:tr>
      <w:tr>
        <w:trPr>
          <w:trHeight w:val="199" w:hRule="atLeast"/>
          <w:cantSplit w:val="true"/>
        </w:trPr>
        <w:tc>
          <w:tcPr>
            <w:tcW w:w="4491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Normal1"/>
              <w:spacing w:lineRule="auto" w:line="240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color w:val="000000"/>
                <w:sz w:val="20"/>
                <w:szCs w:val="20"/>
                <w:lang w:val="en-US"/>
              </w:rPr>
              <w:t xml:space="preserve">STAI-S (Centil) </w:t>
            </w:r>
          </w:p>
        </w:tc>
        <w:tc>
          <w:tcPr>
            <w:tcW w:w="1937" w:type="dxa"/>
            <w:tcBorders>
              <w:top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1"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  <w:t>72.67±31.42</w:t>
            </w:r>
          </w:p>
        </w:tc>
        <w:tc>
          <w:tcPr>
            <w:tcW w:w="211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Normal1"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  <w:t>79.80±19.17</w:t>
            </w:r>
          </w:p>
        </w:tc>
        <w:tc>
          <w:tcPr>
            <w:tcW w:w="1994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Normal1"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  <w:t>-0.990</w:t>
            </w:r>
          </w:p>
        </w:tc>
        <w:tc>
          <w:tcPr>
            <w:tcW w:w="672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Normal1"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  <w:t>0.326</w:t>
            </w:r>
          </w:p>
        </w:tc>
        <w:tc>
          <w:tcPr>
            <w:tcW w:w="188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Normal1"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  <w:t> </w:t>
            </w:r>
            <w:r>
              <w:rPr>
                <w:rFonts w:cs="Calibri" w:ascii="Calibri" w:hAnsi="Calibri"/>
                <w:sz w:val="20"/>
                <w:szCs w:val="20"/>
                <w:lang w:val="en-US"/>
              </w:rPr>
              <w:t>-0.322</w:t>
            </w:r>
          </w:p>
        </w:tc>
        <w:tc>
          <w:tcPr>
            <w:tcW w:w="1326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Normal1"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  <w:t>-21.57. 7.30</w:t>
            </w:r>
          </w:p>
        </w:tc>
      </w:tr>
      <w:tr>
        <w:trPr>
          <w:trHeight w:val="199" w:hRule="atLeast"/>
          <w:cantSplit w:val="true"/>
        </w:trPr>
        <w:tc>
          <w:tcPr>
            <w:tcW w:w="4491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Normal1"/>
              <w:spacing w:lineRule="auto" w:line="240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bCs/>
                <w:color w:val="000000"/>
                <w:sz w:val="20"/>
                <w:szCs w:val="20"/>
                <w:lang w:val="en-US"/>
              </w:rPr>
              <w:t xml:space="preserve">BIS-11 Total </w:t>
            </w:r>
          </w:p>
        </w:tc>
        <w:tc>
          <w:tcPr>
            <w:tcW w:w="1937" w:type="dxa"/>
            <w:tcBorders>
              <w:top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1"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  <w:t>72.08±13.54</w:t>
            </w:r>
          </w:p>
        </w:tc>
        <w:tc>
          <w:tcPr>
            <w:tcW w:w="211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Normal1"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  <w:t>60.93±18.79</w:t>
            </w:r>
          </w:p>
        </w:tc>
        <w:tc>
          <w:tcPr>
            <w:tcW w:w="1994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Normal1"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  <w:t>1.919</w:t>
            </w:r>
          </w:p>
        </w:tc>
        <w:tc>
          <w:tcPr>
            <w:tcW w:w="672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Normal1"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  <w:t>0.060</w:t>
            </w:r>
          </w:p>
        </w:tc>
        <w:tc>
          <w:tcPr>
            <w:tcW w:w="188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Normal1"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  <w:t> </w:t>
            </w:r>
            <w:r>
              <w:rPr>
                <w:rFonts w:cs="Calibri" w:ascii="Calibri" w:hAnsi="Calibri"/>
                <w:sz w:val="20"/>
                <w:szCs w:val="20"/>
                <w:lang w:val="en-US"/>
              </w:rPr>
              <w:t>0.624</w:t>
            </w:r>
          </w:p>
        </w:tc>
        <w:tc>
          <w:tcPr>
            <w:tcW w:w="1326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Normal1"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  <w:t>-0.50. 22.80</w:t>
            </w:r>
          </w:p>
        </w:tc>
      </w:tr>
      <w:tr>
        <w:trPr>
          <w:trHeight w:val="199" w:hRule="atLeast"/>
          <w:cantSplit w:val="true"/>
        </w:trPr>
        <w:tc>
          <w:tcPr>
            <w:tcW w:w="4491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Normal1"/>
              <w:spacing w:lineRule="auto" w:line="240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color w:val="000000"/>
                <w:sz w:val="20"/>
                <w:szCs w:val="20"/>
                <w:lang w:val="en-US"/>
              </w:rPr>
              <w:t xml:space="preserve">FAST </w:t>
            </w:r>
          </w:p>
        </w:tc>
        <w:tc>
          <w:tcPr>
            <w:tcW w:w="1937" w:type="dxa"/>
            <w:tcBorders>
              <w:top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1"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  <w:t>26.30±16.60</w:t>
            </w:r>
          </w:p>
        </w:tc>
        <w:tc>
          <w:tcPr>
            <w:tcW w:w="211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Normal1"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  <w:t>24.98±10.14</w:t>
            </w:r>
          </w:p>
        </w:tc>
        <w:tc>
          <w:tcPr>
            <w:tcW w:w="1994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Normal1"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  <w:t>0.329</w:t>
            </w:r>
          </w:p>
        </w:tc>
        <w:tc>
          <w:tcPr>
            <w:tcW w:w="672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Normal1"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  <w:t>0.743</w:t>
            </w:r>
          </w:p>
        </w:tc>
        <w:tc>
          <w:tcPr>
            <w:tcW w:w="188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Normal1"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  <w:t> </w:t>
            </w:r>
            <w:r>
              <w:rPr>
                <w:rFonts w:cs="Calibri" w:ascii="Calibri" w:hAnsi="Calibri"/>
                <w:sz w:val="20"/>
                <w:szCs w:val="20"/>
                <w:lang w:val="en-US"/>
              </w:rPr>
              <w:t>0.113</w:t>
            </w:r>
          </w:p>
        </w:tc>
        <w:tc>
          <w:tcPr>
            <w:tcW w:w="1326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Normal1"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  <w:t>-6.74. 9.38</w:t>
            </w:r>
          </w:p>
        </w:tc>
      </w:tr>
      <w:tr>
        <w:trPr>
          <w:trHeight w:val="199" w:hRule="atLeast"/>
          <w:cantSplit w:val="true"/>
        </w:trPr>
        <w:tc>
          <w:tcPr>
            <w:tcW w:w="4491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Normal1"/>
              <w:spacing w:lineRule="auto" w:line="240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color w:val="000000"/>
                <w:sz w:val="20"/>
                <w:szCs w:val="20"/>
                <w:lang w:val="en-US"/>
              </w:rPr>
              <w:t>CTQ - Emotional Abuse</w:t>
            </w:r>
          </w:p>
        </w:tc>
        <w:tc>
          <w:tcPr>
            <w:tcW w:w="1937" w:type="dxa"/>
            <w:tcBorders>
              <w:top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1"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  <w:t>16.00±5.95</w:t>
            </w:r>
          </w:p>
        </w:tc>
        <w:tc>
          <w:tcPr>
            <w:tcW w:w="211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Normal1"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  <w:t>15.11±5.95</w:t>
            </w:r>
          </w:p>
        </w:tc>
        <w:tc>
          <w:tcPr>
            <w:tcW w:w="1994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Normal1"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  <w:t>0.457</w:t>
            </w:r>
          </w:p>
        </w:tc>
        <w:tc>
          <w:tcPr>
            <w:tcW w:w="672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Normal1"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  <w:t>0.649</w:t>
            </w:r>
          </w:p>
        </w:tc>
        <w:tc>
          <w:tcPr>
            <w:tcW w:w="188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Normal1"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  <w:t> </w:t>
            </w:r>
            <w:r>
              <w:rPr>
                <w:rFonts w:cs="Calibri" w:ascii="Calibri" w:hAnsi="Calibri"/>
                <w:sz w:val="20"/>
                <w:szCs w:val="20"/>
                <w:lang w:val="en-US"/>
              </w:rPr>
              <w:t>0.150</w:t>
            </w:r>
          </w:p>
        </w:tc>
        <w:tc>
          <w:tcPr>
            <w:tcW w:w="1326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Normal1"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  <w:t>-3.00. 4.77</w:t>
            </w:r>
          </w:p>
        </w:tc>
      </w:tr>
      <w:tr>
        <w:trPr>
          <w:trHeight w:val="199" w:hRule="atLeast"/>
          <w:cantSplit w:val="true"/>
        </w:trPr>
        <w:tc>
          <w:tcPr>
            <w:tcW w:w="4491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Normal1"/>
              <w:spacing w:lineRule="auto" w:line="240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color w:val="000000"/>
                <w:sz w:val="20"/>
                <w:szCs w:val="20"/>
                <w:lang w:val="en-US"/>
              </w:rPr>
              <w:t>CTQ - Physical Abuse</w:t>
            </w:r>
          </w:p>
        </w:tc>
        <w:tc>
          <w:tcPr>
            <w:tcW w:w="1937" w:type="dxa"/>
            <w:tcBorders>
              <w:top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1"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  <w:t>8.08±4.46</w:t>
            </w:r>
          </w:p>
        </w:tc>
        <w:tc>
          <w:tcPr>
            <w:tcW w:w="211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Normal1"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  <w:t>8.14±4.24</w:t>
            </w:r>
          </w:p>
        </w:tc>
        <w:tc>
          <w:tcPr>
            <w:tcW w:w="1994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Normal1"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  <w:t>-0.038</w:t>
            </w:r>
          </w:p>
        </w:tc>
        <w:tc>
          <w:tcPr>
            <w:tcW w:w="672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Normal1"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  <w:t>0.970</w:t>
            </w:r>
          </w:p>
        </w:tc>
        <w:tc>
          <w:tcPr>
            <w:tcW w:w="188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Normal1"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  <w:t> </w:t>
            </w:r>
            <w:r>
              <w:rPr>
                <w:rFonts w:cs="Calibri" w:ascii="Calibri" w:hAnsi="Calibri"/>
                <w:sz w:val="20"/>
                <w:szCs w:val="20"/>
                <w:lang w:val="en-US"/>
              </w:rPr>
              <w:t>-0.014</w:t>
            </w:r>
          </w:p>
        </w:tc>
        <w:tc>
          <w:tcPr>
            <w:tcW w:w="1326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Normal1"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  <w:t>-2.85. 2.75</w:t>
            </w:r>
          </w:p>
        </w:tc>
      </w:tr>
      <w:tr>
        <w:trPr>
          <w:trHeight w:val="199" w:hRule="atLeast"/>
          <w:cantSplit w:val="true"/>
        </w:trPr>
        <w:tc>
          <w:tcPr>
            <w:tcW w:w="4491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Normal1"/>
              <w:spacing w:lineRule="auto" w:line="240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color w:val="000000"/>
                <w:sz w:val="20"/>
                <w:szCs w:val="20"/>
                <w:lang w:val="en-US"/>
              </w:rPr>
              <w:t>CTQ - Sexual Abuse</w:t>
            </w:r>
          </w:p>
        </w:tc>
        <w:tc>
          <w:tcPr>
            <w:tcW w:w="1937" w:type="dxa"/>
            <w:tcBorders>
              <w:top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1"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  <w:t>9.58±5.35</w:t>
            </w:r>
          </w:p>
        </w:tc>
        <w:tc>
          <w:tcPr>
            <w:tcW w:w="211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Normal1"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  <w:t>7.07±4.40</w:t>
            </w:r>
          </w:p>
        </w:tc>
        <w:tc>
          <w:tcPr>
            <w:tcW w:w="1994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Normal1"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  <w:t>1.675</w:t>
            </w:r>
          </w:p>
        </w:tc>
        <w:tc>
          <w:tcPr>
            <w:tcW w:w="672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Normal1"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  <w:t>0.100</w:t>
            </w:r>
          </w:p>
        </w:tc>
        <w:tc>
          <w:tcPr>
            <w:tcW w:w="188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Normal1"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  <w:t> </w:t>
            </w:r>
            <w:r>
              <w:rPr>
                <w:rFonts w:cs="Calibri" w:ascii="Calibri" w:hAnsi="Calibri"/>
                <w:sz w:val="20"/>
                <w:szCs w:val="20"/>
                <w:lang w:val="en-US"/>
              </w:rPr>
              <w:t>0.545</w:t>
            </w:r>
          </w:p>
        </w:tc>
        <w:tc>
          <w:tcPr>
            <w:tcW w:w="1326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Normal1"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  <w:t>-0.49. 5.53</w:t>
            </w:r>
          </w:p>
        </w:tc>
      </w:tr>
      <w:tr>
        <w:trPr>
          <w:trHeight w:val="199" w:hRule="atLeast"/>
          <w:cantSplit w:val="true"/>
        </w:trPr>
        <w:tc>
          <w:tcPr>
            <w:tcW w:w="4491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Normal1"/>
              <w:spacing w:lineRule="auto" w:line="240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color w:val="000000"/>
                <w:sz w:val="20"/>
                <w:szCs w:val="20"/>
                <w:lang w:val="en-US"/>
              </w:rPr>
              <w:t>CTQ - Emotional Neglect</w:t>
            </w:r>
          </w:p>
        </w:tc>
        <w:tc>
          <w:tcPr>
            <w:tcW w:w="1937" w:type="dxa"/>
            <w:tcBorders>
              <w:top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1"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  <w:t>14.50±6.20</w:t>
            </w:r>
          </w:p>
        </w:tc>
        <w:tc>
          <w:tcPr>
            <w:tcW w:w="211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Normal1"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  <w:t>14.16±4.69</w:t>
            </w:r>
          </w:p>
        </w:tc>
        <w:tc>
          <w:tcPr>
            <w:tcW w:w="1994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Normal1"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  <w:t>0.208</w:t>
            </w:r>
          </w:p>
        </w:tc>
        <w:tc>
          <w:tcPr>
            <w:tcW w:w="672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Normal1"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  <w:t>0.836</w:t>
            </w:r>
          </w:p>
        </w:tc>
        <w:tc>
          <w:tcPr>
            <w:tcW w:w="188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Normal1"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  <w:t> </w:t>
            </w:r>
            <w:r>
              <w:rPr>
                <w:rFonts w:cs="Calibri" w:ascii="Calibri" w:hAnsi="Calibri"/>
                <w:sz w:val="20"/>
                <w:szCs w:val="20"/>
                <w:lang w:val="en-US"/>
              </w:rPr>
              <w:t>0.068</w:t>
            </w:r>
          </w:p>
        </w:tc>
        <w:tc>
          <w:tcPr>
            <w:tcW w:w="1326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Normal1"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  <w:t>-2.94. 3.63</w:t>
            </w:r>
          </w:p>
        </w:tc>
      </w:tr>
      <w:tr>
        <w:trPr>
          <w:trHeight w:val="199" w:hRule="atLeast"/>
          <w:cantSplit w:val="true"/>
        </w:trPr>
        <w:tc>
          <w:tcPr>
            <w:tcW w:w="4491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Normal1"/>
              <w:spacing w:lineRule="auto" w:line="240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color w:val="000000"/>
                <w:sz w:val="20"/>
                <w:szCs w:val="20"/>
                <w:lang w:val="en-US"/>
              </w:rPr>
              <w:t>CTQ - Physical Neglect</w:t>
            </w:r>
          </w:p>
        </w:tc>
        <w:tc>
          <w:tcPr>
            <w:tcW w:w="1937" w:type="dxa"/>
            <w:tcBorders>
              <w:top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1"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  <w:t>8.08±4.29</w:t>
            </w:r>
          </w:p>
        </w:tc>
        <w:tc>
          <w:tcPr>
            <w:tcW w:w="211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Normal1"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  <w:t>8.45±3.64</w:t>
            </w:r>
          </w:p>
        </w:tc>
        <w:tc>
          <w:tcPr>
            <w:tcW w:w="1994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Normal1"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  <w:t>-0.301</w:t>
            </w:r>
          </w:p>
        </w:tc>
        <w:tc>
          <w:tcPr>
            <w:tcW w:w="672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Normal1"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  <w:t>0.764</w:t>
            </w:r>
          </w:p>
        </w:tc>
        <w:tc>
          <w:tcPr>
            <w:tcW w:w="188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Normal1"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  <w:t> </w:t>
            </w:r>
            <w:r>
              <w:rPr>
                <w:rFonts w:cs="Calibri" w:ascii="Calibri" w:hAnsi="Calibri"/>
                <w:sz w:val="20"/>
                <w:szCs w:val="20"/>
                <w:lang w:val="en-US"/>
              </w:rPr>
              <w:t>-0.098</w:t>
            </w:r>
          </w:p>
        </w:tc>
        <w:tc>
          <w:tcPr>
            <w:tcW w:w="1326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Normal1"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  <w:t>-2.84. 2.10</w:t>
            </w:r>
          </w:p>
        </w:tc>
      </w:tr>
      <w:tr>
        <w:trPr>
          <w:trHeight w:val="199" w:hRule="atLeast"/>
          <w:cantSplit w:val="true"/>
        </w:trPr>
        <w:tc>
          <w:tcPr>
            <w:tcW w:w="4491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Normal1"/>
              <w:spacing w:lineRule="auto" w:line="240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color w:val="000000"/>
                <w:sz w:val="20"/>
                <w:szCs w:val="20"/>
                <w:lang w:val="en-US"/>
              </w:rPr>
              <w:t>CTQ - Total</w:t>
            </w:r>
          </w:p>
        </w:tc>
        <w:tc>
          <w:tcPr>
            <w:tcW w:w="1937" w:type="dxa"/>
            <w:tcBorders>
              <w:top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1"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  <w:t>56.25±18.53</w:t>
            </w:r>
          </w:p>
        </w:tc>
        <w:tc>
          <w:tcPr>
            <w:tcW w:w="211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Normal1"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  <w:t>52.93±16.53</w:t>
            </w:r>
          </w:p>
        </w:tc>
        <w:tc>
          <w:tcPr>
            <w:tcW w:w="1994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Normal1"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  <w:t>0.601</w:t>
            </w:r>
          </w:p>
        </w:tc>
        <w:tc>
          <w:tcPr>
            <w:tcW w:w="672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Normal1"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  <w:t>0.551</w:t>
            </w:r>
          </w:p>
        </w:tc>
        <w:tc>
          <w:tcPr>
            <w:tcW w:w="188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Normal1"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  <w:t> </w:t>
            </w:r>
            <w:r>
              <w:rPr>
                <w:rFonts w:cs="Calibri" w:ascii="Calibri" w:hAnsi="Calibri"/>
                <w:sz w:val="20"/>
                <w:szCs w:val="20"/>
                <w:lang w:val="en-US"/>
              </w:rPr>
              <w:t>0.196</w:t>
            </w:r>
          </w:p>
        </w:tc>
        <w:tc>
          <w:tcPr>
            <w:tcW w:w="1326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Normal1"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  <w:t>-7.76. 14.39</w:t>
            </w:r>
          </w:p>
        </w:tc>
      </w:tr>
      <w:tr>
        <w:trPr>
          <w:trHeight w:val="199" w:hRule="atLeast"/>
          <w:cantSplit w:val="true"/>
        </w:trPr>
        <w:tc>
          <w:tcPr>
            <w:tcW w:w="4491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Normal1"/>
              <w:spacing w:lineRule="auto" w:line="240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color w:val="000000"/>
                <w:sz w:val="20"/>
                <w:szCs w:val="20"/>
                <w:lang w:val="en-US"/>
              </w:rPr>
              <w:t>CTQ - Total Abuse</w:t>
            </w:r>
          </w:p>
        </w:tc>
        <w:tc>
          <w:tcPr>
            <w:tcW w:w="1937" w:type="dxa"/>
            <w:tcBorders>
              <w:top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1"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  <w:t>33.67±11.21</w:t>
            </w:r>
          </w:p>
        </w:tc>
        <w:tc>
          <w:tcPr>
            <w:tcW w:w="211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Normal1"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  <w:t>30.32±10.71</w:t>
            </w:r>
          </w:p>
        </w:tc>
        <w:tc>
          <w:tcPr>
            <w:tcW w:w="1994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Normal1"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  <w:t>0.951</w:t>
            </w:r>
          </w:p>
        </w:tc>
        <w:tc>
          <w:tcPr>
            <w:tcW w:w="672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Normal1"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  <w:t>0.346</w:t>
            </w:r>
          </w:p>
        </w:tc>
        <w:tc>
          <w:tcPr>
            <w:tcW w:w="188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Normal1"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  <w:t> </w:t>
            </w:r>
            <w:r>
              <w:rPr>
                <w:rFonts w:cs="Calibri" w:ascii="Calibri" w:hAnsi="Calibri"/>
                <w:sz w:val="20"/>
                <w:szCs w:val="20"/>
                <w:lang w:val="en-US"/>
              </w:rPr>
              <w:t>0.310</w:t>
            </w:r>
          </w:p>
        </w:tc>
        <w:tc>
          <w:tcPr>
            <w:tcW w:w="1326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Normal1"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  <w:t>-3.71. 10.41</w:t>
            </w:r>
          </w:p>
        </w:tc>
      </w:tr>
      <w:tr>
        <w:trPr>
          <w:trHeight w:val="199" w:hRule="atLeast"/>
          <w:cantSplit w:val="true"/>
        </w:trPr>
        <w:tc>
          <w:tcPr>
            <w:tcW w:w="4491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Normal1"/>
              <w:spacing w:lineRule="auto" w:line="240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color w:val="000000"/>
                <w:sz w:val="20"/>
                <w:szCs w:val="20"/>
                <w:lang w:val="en-US"/>
              </w:rPr>
              <w:t>CTQ - Total Neglect</w:t>
            </w:r>
          </w:p>
        </w:tc>
        <w:tc>
          <w:tcPr>
            <w:tcW w:w="1937" w:type="dxa"/>
            <w:tcBorders>
              <w:top w:val="single" w:sz="6" w:space="0" w:color="000000"/>
              <w:bottom w:val="single" w:sz="6" w:space="0" w:color="000000"/>
            </w:tcBorders>
            <w:vAlign w:val="bottom"/>
          </w:tcPr>
          <w:p>
            <w:pPr>
              <w:pStyle w:val="Normal1"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  <w:t>22.58±9.68</w:t>
            </w:r>
          </w:p>
        </w:tc>
        <w:tc>
          <w:tcPr>
            <w:tcW w:w="211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Normal1"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  <w:t>22.61±7.57</w:t>
            </w:r>
          </w:p>
        </w:tc>
        <w:tc>
          <w:tcPr>
            <w:tcW w:w="1994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Normal1"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  <w:t>-0.012</w:t>
            </w:r>
          </w:p>
        </w:tc>
        <w:tc>
          <w:tcPr>
            <w:tcW w:w="672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Normal1"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  <w:t>0.991</w:t>
            </w:r>
          </w:p>
        </w:tc>
        <w:tc>
          <w:tcPr>
            <w:tcW w:w="188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Normal1"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  <w:t> </w:t>
            </w:r>
            <w:r>
              <w:rPr>
                <w:rFonts w:cs="Calibri" w:ascii="Calibri" w:hAnsi="Calibri"/>
                <w:sz w:val="20"/>
                <w:szCs w:val="20"/>
                <w:lang w:val="en-US"/>
              </w:rPr>
              <w:t>-0.004</w:t>
            </w:r>
          </w:p>
        </w:tc>
        <w:tc>
          <w:tcPr>
            <w:tcW w:w="1326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Normal1"/>
              <w:spacing w:lineRule="auto" w:lin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="Calibri" w:ascii="Calibri" w:hAnsi="Calibri"/>
                <w:sz w:val="20"/>
                <w:szCs w:val="20"/>
                <w:lang w:val="en-US"/>
              </w:rPr>
              <w:t>-5.28. 5.22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1"/>
        <w:rPr>
          <w:sz w:val="18"/>
          <w:szCs w:val="18"/>
          <w:lang w:val="en-US"/>
        </w:rPr>
      </w:pPr>
      <w:bookmarkStart w:id="1" w:name="_Hlk216789336"/>
      <w:r>
        <w:rPr>
          <w:rFonts w:cs="Calibri" w:ascii="Calibri" w:hAnsi="Calibri" w:cstheme="minorHAnsi"/>
          <w:b/>
          <w:bCs/>
          <w:sz w:val="18"/>
          <w:szCs w:val="18"/>
          <w:lang w:val="en-US"/>
        </w:rPr>
        <w:t xml:space="preserve">ADHD: </w:t>
      </w:r>
      <w:r>
        <w:rPr>
          <w:rFonts w:cs="Calibri" w:ascii="Calibri" w:hAnsi="Calibri" w:cstheme="minorHAnsi"/>
          <w:sz w:val="18"/>
          <w:szCs w:val="18"/>
          <w:lang w:val="en-US"/>
        </w:rPr>
        <w:t xml:space="preserve">Attention Deficit/Hyperactivity Disorder; </w:t>
      </w:r>
      <w:r>
        <w:rPr>
          <w:rFonts w:cs="Calibri" w:ascii="Calibri" w:hAnsi="Calibri" w:asciiTheme="minorHAnsi" w:cstheme="minorHAnsi" w:hAnsiTheme="minorHAnsi"/>
          <w:b/>
          <w:sz w:val="18"/>
          <w:szCs w:val="18"/>
          <w:lang w:val="en-US"/>
        </w:rPr>
        <w:t xml:space="preserve">ISAS: </w:t>
      </w:r>
      <w:r>
        <w:rPr>
          <w:rFonts w:cs="Calibri" w:ascii="Calibri" w:hAnsi="Calibri" w:asciiTheme="minorHAnsi" w:cstheme="minorHAnsi" w:hAnsiTheme="minorHAnsi"/>
          <w:sz w:val="18"/>
          <w:szCs w:val="18"/>
          <w:lang w:val="en-US"/>
        </w:rPr>
        <w:t xml:space="preserve">Inventory of Statements about Self-Injury; </w:t>
      </w:r>
      <w:r>
        <w:rPr>
          <w:rFonts w:cs="Calibri" w:ascii="Calibri" w:hAnsi="Calibri" w:asciiTheme="minorHAnsi" w:cstheme="minorHAnsi" w:hAnsiTheme="minorHAnsi"/>
          <w:b/>
          <w:sz w:val="18"/>
          <w:szCs w:val="18"/>
          <w:lang w:val="en-US"/>
        </w:rPr>
        <w:t xml:space="preserve"> DERS: </w:t>
      </w:r>
      <w:r>
        <w:rPr>
          <w:rFonts w:cs="Calibri" w:ascii="Calibri" w:hAnsi="Calibri" w:asciiTheme="minorHAnsi" w:cstheme="minorHAnsi" w:hAnsiTheme="minorHAnsi"/>
          <w:sz w:val="18"/>
          <w:szCs w:val="18"/>
          <w:lang w:val="en-US"/>
        </w:rPr>
        <w:t xml:space="preserve">Difficulties in Emotion Regulation Scale; </w:t>
      </w:r>
      <w:r>
        <w:rPr>
          <w:rFonts w:cs="Calibri" w:ascii="Calibri" w:hAnsi="Calibri" w:asciiTheme="minorHAnsi" w:cstheme="minorHAnsi" w:hAnsiTheme="minorHAnsi"/>
          <w:b/>
          <w:sz w:val="18"/>
          <w:szCs w:val="18"/>
          <w:lang w:val="en-US"/>
        </w:rPr>
        <w:t xml:space="preserve">PID-5-SF: </w:t>
      </w:r>
      <w:r>
        <w:rPr>
          <w:rFonts w:cs="Calibri" w:ascii="Calibri" w:hAnsi="Calibri" w:asciiTheme="minorHAnsi" w:cstheme="minorHAnsi" w:hAnsiTheme="minorHAnsi"/>
          <w:sz w:val="18"/>
          <w:szCs w:val="18"/>
          <w:lang w:val="en-US"/>
        </w:rPr>
        <w:t>Personality invent</w:t>
      </w:r>
      <w:r>
        <w:rPr>
          <w:rFonts w:cs="Calibri" w:ascii="Calibri" w:hAnsi="Calibri"/>
          <w:sz w:val="18"/>
          <w:szCs w:val="18"/>
          <w:lang w:val="en-US"/>
        </w:rPr>
        <w:t xml:space="preserve">ory for DSM-5- Short Form; </w:t>
      </w:r>
      <w:r>
        <w:rPr>
          <w:rFonts w:cs="Calibri" w:ascii="Calibri" w:hAnsi="Calibri"/>
          <w:b/>
          <w:sz w:val="18"/>
          <w:szCs w:val="18"/>
          <w:lang w:val="en-US"/>
        </w:rPr>
        <w:t xml:space="preserve"> BPFSC-11</w:t>
      </w:r>
      <w:r>
        <w:rPr>
          <w:rFonts w:cs="Calibri" w:ascii="Calibri" w:hAnsi="Calibri"/>
          <w:sz w:val="18"/>
          <w:szCs w:val="18"/>
          <w:lang w:val="en-US"/>
        </w:rPr>
        <w:t>: Borderline Personality Features Scale for Children;</w:t>
      </w:r>
      <w:r>
        <w:rPr>
          <w:rFonts w:cs="Calibri" w:ascii="Calibri" w:hAnsi="Calibri"/>
          <w:b/>
          <w:bCs/>
          <w:sz w:val="18"/>
          <w:szCs w:val="18"/>
          <w:lang w:val="en-US"/>
        </w:rPr>
        <w:t xml:space="preserve"> BPS: </w:t>
      </w:r>
      <w:r>
        <w:rPr>
          <w:rFonts w:cs="Calibri" w:ascii="Calibri" w:hAnsi="Calibri"/>
          <w:sz w:val="18"/>
          <w:szCs w:val="18"/>
          <w:lang w:val="en-US"/>
        </w:rPr>
        <w:t>ICD-11 Borderline Pattern Scale;</w:t>
      </w:r>
      <w:r>
        <w:rPr>
          <w:rFonts w:cs="Calibri" w:ascii="Calibri" w:hAnsi="Calibri"/>
          <w:b/>
          <w:bCs/>
          <w:sz w:val="18"/>
          <w:szCs w:val="18"/>
          <w:lang w:val="en-US"/>
        </w:rPr>
        <w:t xml:space="preserve"> </w:t>
      </w:r>
      <w:r>
        <w:rPr>
          <w:rFonts w:cs="Calibri" w:ascii="Calibri" w:hAnsi="Calibri"/>
          <w:b/>
          <w:sz w:val="18"/>
          <w:szCs w:val="18"/>
          <w:lang w:val="en-US"/>
        </w:rPr>
        <w:t xml:space="preserve">SR: </w:t>
      </w:r>
      <w:r>
        <w:rPr>
          <w:rFonts w:cs="Calibri" w:ascii="Calibri" w:hAnsi="Calibri"/>
          <w:sz w:val="18"/>
          <w:szCs w:val="18"/>
          <w:lang w:val="en-US"/>
        </w:rPr>
        <w:t xml:space="preserve">Risk of Suicide; </w:t>
      </w:r>
      <w:r>
        <w:rPr>
          <w:rFonts w:cs="Calibri" w:ascii="Calibri" w:hAnsi="Calibri"/>
          <w:b/>
          <w:sz w:val="18"/>
          <w:szCs w:val="18"/>
          <w:lang w:val="en-US"/>
        </w:rPr>
        <w:t xml:space="preserve"> CTQ</w:t>
      </w:r>
      <w:r>
        <w:rPr>
          <w:rFonts w:cs="Calibri" w:ascii="Calibri" w:hAnsi="Calibri"/>
          <w:sz w:val="18"/>
          <w:szCs w:val="18"/>
          <w:lang w:val="en-US"/>
        </w:rPr>
        <w:t>: Childhood Trauma Questionnaire;</w:t>
      </w:r>
      <w:r>
        <w:rPr>
          <w:rFonts w:cs="Calibri" w:ascii="Calibri" w:hAnsi="Calibri"/>
          <w:b/>
          <w:sz w:val="18"/>
          <w:szCs w:val="18"/>
          <w:lang w:val="en-US"/>
        </w:rPr>
        <w:t xml:space="preserve"> BDI-II: </w:t>
      </w:r>
      <w:r>
        <w:rPr>
          <w:rFonts w:cs="Calibri" w:ascii="Calibri" w:hAnsi="Calibri"/>
          <w:sz w:val="18"/>
          <w:szCs w:val="18"/>
          <w:lang w:val="en-US"/>
        </w:rPr>
        <w:t>Beck Depression Inventory-Second Edition</w:t>
      </w:r>
      <w:r>
        <w:rPr>
          <w:rFonts w:cs="Calibri" w:ascii="Calibri" w:hAnsi="Calibri"/>
          <w:b/>
          <w:sz w:val="18"/>
          <w:szCs w:val="18"/>
          <w:lang w:val="en-US"/>
        </w:rPr>
        <w:t xml:space="preserve">; STAI: </w:t>
      </w:r>
      <w:r>
        <w:rPr>
          <w:rFonts w:cs="Calibri" w:ascii="Calibri" w:hAnsi="Calibri"/>
          <w:sz w:val="18"/>
          <w:szCs w:val="18"/>
          <w:lang w:val="en-US"/>
        </w:rPr>
        <w:t>State-Trait Anxiety Inventory</w:t>
      </w:r>
      <w:r>
        <w:rPr>
          <w:rFonts w:cs="Calibri" w:ascii="Calibri" w:hAnsi="Calibri"/>
          <w:b/>
          <w:sz w:val="18"/>
          <w:szCs w:val="18"/>
          <w:lang w:val="en-US"/>
        </w:rPr>
        <w:t>; BIS-11</w:t>
      </w:r>
      <w:r>
        <w:rPr>
          <w:rFonts w:cs="Calibri" w:ascii="Calibri" w:hAnsi="Calibri"/>
          <w:sz w:val="18"/>
          <w:szCs w:val="18"/>
          <w:lang w:val="en-US"/>
        </w:rPr>
        <w:t xml:space="preserve">: Barratt Impulsiveness Scale; </w:t>
      </w:r>
      <w:r>
        <w:rPr>
          <w:rFonts w:cs="Calibri" w:ascii="Calibri" w:hAnsi="Calibri"/>
          <w:b/>
          <w:sz w:val="18"/>
          <w:szCs w:val="18"/>
          <w:lang w:val="en-US"/>
        </w:rPr>
        <w:t xml:space="preserve"> FAST: </w:t>
      </w:r>
      <w:r>
        <w:rPr>
          <w:rFonts w:cs="Calibri" w:ascii="Calibri" w:hAnsi="Calibri"/>
          <w:sz w:val="18"/>
          <w:szCs w:val="18"/>
          <w:lang w:val="en-US"/>
        </w:rPr>
        <w:t xml:space="preserve">Functioning Assessment Short Test. </w:t>
      </w:r>
      <w:bookmarkEnd w:id="1"/>
    </w:p>
    <w:sectPr>
      <w:type w:val="nextPage"/>
      <w:pgSz w:orient="landscape" w:w="16838" w:h="11906"/>
      <w:pgMar w:left="1417" w:right="1417" w:gutter="0" w:header="0" w:top="1701" w:footer="0" w:bottom="1701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Calibri">
    <w:charset w:val="00"/>
    <w:family w:val="swiss"/>
    <w:pitch w:val="variable"/>
  </w:font>
  <w:font w:name="Tahoma">
    <w:charset w:val="00"/>
    <w:family w:val="swiss"/>
    <w:pitch w:val="variable"/>
  </w:font>
  <w:font w:name="Liberation Sans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es-ES" w:eastAsia="" w:bidi=""/>
  <w:docVars>
    <w:docVar w:name="__Grammarly_42____i" w:val="H4sIAAAAAAAEAKtWckksSQxILCpxzi/NK1GyMqwFAAEhoTITAAAA"/>
    <w:docVar w:name="__Grammarly_42___1" w:val="H4sIAAAAAAAEAKtWcslP9kxRslIyNDY2MzIwNze3MDYyNLEwMDdV0lEKTi0uzszPAykwrAUAhv8efiwAAAA="/>
  </w:docVars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s-E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next w:val="Normal1"/>
    <w:autoRedefine/>
    <w:qFormat/>
    <w:rsid w:val="005a57e0"/>
    <w:pPr>
      <w:widowControl/>
      <w:bidi w:val="0"/>
      <w:spacing w:lineRule="auto" w:line="240" w:before="0" w:after="0"/>
      <w:jc w:val="left"/>
    </w:pPr>
    <w:rPr>
      <w:rFonts w:ascii="Calibri" w:hAnsi="Calibri" w:eastAsia="Calibri" w:cs="Calibri"/>
      <w:b/>
      <w:color w:val="000000"/>
      <w:kern w:val="0"/>
      <w:position w:val="-1"/>
      <w:sz w:val="20"/>
      <w:szCs w:val="20"/>
      <w:lang w:val="en-US" w:eastAsia="es-E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ommentReference">
    <w:name w:val="annotation reference"/>
    <w:basedOn w:val="DefaultParagraphFont"/>
    <w:uiPriority w:val="99"/>
    <w:semiHidden/>
    <w:unhideWhenUsed/>
    <w:qFormat/>
    <w:rsid w:val="00c35581"/>
    <w:rPr>
      <w:sz w:val="16"/>
      <w:szCs w:val="16"/>
    </w:rPr>
  </w:style>
  <w:style w:type="character" w:styleId="TextdecomentariCar" w:customStyle="1">
    <w:name w:val="Text de comentari Car"/>
    <w:basedOn w:val="DefaultParagraphFont"/>
    <w:uiPriority w:val="99"/>
    <w:qFormat/>
    <w:rsid w:val="00c35581"/>
    <w:rPr>
      <w:rFonts w:ascii="Calibri" w:hAnsi="Calibri" w:eastAsia="Times New Roman" w:cs="Calibri"/>
      <w:bCs/>
      <w:color w:val="000000"/>
      <w:sz w:val="20"/>
      <w:szCs w:val="20"/>
      <w:vertAlign w:val="subscript"/>
      <w:lang w:val="en-US" w:eastAsia="en-GB"/>
    </w:rPr>
  </w:style>
  <w:style w:type="character" w:styleId="TemadelcomentariCar" w:customStyle="1">
    <w:name w:val="Tema del comentari Car"/>
    <w:basedOn w:val="TextdecomentariCar"/>
    <w:link w:val="annotationsubject"/>
    <w:uiPriority w:val="99"/>
    <w:semiHidden/>
    <w:qFormat/>
    <w:rsid w:val="00c35581"/>
    <w:rPr>
      <w:rFonts w:ascii="Calibri" w:hAnsi="Calibri" w:eastAsia="Times New Roman" w:cs="Calibri"/>
      <w:b/>
      <w:bCs/>
      <w:color w:val="000000"/>
      <w:sz w:val="20"/>
      <w:szCs w:val="20"/>
      <w:vertAlign w:val="subscript"/>
      <w:lang w:val="en-US" w:eastAsia="en-GB"/>
    </w:rPr>
  </w:style>
  <w:style w:type="character" w:styleId="TextdeglobusCar" w:customStyle="1">
    <w:name w:val="Text de globus Car"/>
    <w:basedOn w:val="DefaultParagraphFont"/>
    <w:link w:val="BalloonText"/>
    <w:uiPriority w:val="99"/>
    <w:semiHidden/>
    <w:qFormat/>
    <w:rsid w:val="00c35581"/>
    <w:rPr>
      <w:rFonts w:ascii="Tahoma" w:hAnsi="Tahoma" w:eastAsia="Times New Roman" w:cs="Tahoma"/>
      <w:bCs/>
      <w:color w:val="000000"/>
      <w:sz w:val="16"/>
      <w:szCs w:val="16"/>
      <w:vertAlign w:val="subscript"/>
      <w:lang w:val="en-US" w:eastAsia="en-GB"/>
    </w:rPr>
  </w:style>
  <w:style w:type="paragraph" w:styleId="Encapalament">
    <w:name w:val="Encapçalament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ex">
    <w:name w:val="Índex"/>
    <w:basedOn w:val="Normal"/>
    <w:qFormat/>
    <w:pPr>
      <w:suppressLineNumbers/>
    </w:pPr>
    <w:rPr>
      <w:rFonts w:cs="Lucida Sans"/>
    </w:rPr>
  </w:style>
  <w:style w:type="paragraph" w:styleId="Normal1" w:customStyle="1">
    <w:name w:val="Normal1"/>
    <w:qFormat/>
    <w:rsid w:val="004040e0"/>
    <w:pPr>
      <w:widowControl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eastAsia="en-GB" w:val="es-ES" w:bidi="ar-SA"/>
    </w:rPr>
  </w:style>
  <w:style w:type="paragraph" w:styleId="CommentText">
    <w:name w:val="annotation text"/>
    <w:basedOn w:val="Normal"/>
    <w:link w:val="TextdecomentariCar"/>
    <w:uiPriority w:val="99"/>
    <w:unhideWhenUsed/>
    <w:rsid w:val="00c35581"/>
    <w:pPr/>
    <w:rPr/>
  </w:style>
  <w:style w:type="paragraph" w:styleId="annotationsubject">
    <w:name w:val="annotation subject"/>
    <w:basedOn w:val="CommentText"/>
    <w:next w:val="CommentText"/>
    <w:link w:val="TemadelcomentariCar"/>
    <w:uiPriority w:val="99"/>
    <w:semiHidden/>
    <w:unhideWhenUsed/>
    <w:qFormat/>
    <w:rsid w:val="00c35581"/>
    <w:pPr/>
    <w:rPr>
      <w:b w:val="false"/>
    </w:rPr>
  </w:style>
  <w:style w:type="paragraph" w:styleId="BalloonText">
    <w:name w:val="Balloon Text"/>
    <w:basedOn w:val="Normal"/>
    <w:link w:val="TextdeglobusCar"/>
    <w:uiPriority w:val="99"/>
    <w:semiHidden/>
    <w:unhideWhenUsed/>
    <w:qFormat/>
    <w:rsid w:val="00c35581"/>
    <w:pPr/>
    <w:rPr>
      <w:rFonts w:ascii="Tahoma" w:hAnsi="Tahoma" w:cs="Tahoma"/>
      <w:sz w:val="16"/>
      <w:szCs w:val="16"/>
    </w:rPr>
  </w:style>
  <w:style w:type="numbering" w:styleId="Capllista" w:default="1">
    <w:name w:val="Cap llista"/>
    <w:uiPriority w:val="99"/>
    <w:semiHidden/>
    <w:unhideWhenUsed/>
    <w:qFormat/>
  </w:style>
  <w:style w:type="table" w:default="1" w:styleId="Tau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LibreOffice/25.2.2.1$Windows_X86_64 LibreOffice_project/38d746d66d9b82fa248a2e90142b9dd3ddd1d6cd</Application>
  <AppVersion>15.0000</AppVersion>
  <Pages>4</Pages>
  <Words>599</Words>
  <Characters>3716</Characters>
  <CharactersWithSpaces>3997</CharactersWithSpaces>
  <Paragraphs>349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2025-12-18T08:10:00Z</dcterms:created>
  <dc:creator>SAMORETTI</dc:creator>
  <dc:description/>
  <dc:language>ca-ES</dc:language>
  <cp:lastModifiedBy/>
  <cp:lastPrinted>2025-12-18T08:10:00Z</cp:lastPrinted>
  <dcterms:modified xsi:type="dcterms:W3CDTF">2026-07-21T09:32:17Z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c36b8ed6468029552537bfe525b77000fd4f19d3bb9704d241d8e44ec9b0157d</vt:lpwstr>
  </property>
</Properties>
</file>