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0D4B9D" w14:textId="59537F68" w:rsidR="00C5663D" w:rsidRPr="00C5663D" w:rsidRDefault="00C5663D" w:rsidP="00C5663D">
      <w:pPr>
        <w:suppressAutoHyphens w:val="0"/>
        <w:spacing w:before="156" w:after="120"/>
        <w:ind w:firstLineChars="0" w:firstLine="643"/>
        <w:jc w:val="center"/>
        <w:rPr>
          <w:rFonts w:eastAsia="宋体" w:cs="Times New Roman"/>
          <w:b/>
          <w:bCs/>
          <w:color w:val="000000"/>
          <w:kern w:val="0"/>
          <w:sz w:val="32"/>
          <w:szCs w:val="32"/>
          <w:lang w:val="en"/>
          <w14:ligatures w14:val="none"/>
        </w:rPr>
      </w:pPr>
      <w:r w:rsidRPr="00C5663D">
        <w:rPr>
          <w:rFonts w:eastAsia="宋体" w:cs="Times New Roman"/>
          <w:b/>
          <w:bCs/>
          <w:color w:val="000000"/>
          <w:kern w:val="0"/>
          <w:sz w:val="32"/>
          <w:szCs w:val="32"/>
          <w:lang w:val="en"/>
          <w14:ligatures w14:val="none"/>
        </w:rPr>
        <w:t>Complex trade-offs across co-designed narratives of Australian land</w:t>
      </w:r>
      <w:r w:rsidR="006E562B">
        <w:rPr>
          <w:rFonts w:eastAsia="宋体" w:cs="Times New Roman" w:hint="eastAsia"/>
          <w:b/>
          <w:bCs/>
          <w:color w:val="000000"/>
          <w:kern w:val="0"/>
          <w:sz w:val="32"/>
          <w:szCs w:val="32"/>
          <w:lang w:val="en"/>
          <w14:ligatures w14:val="none"/>
        </w:rPr>
        <w:t xml:space="preserve"> </w:t>
      </w:r>
      <w:r w:rsidRPr="00C5663D">
        <w:rPr>
          <w:rFonts w:eastAsia="宋体" w:cs="Times New Roman"/>
          <w:b/>
          <w:bCs/>
          <w:color w:val="000000"/>
          <w:kern w:val="0"/>
          <w:sz w:val="32"/>
          <w:szCs w:val="32"/>
          <w:lang w:val="en"/>
          <w14:ligatures w14:val="none"/>
        </w:rPr>
        <w:t>system futures</w:t>
      </w:r>
    </w:p>
    <w:p w14:paraId="0BFDC6B3" w14:textId="14DC3D3D" w:rsidR="00172691" w:rsidRDefault="00172691" w:rsidP="00172691">
      <w:pPr>
        <w:spacing w:before="120" w:after="120"/>
        <w:ind w:firstLineChars="0" w:firstLine="0"/>
        <w:jc w:val="left"/>
        <w:rPr>
          <w:rFonts w:eastAsia="宋体" w:cs="Times New Roman"/>
          <w:szCs w:val="28"/>
        </w:rPr>
      </w:pPr>
      <w:r>
        <w:t>Xinhao Pan</w:t>
      </w:r>
      <w:r>
        <w:rPr>
          <w:vertAlign w:val="superscript"/>
        </w:rPr>
        <w:t>1, *</w:t>
      </w:r>
      <w:r>
        <w:t>, Jinzhu Wang</w:t>
      </w:r>
      <w:r>
        <w:rPr>
          <w:vertAlign w:val="superscript"/>
        </w:rPr>
        <w:t>1</w:t>
      </w:r>
      <w:r>
        <w:t>, Michalis Hadjikakou</w:t>
      </w:r>
      <w:r>
        <w:rPr>
          <w:vertAlign w:val="superscript"/>
        </w:rPr>
        <w:t>1</w:t>
      </w:r>
      <w:r>
        <w:t>, Carla L. Archibald</w:t>
      </w:r>
      <w:r>
        <w:rPr>
          <w:vertAlign w:val="superscript"/>
        </w:rPr>
        <w:t>1</w:t>
      </w:r>
      <w:r>
        <w:t>, Katherine Wynn</w:t>
      </w:r>
      <w:r>
        <w:rPr>
          <w:vertAlign w:val="superscript"/>
        </w:rPr>
        <w:t>2</w:t>
      </w:r>
      <w:r>
        <w:t>, Rose Roche</w:t>
      </w:r>
      <w:r>
        <w:rPr>
          <w:vertAlign w:val="superscript"/>
        </w:rPr>
        <w:t>3</w:t>
      </w:r>
      <w:r>
        <w:t>, Marni Williams</w:t>
      </w:r>
      <w:r>
        <w:rPr>
          <w:vertAlign w:val="superscript"/>
        </w:rPr>
        <w:t>3</w:t>
      </w:r>
      <w:r>
        <w:t>, Jo Sanson</w:t>
      </w:r>
      <w:r w:rsidRPr="008F368B">
        <w:rPr>
          <w:vertAlign w:val="superscript"/>
        </w:rPr>
        <w:t>4</w:t>
      </w:r>
      <w:r>
        <w:t>, Patrick Jaffe</w:t>
      </w:r>
      <w:r w:rsidRPr="008F368B">
        <w:rPr>
          <w:vertAlign w:val="superscript"/>
        </w:rPr>
        <w:t>4</w:t>
      </w:r>
      <w:r>
        <w:t>, Brett A. Bryan</w:t>
      </w:r>
      <w:r w:rsidRPr="008F368B">
        <w:rPr>
          <w:vertAlign w:val="superscript"/>
        </w:rPr>
        <w:t>1</w:t>
      </w:r>
    </w:p>
    <w:p w14:paraId="21BC67FE" w14:textId="77777777" w:rsidR="00172691" w:rsidRDefault="00172691" w:rsidP="00172691">
      <w:pPr>
        <w:spacing w:before="120" w:after="156"/>
        <w:ind w:firstLineChars="0" w:firstLine="0"/>
        <w:jc w:val="left"/>
        <w:rPr>
          <w:rFonts w:eastAsia="宋体" w:cs="Arial (Body CS)"/>
          <w:szCs w:val="28"/>
        </w:rPr>
      </w:pPr>
      <w:r>
        <w:rPr>
          <w:rFonts w:eastAsia="宋体" w:cs="Arial (Body CS)" w:hint="eastAsia"/>
          <w:szCs w:val="28"/>
        </w:rPr>
        <w:t xml:space="preserve">1 </w:t>
      </w:r>
      <w:r>
        <w:rPr>
          <w:rFonts w:eastAsia="宋体" w:cs="Arial (Body CS)"/>
          <w:szCs w:val="28"/>
        </w:rPr>
        <w:t>School of Life &amp; Environmental Sciences, Deakin University, Burwood, VIC</w:t>
      </w:r>
      <w:r>
        <w:rPr>
          <w:rFonts w:eastAsia="宋体" w:cs="Arial (Body CS)" w:hint="eastAsia"/>
          <w:szCs w:val="28"/>
        </w:rPr>
        <w:t xml:space="preserve"> </w:t>
      </w:r>
      <w:r>
        <w:t>3125</w:t>
      </w:r>
      <w:r>
        <w:rPr>
          <w:rFonts w:eastAsia="宋体" w:cs="Arial (Body CS)"/>
          <w:szCs w:val="28"/>
        </w:rPr>
        <w:t>, Australia</w:t>
      </w:r>
    </w:p>
    <w:p w14:paraId="53EE4022" w14:textId="77777777" w:rsidR="00172691" w:rsidRDefault="00172691" w:rsidP="00172691">
      <w:pPr>
        <w:spacing w:before="120" w:after="156"/>
        <w:ind w:firstLineChars="0" w:firstLine="0"/>
        <w:jc w:val="left"/>
      </w:pPr>
      <w:r>
        <w:t xml:space="preserve">2 Commonwealth Scientific and Industrial Research Organisation (CSIRO), Parkville, VIC 3052, Australia </w:t>
      </w:r>
    </w:p>
    <w:p w14:paraId="761F2F6A" w14:textId="77777777" w:rsidR="00172691" w:rsidRDefault="00172691" w:rsidP="00172691">
      <w:pPr>
        <w:spacing w:before="156" w:after="156"/>
        <w:ind w:firstLineChars="0" w:firstLine="0"/>
        <w:jc w:val="left"/>
        <w:rPr>
          <w:rFonts w:eastAsia="宋体" w:cs="Arial (Body CS)"/>
          <w:szCs w:val="28"/>
        </w:rPr>
      </w:pPr>
      <w:r>
        <w:t xml:space="preserve">3 CSIRO Agriculture and Food, Black Mountain, ACT 2601, Australia </w:t>
      </w:r>
    </w:p>
    <w:p w14:paraId="256AF842" w14:textId="77777777" w:rsidR="00172691" w:rsidRDefault="00172691" w:rsidP="00172691">
      <w:pPr>
        <w:spacing w:before="156" w:after="156"/>
        <w:ind w:firstLineChars="0" w:firstLine="0"/>
        <w:jc w:val="left"/>
        <w:rPr>
          <w:rFonts w:eastAsia="宋体" w:cs="Arial (Body CS)"/>
          <w:szCs w:val="28"/>
        </w:rPr>
      </w:pPr>
      <w:r>
        <w:rPr>
          <w:rFonts w:eastAsia="宋体" w:cs="Arial (Body CS)" w:hint="eastAsia"/>
          <w:szCs w:val="28"/>
        </w:rPr>
        <w:t xml:space="preserve">4 </w:t>
      </w:r>
      <w:r>
        <w:rPr>
          <w:rFonts w:eastAsia="宋体" w:cs="Arial (Body CS)"/>
          <w:szCs w:val="28"/>
        </w:rPr>
        <w:t>Climateworks Centre</w:t>
      </w:r>
      <w:r>
        <w:rPr>
          <w:rFonts w:eastAsia="宋体" w:cs="Arial (Body CS)" w:hint="eastAsia"/>
          <w:szCs w:val="28"/>
        </w:rPr>
        <w:t xml:space="preserve">, </w:t>
      </w:r>
      <w:r>
        <w:rPr>
          <w:rFonts w:eastAsia="宋体" w:cs="Arial (Body CS)"/>
          <w:szCs w:val="28"/>
        </w:rPr>
        <w:t>Melbourne,</w:t>
      </w:r>
      <w:r>
        <w:rPr>
          <w:rFonts w:eastAsia="宋体" w:cs="Arial (Body CS)" w:hint="eastAsia"/>
          <w:szCs w:val="28"/>
        </w:rPr>
        <w:t xml:space="preserve"> VIC 3000, </w:t>
      </w:r>
      <w:r>
        <w:rPr>
          <w:rFonts w:eastAsia="宋体" w:cs="Arial (Body CS)"/>
          <w:szCs w:val="28"/>
        </w:rPr>
        <w:t>Australia</w:t>
      </w:r>
    </w:p>
    <w:p w14:paraId="13C2D478" w14:textId="77777777" w:rsidR="00172691" w:rsidRDefault="00172691" w:rsidP="00172691">
      <w:pPr>
        <w:spacing w:before="120" w:after="156"/>
        <w:ind w:firstLineChars="0" w:firstLine="0"/>
        <w:rPr>
          <w:rFonts w:eastAsia="宋体" w:cs="Times New Roman"/>
          <w:szCs w:val="24"/>
        </w:rPr>
      </w:pPr>
      <w:r>
        <w:rPr>
          <w:rFonts w:eastAsia="宋体" w:cs="Times New Roman"/>
          <w:szCs w:val="24"/>
        </w:rPr>
        <w:t>Corresponding author:</w:t>
      </w:r>
      <w:r>
        <w:rPr>
          <w:rFonts w:eastAsia="宋体" w:cs="Times New Roman" w:hint="eastAsia"/>
          <w:szCs w:val="24"/>
        </w:rPr>
        <w:t xml:space="preserve"> Xinhao Pan (x.pan@deakin.edu.au)</w:t>
      </w:r>
    </w:p>
    <w:p w14:paraId="345DC6ED" w14:textId="77777777" w:rsidR="00172691" w:rsidRDefault="00172691" w:rsidP="00172691">
      <w:pPr>
        <w:pStyle w:val="1"/>
        <w:rPr>
          <w:rFonts w:eastAsia="宋体"/>
        </w:rPr>
      </w:pPr>
      <w:r>
        <w:rPr>
          <w:rFonts w:eastAsia="宋体"/>
        </w:rPr>
        <w:t>LUTO2 model</w:t>
      </w:r>
    </w:p>
    <w:p w14:paraId="0CA548F1" w14:textId="77777777" w:rsidR="00172691" w:rsidRDefault="00172691" w:rsidP="00172691">
      <w:pPr>
        <w:pStyle w:val="2"/>
        <w:rPr>
          <w:rFonts w:eastAsia="等线 Light"/>
          <w:color w:val="000000" w:themeColor="text1"/>
        </w:rPr>
      </w:pPr>
      <w:r>
        <w:rPr>
          <w:rFonts w:eastAsia="等线 Light"/>
          <w:color w:val="000000" w:themeColor="text1"/>
        </w:rPr>
        <w:t>Calculating performance against key indicators</w:t>
      </w:r>
    </w:p>
    <w:p w14:paraId="3BEC0D08" w14:textId="5619D235" w:rsidR="00172691" w:rsidRDefault="00172691" w:rsidP="00172691">
      <w:pPr>
        <w:ind w:firstLine="420"/>
        <w:rPr>
          <w:rFonts w:eastAsia="DengXian"/>
          <w:color w:val="000000" w:themeColor="text1"/>
        </w:rPr>
      </w:pPr>
      <w:r>
        <w:rPr>
          <w:rFonts w:eastAsia="DengXian"/>
          <w:color w:val="000000" w:themeColor="text1"/>
        </w:rPr>
        <w:t xml:space="preserve">In LUTO2, annual values for GHG emissions, biodiversity, agri-food production, water yield, economic costs, and revenues are calculated based on agricultural land-use, non-agricultural land-use (Tables S2), and agricultural management solutions assigned to each grid cell (Table S3). In the following equations, </w:t>
      </w:r>
      <w:r>
        <w:rPr>
          <w:rFonts w:eastAsia="DengXian"/>
          <w:i/>
          <w:iCs/>
          <w:color w:val="000000" w:themeColor="text1"/>
        </w:rPr>
        <w:t>t</w:t>
      </w:r>
      <w:r>
        <w:rPr>
          <w:rFonts w:eastAsia="DengXian"/>
          <w:color w:val="000000" w:themeColor="text1"/>
        </w:rPr>
        <w:t xml:space="preserve"> denotes the simulation year; </w:t>
      </w:r>
      <w:r>
        <w:rPr>
          <w:rFonts w:eastAsia="DengXian"/>
          <w:i/>
          <w:iCs/>
          <w:color w:val="000000" w:themeColor="text1"/>
        </w:rPr>
        <w:t>j</w:t>
      </w:r>
      <w:r>
        <w:rPr>
          <w:rFonts w:ascii="Cambria Math" w:eastAsia="DengXian" w:hAnsi="Cambria Math" w:cs="Cambria Math"/>
          <w:i/>
          <w:iCs/>
          <w:color w:val="000000" w:themeColor="text1"/>
        </w:rPr>
        <w:t>∈</w:t>
      </w:r>
      <w:r>
        <w:rPr>
          <w:rFonts w:eastAsia="DengXian"/>
          <w:i/>
          <w:iCs/>
          <w:color w:val="000000" w:themeColor="text1"/>
        </w:rPr>
        <w:t>J</w:t>
      </w:r>
      <w:r>
        <w:rPr>
          <w:rFonts w:eastAsia="DengXian"/>
          <w:color w:val="000000" w:themeColor="text1"/>
        </w:rPr>
        <w:t xml:space="preserve"> represents the 28 agricultural land-use categories; </w:t>
      </w:r>
      <w:r>
        <w:rPr>
          <w:rFonts w:eastAsia="DengXian"/>
          <w:i/>
          <w:iCs/>
          <w:color w:val="000000" w:themeColor="text1"/>
        </w:rPr>
        <w:t xml:space="preserve">k∈K </w:t>
      </w:r>
      <w:r w:rsidRPr="008F368B">
        <w:rPr>
          <w:rFonts w:eastAsia="DengXian"/>
          <w:color w:val="000000" w:themeColor="text1"/>
        </w:rPr>
        <w:t>denotes the eight non-agricultural land-use categories</w:t>
      </w:r>
      <w:r>
        <w:rPr>
          <w:rFonts w:eastAsia="DengXian"/>
          <w:color w:val="000000" w:themeColor="text1"/>
        </w:rPr>
        <w:t xml:space="preserve">; and </w:t>
      </w:r>
      <w:r>
        <w:rPr>
          <w:rFonts w:eastAsia="DengXian"/>
          <w:i/>
          <w:iCs/>
          <w:color w:val="000000" w:themeColor="text1"/>
        </w:rPr>
        <w:t xml:space="preserve">m∈M </w:t>
      </w:r>
      <w:r w:rsidRPr="008F368B">
        <w:rPr>
          <w:rFonts w:eastAsia="DengXian"/>
          <w:color w:val="000000" w:themeColor="text1"/>
        </w:rPr>
        <w:t>represents eight agricultural management solutions</w:t>
      </w:r>
      <w:r>
        <w:rPr>
          <w:rFonts w:eastAsia="DengXian"/>
          <w:color w:val="000000" w:themeColor="text1"/>
        </w:rPr>
        <w:t xml:space="preserve">. The state variables are </w:t>
      </w:r>
      <w:r>
        <w:rPr>
          <w:rFonts w:eastAsia="DengXian"/>
          <w:i/>
          <w:iCs/>
          <w:color w:val="000000" w:themeColor="text1"/>
        </w:rPr>
        <w:t>X</w:t>
      </w:r>
      <w:r>
        <w:rPr>
          <w:rFonts w:eastAsia="DengXian"/>
          <w:i/>
          <w:iCs/>
          <w:color w:val="000000" w:themeColor="text1"/>
          <w:vertAlign w:val="subscript"/>
        </w:rPr>
        <w:t>rjt</w:t>
      </w:r>
      <w:r>
        <w:rPr>
          <w:rFonts w:eastAsia="DengXian"/>
          <w:i/>
          <w:iCs/>
          <w:color w:val="000000" w:themeColor="text1"/>
        </w:rPr>
        <w:t>,</w:t>
      </w:r>
      <w:r>
        <w:rPr>
          <w:rFonts w:eastAsia="DengXian"/>
          <w:color w:val="000000" w:themeColor="text1"/>
        </w:rPr>
        <w:t xml:space="preserve"> which is the proportion of grid cell </w:t>
      </w:r>
      <w:r>
        <w:rPr>
          <w:rFonts w:eastAsia="DengXian"/>
          <w:i/>
          <w:iCs/>
          <w:color w:val="000000" w:themeColor="text1"/>
        </w:rPr>
        <w:t>r</w:t>
      </w:r>
      <w:r>
        <w:rPr>
          <w:rFonts w:eastAsia="DengXian"/>
          <w:color w:val="000000" w:themeColor="text1"/>
        </w:rPr>
        <w:t xml:space="preserve"> allocated to agricultural land-use type </w:t>
      </w:r>
      <w:r>
        <w:rPr>
          <w:rFonts w:eastAsia="DengXian"/>
          <w:i/>
          <w:iCs/>
          <w:color w:val="000000" w:themeColor="text1"/>
        </w:rPr>
        <w:t xml:space="preserve">j </w:t>
      </w:r>
      <w:r>
        <w:rPr>
          <w:rFonts w:eastAsia="DengXian"/>
          <w:color w:val="000000" w:themeColor="text1"/>
        </w:rPr>
        <w:t xml:space="preserve">in year </w:t>
      </w:r>
      <w:r>
        <w:rPr>
          <w:rFonts w:eastAsia="DengXian"/>
          <w:i/>
          <w:iCs/>
          <w:color w:val="000000" w:themeColor="text1"/>
        </w:rPr>
        <w:t>t</w:t>
      </w:r>
      <w:r>
        <w:rPr>
          <w:rFonts w:eastAsia="DengXian"/>
          <w:color w:val="000000" w:themeColor="text1"/>
        </w:rPr>
        <w:t xml:space="preserve">; </w:t>
      </w:r>
      <w:r>
        <w:rPr>
          <w:rFonts w:eastAsia="DengXian"/>
          <w:i/>
          <w:iCs/>
          <w:color w:val="000000" w:themeColor="text1"/>
        </w:rPr>
        <w:t>X</w:t>
      </w:r>
      <w:r>
        <w:rPr>
          <w:rFonts w:eastAsia="DengXian"/>
          <w:i/>
          <w:iCs/>
          <w:color w:val="000000" w:themeColor="text1"/>
          <w:vertAlign w:val="subscript"/>
        </w:rPr>
        <w:t>rkt</w:t>
      </w:r>
      <w:r>
        <w:rPr>
          <w:rFonts w:eastAsia="DengXian"/>
          <w:color w:val="000000" w:themeColor="text1"/>
        </w:rPr>
        <w:t>,</w:t>
      </w:r>
      <w:r>
        <w:rPr>
          <w:rFonts w:eastAsia="DengXian"/>
          <w:i/>
          <w:iCs/>
          <w:color w:val="000000" w:themeColor="text1"/>
        </w:rPr>
        <w:t xml:space="preserve"> </w:t>
      </w:r>
      <w:r>
        <w:rPr>
          <w:rFonts w:eastAsia="DengXian"/>
          <w:color w:val="000000" w:themeColor="text1"/>
        </w:rPr>
        <w:t xml:space="preserve">the proportion of cell </w:t>
      </w:r>
      <w:r>
        <w:rPr>
          <w:rFonts w:eastAsia="DengXian"/>
          <w:i/>
          <w:iCs/>
          <w:color w:val="000000" w:themeColor="text1"/>
        </w:rPr>
        <w:t xml:space="preserve">r </w:t>
      </w:r>
      <w:r>
        <w:rPr>
          <w:rFonts w:eastAsia="DengXian"/>
          <w:color w:val="000000" w:themeColor="text1"/>
        </w:rPr>
        <w:t xml:space="preserve">allocated to non-agricultural land-use type </w:t>
      </w:r>
      <w:r>
        <w:rPr>
          <w:rFonts w:eastAsia="DengXian"/>
          <w:i/>
          <w:iCs/>
          <w:color w:val="000000" w:themeColor="text1"/>
        </w:rPr>
        <w:t>k</w:t>
      </w:r>
      <w:r>
        <w:rPr>
          <w:rFonts w:eastAsia="DengXian"/>
          <w:color w:val="000000" w:themeColor="text1"/>
        </w:rPr>
        <w:t xml:space="preserve"> in year </w:t>
      </w:r>
      <w:r>
        <w:rPr>
          <w:rFonts w:eastAsia="DengXian"/>
          <w:i/>
          <w:iCs/>
          <w:color w:val="000000" w:themeColor="text1"/>
        </w:rPr>
        <w:t>t</w:t>
      </w:r>
      <w:r>
        <w:rPr>
          <w:rFonts w:eastAsia="DengXian"/>
          <w:color w:val="000000" w:themeColor="text1"/>
        </w:rPr>
        <w:t xml:space="preserve">; and </w:t>
      </w:r>
      <w:r>
        <w:rPr>
          <w:rFonts w:eastAsia="DengXian"/>
          <w:i/>
          <w:iCs/>
          <w:color w:val="000000" w:themeColor="text1"/>
        </w:rPr>
        <w:t>X</w:t>
      </w:r>
      <w:r>
        <w:rPr>
          <w:rFonts w:eastAsia="DengXian"/>
          <w:i/>
          <w:iCs/>
          <w:color w:val="000000" w:themeColor="text1"/>
          <w:vertAlign w:val="subscript"/>
        </w:rPr>
        <w:t>rmt</w:t>
      </w:r>
      <w:r>
        <w:rPr>
          <w:rFonts w:eastAsia="DengXian"/>
          <w:color w:val="000000" w:themeColor="text1"/>
        </w:rPr>
        <w:t xml:space="preserve">, the proportion of cell </w:t>
      </w:r>
      <w:r>
        <w:rPr>
          <w:rFonts w:eastAsia="DengXian"/>
          <w:i/>
          <w:iCs/>
          <w:color w:val="000000" w:themeColor="text1"/>
        </w:rPr>
        <w:t>r</w:t>
      </w:r>
      <w:r>
        <w:rPr>
          <w:rFonts w:eastAsia="DengXian"/>
          <w:color w:val="000000" w:themeColor="text1"/>
        </w:rPr>
        <w:t xml:space="preserve"> allocated to agricultural management solution </w:t>
      </w:r>
      <w:r>
        <w:rPr>
          <w:rFonts w:eastAsia="DengXian"/>
          <w:i/>
          <w:iCs/>
          <w:color w:val="000000" w:themeColor="text1"/>
        </w:rPr>
        <w:t>m</w:t>
      </w:r>
      <w:r>
        <w:rPr>
          <w:rFonts w:eastAsia="DengXian"/>
          <w:color w:val="000000" w:themeColor="text1"/>
        </w:rPr>
        <w:t xml:space="preserve"> in year </w:t>
      </w:r>
      <w:r>
        <w:rPr>
          <w:rFonts w:eastAsia="DengXian"/>
          <w:i/>
          <w:iCs/>
          <w:color w:val="000000" w:themeColor="text1"/>
        </w:rPr>
        <w:t>t</w:t>
      </w:r>
      <w:r>
        <w:rPr>
          <w:rFonts w:eastAsia="DengXian"/>
          <w:color w:val="000000" w:themeColor="text1"/>
        </w:rPr>
        <w:t>. The equations presented below provide a simplified representation of the mathematical programming formulation within the LUTO2 model.</w:t>
      </w:r>
    </w:p>
    <w:p w14:paraId="69BCD0AF" w14:textId="77777777" w:rsidR="00172691" w:rsidRDefault="00172691" w:rsidP="00172691">
      <w:pPr>
        <w:pStyle w:val="3"/>
        <w:rPr>
          <w:rFonts w:eastAsia="宋体"/>
          <w:color w:val="000000" w:themeColor="text1"/>
        </w:rPr>
      </w:pPr>
      <w:r>
        <w:rPr>
          <w:rFonts w:eastAsia="宋体"/>
          <w:color w:val="000000" w:themeColor="text1"/>
        </w:rPr>
        <w:t>GHG emissions modelling</w:t>
      </w:r>
    </w:p>
    <w:p w14:paraId="0B9EAF2E" w14:textId="4C23A93B" w:rsidR="00172691" w:rsidRDefault="00172691" w:rsidP="00172691">
      <w:pPr>
        <w:ind w:firstLine="420"/>
        <w:rPr>
          <w:rFonts w:eastAsia="DengXian"/>
          <w:color w:val="000000" w:themeColor="text1"/>
          <w:sz w:val="24"/>
        </w:rPr>
      </w:pPr>
      <w:r>
        <w:rPr>
          <w:rFonts w:eastAsia="DengXian"/>
          <w:color w:val="000000" w:themeColor="text1"/>
        </w:rPr>
        <w:t>The model quantifies GHG emissions through an integrated accounting framework encompassing four components: agricultural land-use emissions, non-agricultural land-use sequestration, agricultural management impacts, and land-use transition emissions. Agricultural GHG emissions factors (kgCO</w:t>
      </w:r>
      <w:r>
        <w:rPr>
          <w:rFonts w:eastAsia="DengXian"/>
          <w:color w:val="000000" w:themeColor="text1"/>
          <w:vertAlign w:val="subscript"/>
        </w:rPr>
        <w:t>2</w:t>
      </w:r>
      <w:r>
        <w:rPr>
          <w:rFonts w:eastAsia="DengXian"/>
          <w:color w:val="000000" w:themeColor="text1"/>
        </w:rPr>
        <w:t>e ha</w:t>
      </w:r>
      <w:r>
        <w:rPr>
          <w:rFonts w:eastAsia="DengXian"/>
          <w:color w:val="000000" w:themeColor="text1"/>
          <w:vertAlign w:val="superscript"/>
        </w:rPr>
        <w:t>-1</w:t>
      </w:r>
      <w:r>
        <w:rPr>
          <w:rFonts w:eastAsia="DengXian"/>
          <w:color w:val="000000" w:themeColor="text1"/>
        </w:rPr>
        <w:t xml:space="preserve">), which include emissions from soil processes, enteric fermentation and manure management, were sourced from </w:t>
      </w:r>
      <w:r>
        <w:rPr>
          <w:rFonts w:eastAsia="DengXian"/>
          <w:color w:val="000000" w:themeColor="text1"/>
        </w:rPr>
        <w:fldChar w:fldCharType="begin"/>
      </w:r>
      <w:r>
        <w:rPr>
          <w:rFonts w:eastAsia="DengXian"/>
          <w:color w:val="000000" w:themeColor="text1"/>
        </w:rPr>
        <w:instrText xml:space="preserve"> ADDIN EN.CITE &lt;EndNote&gt;&lt;Cite&gt;&lt;Author&gt;Navarro&lt;/Author&gt;&lt;Year&gt;2021&lt;/Year&gt;&lt;RecNum&gt;216&lt;/RecNum&gt;&lt;DisplayText&gt;&lt;style face="superscript"&gt;1&lt;/style&gt;&lt;/DisplayText&gt;&lt;record&gt;&lt;rec-number&gt;216&lt;/rec-number&gt;&lt;foreign-keys&gt;&lt;key app="EN" db-id="st0zxxax1wfadte9s5gpaptza9tfvrzsvaxs" timestamp="1737512257" guid="ab7b90fd-7b66-4506-8db4-03847cae284a"&gt;216&lt;/key&gt;&lt;/foreign-keys&gt;&lt;ref-type name="Journal Article"&gt;17&lt;/ref-type&gt;&lt;contributors&gt;&lt;authors&gt;&lt;author&gt;Navarro, J&lt;/author&gt;&lt;author&gt;Marcos Martinez, R&lt;/author&gt;&lt;/authors&gt;&lt;/contributors&gt;&lt;titles&gt;&lt;title&gt;Estimating long-term profits, fertilizer and pesticide use baselines in Australian agricultural regions, User Guide&lt;/title&gt;&lt;secondary-title&gt;CSIRO&lt;/secondary-title&gt;&lt;/titles&gt;&lt;periodical&gt;&lt;full-title&gt;CSIRO&lt;/full-title&gt;&lt;/periodical&gt;&lt;dates&gt;&lt;year&gt;2021&lt;/year&gt;&lt;/dates&gt;&lt;urls&gt;&lt;/urls&gt;&lt;/record&gt;&lt;/Cite&gt;&lt;/EndNote&gt;</w:instrText>
      </w:r>
      <w:r>
        <w:rPr>
          <w:rFonts w:eastAsia="DengXian"/>
          <w:color w:val="000000" w:themeColor="text1"/>
        </w:rPr>
        <w:fldChar w:fldCharType="separate"/>
      </w:r>
      <w:r>
        <w:rPr>
          <w:rFonts w:eastAsia="DengXian"/>
          <w:noProof/>
          <w:color w:val="000000" w:themeColor="text1"/>
          <w:vertAlign w:val="superscript"/>
        </w:rPr>
        <w:t>1</w:t>
      </w:r>
      <w:r>
        <w:rPr>
          <w:rFonts w:eastAsia="DengXian"/>
          <w:color w:val="000000" w:themeColor="text1"/>
        </w:rPr>
        <w:fldChar w:fldCharType="end"/>
      </w:r>
      <w:r>
        <w:rPr>
          <w:rFonts w:eastAsia="DengXian"/>
          <w:color w:val="000000" w:themeColor="text1"/>
        </w:rPr>
        <w:t>. Non-agricultural carbon sequestration rates (kgCO</w:t>
      </w:r>
      <w:r>
        <w:rPr>
          <w:rFonts w:eastAsia="DengXian"/>
          <w:color w:val="000000" w:themeColor="text1"/>
          <w:vertAlign w:val="subscript"/>
        </w:rPr>
        <w:t>2</w:t>
      </w:r>
      <w:r>
        <w:rPr>
          <w:rFonts w:eastAsia="DengXian"/>
          <w:color w:val="000000" w:themeColor="text1"/>
        </w:rPr>
        <w:t>e ha</w:t>
      </w:r>
      <w:r>
        <w:rPr>
          <w:rFonts w:eastAsia="DengXian"/>
          <w:color w:val="000000" w:themeColor="text1"/>
          <w:vertAlign w:val="superscript"/>
        </w:rPr>
        <w:t>-1</w:t>
      </w:r>
      <w:r>
        <w:rPr>
          <w:rFonts w:eastAsia="DengXian"/>
          <w:color w:val="000000" w:themeColor="text1"/>
        </w:rPr>
        <w:t xml:space="preserve">), including Environmental plantings, Riparian buffer restoration, and Agroforestry systems (Environmental plantings in a belt arrangement), comprising both above-ground and below-ground components, were calculated using the Full Carbon Accounting Model (FullCAM) </w:t>
      </w:r>
      <w:r>
        <w:rPr>
          <w:rFonts w:eastAsia="DengXian"/>
          <w:color w:val="000000" w:themeColor="text1"/>
        </w:rPr>
        <w:fldChar w:fldCharType="begin"/>
      </w:r>
      <w:r>
        <w:rPr>
          <w:rFonts w:eastAsia="DengXian"/>
          <w:color w:val="000000" w:themeColor="text1"/>
        </w:rPr>
        <w:instrText xml:space="preserve"> ADDIN EN.CITE &lt;EndNote&gt;&lt;Cite&gt;&lt;Author&gt;DCCEEW&lt;/Author&gt;&lt;Year&gt;2024&lt;/Year&gt;&lt;RecNum&gt;210&lt;/RecNum&gt;&lt;DisplayText&gt;&lt;style face="superscript"&gt;2,3&lt;/style&gt;&lt;/DisplayText&gt;&lt;record&gt;&lt;rec-number&gt;210&lt;/rec-number&gt;&lt;foreign-keys&gt;&lt;key app="EN" db-id="st0zxxax1wfadte9s5gpaptza9tfvrzsvaxs" timestamp="1731573818" guid="c16bb1d5-f607-4205-b3c1-ca7b5e84c5c8"&gt;210&lt;/key&gt;&lt;/foreign-keys&gt;&lt;ref-type name="Web Page"&gt;12&lt;/ref-type&gt;&lt;contributors&gt;&lt;authors&gt;&lt;author&gt;DCCEEW&lt;/author&gt;&lt;/authors&gt;&lt;/contributors&gt;&lt;titles&gt;&lt;title&gt;Full Carbon Accounting Model (FullCAM)&lt;/title&gt;&lt;/titles&gt;&lt;dates&gt;&lt;year&gt;2024&lt;/year&gt;&lt;/dates&gt;&lt;publisher&gt;Department of Climate Change, Energy, the Environment and Water&lt;/publisher&gt;&lt;urls&gt;&lt;related-urls&gt;&lt;url&gt;https://www.dcceew.gov.au/climate-change/publications/full-carbon-accounting-model-fullcam&lt;/url&gt;&lt;/related-urls&gt;&lt;/urls&gt;&lt;/record&gt;&lt;/Cite&gt;&lt;Cite&gt;&lt;Author&gt;Richards&lt;/Author&gt;&lt;Year&gt;2004&lt;/Year&gt;&lt;RecNum&gt;356&lt;/RecNum&gt;&lt;record&gt;&lt;rec-number&gt;356&lt;/rec-number&gt;&lt;foreign-keys&gt;&lt;key app="EN" db-id="st0zxxax1wfadte9s5gpaptza9tfvrzsvaxs" timestamp="1741925036" guid="1452e1f9-8be0-4f1c-8d00-ee88825e5d8e"&gt;356&lt;/key&gt;&lt;/foreign-keys&gt;&lt;ref-type name="Journal Article"&gt;17&lt;/ref-type&gt;&lt;contributors&gt;&lt;authors&gt;&lt;author&gt;Richards, Gary P&lt;/author&gt;&lt;author&gt;Evans, David MW&lt;/author&gt;&lt;/authors&gt;&lt;/contributors&gt;&lt;titles&gt;&lt;title&gt;Development of a carbon accounting model (FullCAM Vers. 1.0) for the Australian continent&lt;/title&gt;&lt;secondary-title&gt;Australian Forestry&lt;/secondary-title&gt;&lt;/titles&gt;&lt;periodical&gt;&lt;full-title&gt;Australian Forestry&lt;/full-title&gt;&lt;/periodical&gt;&lt;pages&gt;277-283&lt;/pages&gt;&lt;volume&gt;67&lt;/volume&gt;&lt;number&gt;4&lt;/number&gt;&lt;dates&gt;&lt;year&gt;2004&lt;/year&gt;&lt;/dates&gt;&lt;isbn&gt;0004-9158&lt;/isbn&gt;&lt;urls&gt;&lt;/urls&gt;&lt;/record&gt;&lt;/Cite&gt;&lt;/EndNote&gt;</w:instrText>
      </w:r>
      <w:r>
        <w:rPr>
          <w:rFonts w:eastAsia="DengXian"/>
          <w:color w:val="000000" w:themeColor="text1"/>
        </w:rPr>
        <w:fldChar w:fldCharType="separate"/>
      </w:r>
      <w:r>
        <w:rPr>
          <w:rFonts w:eastAsia="DengXian"/>
          <w:noProof/>
          <w:color w:val="000000" w:themeColor="text1"/>
          <w:vertAlign w:val="superscript"/>
        </w:rPr>
        <w:t>2,3</w:t>
      </w:r>
      <w:r>
        <w:rPr>
          <w:rFonts w:eastAsia="DengXian"/>
          <w:color w:val="000000" w:themeColor="text1"/>
        </w:rPr>
        <w:fldChar w:fldCharType="end"/>
      </w:r>
      <w:r>
        <w:rPr>
          <w:rFonts w:eastAsia="DengXian"/>
          <w:color w:val="000000" w:themeColor="text1"/>
        </w:rPr>
        <w:t>.</w:t>
      </w:r>
      <w:r>
        <w:rPr>
          <w:color w:val="000000" w:themeColor="text1"/>
        </w:rPr>
        <w:t xml:space="preserve"> Emissions from agricultural management solutions and their influence on corresponding land uses were assessed through a combination of literature review and expert consultation</w:t>
      </w:r>
      <w:r>
        <w:rPr>
          <w:rFonts w:eastAsia="DengXian"/>
          <w:color w:val="000000" w:themeColor="text1"/>
        </w:rPr>
        <w:t xml:space="preserve">. Finally, land-use transitions involving land clearance through conversion of natural land to modified land also generate additional emissions from biomass and soil. The total GHG emissions in year </w:t>
      </w:r>
      <w:r>
        <w:rPr>
          <w:rFonts w:eastAsia="DengXian"/>
          <w:i/>
          <w:iCs/>
          <w:color w:val="000000" w:themeColor="text1"/>
        </w:rPr>
        <w:t>t</w:t>
      </w:r>
      <w:r>
        <w:rPr>
          <w:rFonts w:eastAsia="DengXian"/>
          <w:color w:val="000000" w:themeColor="text1"/>
        </w:rPr>
        <w:t xml:space="preserve"> are thereby calculated as</w:t>
      </w:r>
      <w:r>
        <w:rPr>
          <w:rFonts w:eastAsia="DengXian"/>
          <w:color w:val="000000" w:themeColor="text1"/>
          <w:sz w:val="24"/>
        </w:rPr>
        <w:t>:</w:t>
      </w:r>
    </w:p>
    <w:tbl>
      <w:tblPr>
        <w:tblStyle w:val="TableGrid1"/>
        <w:tblW w:w="8370" w:type="dxa"/>
        <w:tblLayout w:type="fixed"/>
        <w:tblLook w:val="04A0" w:firstRow="1" w:lastRow="0" w:firstColumn="1" w:lastColumn="0" w:noHBand="0" w:noVBand="1"/>
      </w:tblPr>
      <w:tblGrid>
        <w:gridCol w:w="7660"/>
        <w:gridCol w:w="710"/>
      </w:tblGrid>
      <w:tr w:rsidR="00172691" w:rsidRPr="000F1CD9" w14:paraId="2E1C6C82" w14:textId="77777777" w:rsidTr="005B5BFB">
        <w:trPr>
          <w:cantSplit/>
          <w:trHeight w:val="300"/>
        </w:trPr>
        <w:tc>
          <w:tcPr>
            <w:tcW w:w="7660" w:type="dxa"/>
            <w:tcBorders>
              <w:top w:val="nil"/>
              <w:left w:val="nil"/>
              <w:bottom w:val="nil"/>
              <w:right w:val="nil"/>
            </w:tcBorders>
          </w:tcPr>
          <w:p w14:paraId="61B336E0" w14:textId="77777777" w:rsidR="00172691" w:rsidRDefault="00172691" w:rsidP="005B5BFB">
            <w:pPr>
              <w:spacing w:after="163"/>
              <w:ind w:firstLineChars="0" w:firstLine="0"/>
              <w:jc w:val="center"/>
              <w:rPr>
                <w:rFonts w:eastAsia="DengXian"/>
                <w:color w:val="000000" w:themeColor="text1"/>
                <w:szCs w:val="21"/>
              </w:rPr>
            </w:pPr>
            <m:oMathPara>
              <m:oMathParaPr>
                <m:jc m:val="center"/>
              </m:oMathParaPr>
              <m:oMath>
                <m:r>
                  <w:rPr>
                    <w:rFonts w:ascii="Cambria Math" w:hAnsi="Cambria Math"/>
                  </w:rPr>
                  <w:lastRenderedPageBreak/>
                  <m:t>GH</m:t>
                </m:r>
                <m:sSub>
                  <m:sSubPr>
                    <m:ctrlPr>
                      <w:rPr>
                        <w:rFonts w:ascii="Cambria Math" w:hAnsi="Cambria Math"/>
                      </w:rPr>
                    </m:ctrlPr>
                  </m:sSubPr>
                  <m:e>
                    <m:r>
                      <w:rPr>
                        <w:rFonts w:ascii="Cambria Math" w:hAnsi="Cambria Math"/>
                      </w:rPr>
                      <m:t>G</m:t>
                    </m:r>
                  </m:e>
                  <m:sub>
                    <m:r>
                      <w:rPr>
                        <w:rFonts w:ascii="Cambria Math" w:hAnsi="Cambria Math"/>
                      </w:rPr>
                      <m:t>t</m:t>
                    </m:r>
                  </m:sub>
                </m:sSub>
                <m:r>
                  <m:rPr>
                    <m:lit/>
                    <m:nor/>
                  </m:rPr>
                  <m:t>=</m:t>
                </m:r>
                <m:nary>
                  <m:naryPr>
                    <m:chr m:val="∑"/>
                    <m:supHide m:val="1"/>
                    <m:ctrlPr>
                      <w:rPr>
                        <w:rFonts w:ascii="Cambria Math" w:hAnsi="Cambria Math"/>
                      </w:rPr>
                    </m:ctrlPr>
                  </m:naryPr>
                  <m:sub>
                    <m:r>
                      <w:rPr>
                        <w:rFonts w:ascii="Cambria Math" w:hAnsi="Cambria Math"/>
                      </w:rPr>
                      <m:t>r,j</m:t>
                    </m:r>
                  </m:sub>
                  <m:sup/>
                  <m:e>
                    <m:sSub>
                      <m:sSubPr>
                        <m:ctrlPr>
                          <w:rPr>
                            <w:rFonts w:ascii="Cambria Math" w:hAnsi="Cambria Math"/>
                          </w:rPr>
                        </m:ctrlPr>
                      </m:sSubPr>
                      <m:e>
                        <m:r>
                          <w:rPr>
                            <w:rFonts w:ascii="Cambria Math" w:hAnsi="Cambria Math"/>
                          </w:rPr>
                          <m:t>X</m:t>
                        </m:r>
                      </m:e>
                      <m:sub>
                        <m:r>
                          <w:rPr>
                            <w:rFonts w:ascii="Cambria Math" w:hAnsi="Cambria Math"/>
                          </w:rPr>
                          <m:t>rjt</m:t>
                        </m:r>
                      </m:sub>
                    </m:sSub>
                    <m:sSub>
                      <m:sSubPr>
                        <m:ctrlPr>
                          <w:rPr>
                            <w:rFonts w:ascii="Cambria Math" w:hAnsi="Cambria Math"/>
                          </w:rPr>
                        </m:ctrlPr>
                      </m:sSubPr>
                      <m:e>
                        <m:r>
                          <w:rPr>
                            <w:rFonts w:ascii="Cambria Math" w:hAnsi="Cambria Math"/>
                          </w:rPr>
                          <m:t>G</m:t>
                        </m:r>
                      </m:e>
                      <m:sub>
                        <m:r>
                          <w:rPr>
                            <w:rFonts w:ascii="Cambria Math" w:hAnsi="Cambria Math"/>
                          </w:rPr>
                          <m:t>j</m:t>
                        </m:r>
                      </m:sub>
                    </m:sSub>
                    <m:sSub>
                      <m:sSubPr>
                        <m:ctrlPr>
                          <w:rPr>
                            <w:rFonts w:ascii="Cambria Math" w:hAnsi="Cambria Math"/>
                          </w:rPr>
                        </m:ctrlPr>
                      </m:sSubPr>
                      <m:e>
                        <m:r>
                          <w:rPr>
                            <w:rFonts w:ascii="Cambria Math" w:hAnsi="Cambria Math"/>
                          </w:rPr>
                          <m:t>A</m:t>
                        </m:r>
                      </m:e>
                      <m:sub>
                        <m:r>
                          <w:rPr>
                            <w:rFonts w:ascii="Cambria Math" w:hAnsi="Cambria Math"/>
                          </w:rPr>
                          <m:t>r</m:t>
                        </m:r>
                      </m:sub>
                    </m:sSub>
                  </m:e>
                </m:nary>
                <m:r>
                  <m:rPr>
                    <m:lit/>
                    <m:nor/>
                  </m:rPr>
                  <m:t>+</m:t>
                </m:r>
                <m:nary>
                  <m:naryPr>
                    <m:chr m:val="∑"/>
                    <m:supHide m:val="1"/>
                    <m:ctrlPr>
                      <w:rPr>
                        <w:rFonts w:ascii="Cambria Math" w:hAnsi="Cambria Math"/>
                      </w:rPr>
                    </m:ctrlPr>
                  </m:naryPr>
                  <m:sub>
                    <m:r>
                      <w:rPr>
                        <w:rFonts w:ascii="Cambria Math" w:hAnsi="Cambria Math"/>
                      </w:rPr>
                      <m:t>r,k</m:t>
                    </m:r>
                  </m:sub>
                  <m:sup/>
                  <m:e>
                    <m:sSub>
                      <m:sSubPr>
                        <m:ctrlPr>
                          <w:rPr>
                            <w:rFonts w:ascii="Cambria Math" w:hAnsi="Cambria Math"/>
                          </w:rPr>
                        </m:ctrlPr>
                      </m:sSubPr>
                      <m:e>
                        <m:r>
                          <w:rPr>
                            <w:rFonts w:ascii="Cambria Math" w:hAnsi="Cambria Math"/>
                          </w:rPr>
                          <m:t>X</m:t>
                        </m:r>
                      </m:e>
                      <m:sub>
                        <m:r>
                          <w:rPr>
                            <w:rFonts w:ascii="Cambria Math" w:hAnsi="Cambria Math"/>
                          </w:rPr>
                          <m:t>rkt</m:t>
                        </m:r>
                      </m:sub>
                    </m:sSub>
                    <m:sSub>
                      <m:sSubPr>
                        <m:ctrlPr>
                          <w:rPr>
                            <w:rFonts w:ascii="Cambria Math" w:hAnsi="Cambria Math"/>
                          </w:rPr>
                        </m:ctrlPr>
                      </m:sSubPr>
                      <m:e>
                        <m:r>
                          <w:rPr>
                            <w:rFonts w:ascii="Cambria Math" w:hAnsi="Cambria Math"/>
                          </w:rPr>
                          <m:t>G</m:t>
                        </m:r>
                      </m:e>
                      <m:sub>
                        <m:r>
                          <w:rPr>
                            <w:rFonts w:ascii="Cambria Math" w:hAnsi="Cambria Math"/>
                          </w:rPr>
                          <m:t>k</m:t>
                        </m:r>
                      </m:sub>
                    </m:sSub>
                    <m:sSub>
                      <m:sSubPr>
                        <m:ctrlPr>
                          <w:rPr>
                            <w:rFonts w:ascii="Cambria Math" w:hAnsi="Cambria Math"/>
                          </w:rPr>
                        </m:ctrlPr>
                      </m:sSubPr>
                      <m:e>
                        <m:r>
                          <w:rPr>
                            <w:rFonts w:ascii="Cambria Math" w:hAnsi="Cambria Math"/>
                          </w:rPr>
                          <m:t>A</m:t>
                        </m:r>
                      </m:e>
                      <m:sub>
                        <m:r>
                          <w:rPr>
                            <w:rFonts w:ascii="Cambria Math" w:hAnsi="Cambria Math"/>
                          </w:rPr>
                          <m:t>r</m:t>
                        </m:r>
                      </m:sub>
                    </m:sSub>
                  </m:e>
                </m:nary>
                <m:r>
                  <m:rPr>
                    <m:lit/>
                    <m:nor/>
                  </m:rPr>
                  <m:t>+</m:t>
                </m:r>
                <m:nary>
                  <m:naryPr>
                    <m:chr m:val="∑"/>
                    <m:supHide m:val="1"/>
                    <m:ctrlPr>
                      <w:rPr>
                        <w:rFonts w:ascii="Cambria Math" w:hAnsi="Cambria Math"/>
                      </w:rPr>
                    </m:ctrlPr>
                  </m:naryPr>
                  <m:sub>
                    <m:r>
                      <w:rPr>
                        <w:rFonts w:ascii="Cambria Math" w:hAnsi="Cambria Math"/>
                      </w:rPr>
                      <m:t>r,j,m</m:t>
                    </m:r>
                  </m:sub>
                  <m:sup/>
                  <m:e>
                    <m:sSub>
                      <m:sSubPr>
                        <m:ctrlPr>
                          <w:rPr>
                            <w:rFonts w:ascii="Cambria Math" w:hAnsi="Cambria Math"/>
                          </w:rPr>
                        </m:ctrlPr>
                      </m:sSubPr>
                      <m:e>
                        <m:r>
                          <w:rPr>
                            <w:rFonts w:ascii="Cambria Math" w:hAnsi="Cambria Math"/>
                          </w:rPr>
                          <m:t>X</m:t>
                        </m:r>
                      </m:e>
                      <m:sub>
                        <m:r>
                          <w:rPr>
                            <w:rFonts w:ascii="Cambria Math" w:hAnsi="Cambria Math"/>
                          </w:rPr>
                          <m:t>rjt</m:t>
                        </m:r>
                      </m:sub>
                    </m:sSub>
                    <m:sSub>
                      <m:sSubPr>
                        <m:ctrlPr>
                          <w:rPr>
                            <w:rFonts w:ascii="Cambria Math" w:hAnsi="Cambria Math"/>
                          </w:rPr>
                        </m:ctrlPr>
                      </m:sSubPr>
                      <m:e>
                        <m:r>
                          <w:rPr>
                            <w:rFonts w:ascii="Cambria Math" w:hAnsi="Cambria Math"/>
                          </w:rPr>
                          <m:t>G</m:t>
                        </m:r>
                      </m:e>
                      <m:sub>
                        <m:r>
                          <w:rPr>
                            <w:rFonts w:ascii="Cambria Math" w:hAnsi="Cambria Math"/>
                          </w:rPr>
                          <m:t>j</m:t>
                        </m:r>
                      </m:sub>
                    </m:sSub>
                    <m:r>
                      <w:rPr>
                        <w:rFonts w:ascii="Cambria Math" w:hAnsi="Cambria Math"/>
                      </w:rPr>
                      <m:t>M</m:t>
                    </m:r>
                    <m:sSub>
                      <m:sSubPr>
                        <m:ctrlPr>
                          <w:rPr>
                            <w:rFonts w:ascii="Cambria Math" w:hAnsi="Cambria Math"/>
                          </w:rPr>
                        </m:ctrlPr>
                      </m:sSubPr>
                      <m:e>
                        <m:r>
                          <w:rPr>
                            <w:rFonts w:ascii="Cambria Math" w:hAnsi="Cambria Math"/>
                          </w:rPr>
                          <m:t>G</m:t>
                        </m:r>
                      </m:e>
                      <m:sub>
                        <m:r>
                          <w:rPr>
                            <w:rFonts w:ascii="Cambria Math" w:hAnsi="Cambria Math"/>
                          </w:rPr>
                          <m:t>jm</m:t>
                        </m:r>
                      </m:sub>
                    </m:sSub>
                  </m:e>
                </m:nary>
                <m:sSub>
                  <m:sSubPr>
                    <m:ctrlPr>
                      <w:rPr>
                        <w:rFonts w:ascii="Cambria Math" w:hAnsi="Cambria Math"/>
                      </w:rPr>
                    </m:ctrlPr>
                  </m:sSubPr>
                  <m:e>
                    <m:r>
                      <w:rPr>
                        <w:rFonts w:ascii="Cambria Math" w:hAnsi="Cambria Math"/>
                      </w:rPr>
                      <m:t>A</m:t>
                    </m:r>
                  </m:e>
                  <m:sub>
                    <m:r>
                      <w:rPr>
                        <w:rFonts w:ascii="Cambria Math" w:hAnsi="Cambria Math"/>
                      </w:rPr>
                      <m:t>r</m:t>
                    </m:r>
                  </m:sub>
                </m:sSub>
                <m:r>
                  <m:rPr>
                    <m:lit/>
                    <m:nor/>
                  </m:rPr>
                  <m:t>+</m:t>
                </m:r>
                <m:nary>
                  <m:naryPr>
                    <m:chr m:val="∑"/>
                    <m:supHide m:val="1"/>
                    <m:ctrlPr>
                      <w:rPr>
                        <w:rFonts w:ascii="Cambria Math" w:hAnsi="Cambria Math"/>
                      </w:rPr>
                    </m:ctrlPr>
                  </m:naryPr>
                  <m:sub>
                    <m:r>
                      <w:rPr>
                        <w:rFonts w:ascii="Cambria Math" w:hAnsi="Cambria Math"/>
                      </w:rPr>
                      <m:t>r,j</m:t>
                    </m:r>
                  </m:sub>
                  <m:sup/>
                  <m:e>
                    <m:sSub>
                      <m:sSubPr>
                        <m:ctrlPr>
                          <w:rPr>
                            <w:rFonts w:ascii="Cambria Math" w:hAnsi="Cambria Math"/>
                          </w:rPr>
                        </m:ctrlPr>
                      </m:sSubPr>
                      <m:e>
                        <m:r>
                          <w:rPr>
                            <w:rFonts w:ascii="Cambria Math" w:hAnsi="Cambria Math"/>
                          </w:rPr>
                          <m:t>X</m:t>
                        </m:r>
                      </m:e>
                      <m:sub>
                        <m:r>
                          <w:rPr>
                            <w:rFonts w:ascii="Cambria Math" w:hAnsi="Cambria Math"/>
                          </w:rPr>
                          <m:t>rt(j→j')</m:t>
                        </m:r>
                      </m:sub>
                    </m:sSub>
                    <m:sSub>
                      <m:sSubPr>
                        <m:ctrlPr>
                          <w:rPr>
                            <w:rFonts w:ascii="Cambria Math" w:hAnsi="Cambria Math"/>
                          </w:rPr>
                        </m:ctrlPr>
                      </m:sSubPr>
                      <m:e>
                        <m:r>
                          <w:rPr>
                            <w:rFonts w:ascii="Cambria Math" w:hAnsi="Cambria Math"/>
                          </w:rPr>
                          <m:t>G</m:t>
                        </m:r>
                      </m:e>
                      <m:sub>
                        <m:r>
                          <w:rPr>
                            <w:rFonts w:ascii="Cambria Math" w:hAnsi="Cambria Math"/>
                          </w:rPr>
                          <m:t>(j→j')</m:t>
                        </m:r>
                      </m:sub>
                    </m:sSub>
                  </m:e>
                </m:nary>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r</m:t>
                    </m:r>
                  </m:sub>
                </m:sSub>
              </m:oMath>
            </m:oMathPara>
          </w:p>
        </w:tc>
        <w:tc>
          <w:tcPr>
            <w:tcW w:w="710" w:type="dxa"/>
            <w:tcBorders>
              <w:top w:val="nil"/>
              <w:left w:val="nil"/>
              <w:bottom w:val="nil"/>
              <w:right w:val="nil"/>
            </w:tcBorders>
            <w:vAlign w:val="center"/>
          </w:tcPr>
          <w:p w14:paraId="334D0DF0" w14:textId="77777777" w:rsidR="00172691" w:rsidRPr="000F1CD9" w:rsidRDefault="00172691" w:rsidP="005B5BFB">
            <w:pPr>
              <w:spacing w:before="156" w:after="163"/>
              <w:ind w:firstLineChars="0" w:firstLine="0"/>
              <w:jc w:val="right"/>
              <w:rPr>
                <w:rFonts w:ascii="Arial" w:eastAsia="DengXian" w:hAnsi="Arial" w:cs="Arial"/>
                <w:color w:val="000000" w:themeColor="text1"/>
                <w:szCs w:val="21"/>
              </w:rPr>
            </w:pPr>
            <w:r w:rsidRPr="000F1CD9">
              <w:rPr>
                <w:rFonts w:ascii="Arial" w:eastAsia="宋体" w:hAnsi="Arial" w:cs="Arial"/>
                <w:szCs w:val="21"/>
              </w:rPr>
              <w:t>(</w:t>
            </w:r>
            <w:r w:rsidRPr="000F1CD9">
              <w:rPr>
                <w:rFonts w:ascii="Arial" w:hAnsi="Arial" w:cs="Arial"/>
              </w:rPr>
              <w:fldChar w:fldCharType="begin"/>
            </w:r>
            <w:r w:rsidRPr="000F1CD9">
              <w:rPr>
                <w:rFonts w:ascii="Arial" w:eastAsia="宋体" w:hAnsi="Arial" w:cs="Arial"/>
                <w:szCs w:val="21"/>
              </w:rPr>
              <w:instrText>LISTNUM  NumberDefault \l 0</w:instrText>
            </w:r>
            <w:r w:rsidRPr="000F1CD9">
              <w:rPr>
                <w:rFonts w:ascii="Arial" w:eastAsia="宋体" w:hAnsi="Arial" w:cs="Arial"/>
                <w:szCs w:val="21"/>
              </w:rPr>
              <w:fldChar w:fldCharType="separate"/>
            </w:r>
            <w:r w:rsidRPr="000F1CD9">
              <w:rPr>
                <w:rFonts w:ascii="Arial" w:eastAsia="宋体" w:hAnsi="Arial" w:cs="Arial"/>
                <w:szCs w:val="21"/>
              </w:rPr>
              <w:fldChar w:fldCharType="end"/>
            </w:r>
          </w:p>
        </w:tc>
      </w:tr>
    </w:tbl>
    <w:p w14:paraId="137B732C" w14:textId="77777777" w:rsidR="00172691" w:rsidRDefault="00172691" w:rsidP="00172691">
      <w:pPr>
        <w:ind w:firstLineChars="0" w:firstLine="0"/>
        <w:rPr>
          <w:rFonts w:eastAsia="宋体"/>
          <w:color w:val="000000" w:themeColor="text1"/>
        </w:rPr>
      </w:pPr>
      <w:r>
        <w:rPr>
          <w:color w:val="000000" w:themeColor="text1"/>
        </w:rPr>
        <w:t>where</w:t>
      </w:r>
      <w:r>
        <w:rPr>
          <w:color w:val="000000" w:themeColor="text1"/>
          <w:szCs w:val="24"/>
        </w:rPr>
        <w:t xml:space="preserve"> </w:t>
      </w:r>
      <m:oMath>
        <m:r>
          <w:rPr>
            <w:rFonts w:ascii="Cambria Math" w:hAnsi="Cambria Math"/>
          </w:rPr>
          <m:t>GH</m:t>
        </m:r>
        <m:sSub>
          <m:sSubPr>
            <m:ctrlPr>
              <w:rPr>
                <w:rFonts w:ascii="Cambria Math" w:hAnsi="Cambria Math"/>
              </w:rPr>
            </m:ctrlPr>
          </m:sSubPr>
          <m:e>
            <m:r>
              <w:rPr>
                <w:rFonts w:ascii="Cambria Math" w:hAnsi="Cambria Math"/>
              </w:rPr>
              <m:t>G</m:t>
            </m:r>
          </m:e>
          <m:sub>
            <m:r>
              <w:rPr>
                <w:rFonts w:ascii="Cambria Math" w:hAnsi="Cambria Math"/>
              </w:rPr>
              <m:t>t</m:t>
            </m:r>
          </m:sub>
        </m:sSub>
      </m:oMath>
      <w:r>
        <w:rPr>
          <w:color w:val="000000" w:themeColor="text1"/>
        </w:rPr>
        <w:t xml:space="preserve"> represents total net GHG emissions from land in year </w:t>
      </w:r>
      <w:r>
        <w:rPr>
          <w:i/>
          <w:iCs/>
          <w:color w:val="000000" w:themeColor="text1"/>
        </w:rPr>
        <w:t>t</w:t>
      </w:r>
      <w:r>
        <w:rPr>
          <w:color w:val="000000" w:themeColor="text1"/>
        </w:rPr>
        <w:t xml:space="preserve">, </w:t>
      </w:r>
      <m:oMath>
        <m:sSub>
          <m:sSubPr>
            <m:ctrlPr>
              <w:rPr>
                <w:rFonts w:ascii="Cambria Math" w:hAnsi="Cambria Math"/>
              </w:rPr>
            </m:ctrlPr>
          </m:sSubPr>
          <m:e>
            <m:r>
              <w:rPr>
                <w:rFonts w:ascii="Cambria Math" w:hAnsi="Cambria Math"/>
              </w:rPr>
              <m:t>G</m:t>
            </m:r>
          </m:e>
          <m:sub>
            <m:r>
              <w:rPr>
                <w:rFonts w:ascii="Cambria Math" w:hAnsi="Cambria Math"/>
              </w:rPr>
              <m:t>j</m:t>
            </m:r>
          </m:sub>
        </m:sSub>
      </m:oMath>
      <w:r>
        <w:rPr>
          <w:color w:val="000000" w:themeColor="text1"/>
          <w:szCs w:val="24"/>
        </w:rPr>
        <w:t xml:space="preserve"> </w:t>
      </w:r>
      <w:r>
        <w:rPr>
          <w:color w:val="000000" w:themeColor="text1"/>
        </w:rPr>
        <w:t xml:space="preserve">represents net GHG emissions for agricultural land-use </w:t>
      </w:r>
      <w:r>
        <w:rPr>
          <w:rFonts w:eastAsia="DengXian" w:cs="Arial"/>
          <w:i/>
          <w:color w:val="000000" w:themeColor="text1"/>
        </w:rPr>
        <w:t>j</w:t>
      </w:r>
      <w:r>
        <w:rPr>
          <w:color w:val="000000" w:themeColor="text1"/>
        </w:rPr>
        <w:t xml:space="preserve">, </w:t>
      </w:r>
      <m:oMath>
        <m:sSub>
          <m:sSubPr>
            <m:ctrlPr>
              <w:rPr>
                <w:rFonts w:ascii="Cambria Math" w:hAnsi="Cambria Math"/>
              </w:rPr>
            </m:ctrlPr>
          </m:sSubPr>
          <m:e>
            <m:r>
              <w:rPr>
                <w:rFonts w:ascii="Cambria Math" w:hAnsi="Cambria Math"/>
              </w:rPr>
              <m:t>A</m:t>
            </m:r>
          </m:e>
          <m:sub>
            <m:r>
              <w:rPr>
                <w:rFonts w:ascii="Cambria Math" w:hAnsi="Cambria Math"/>
              </w:rPr>
              <m:t>r</m:t>
            </m:r>
          </m:sub>
        </m:sSub>
      </m:oMath>
      <w:r>
        <w:rPr>
          <w:color w:val="000000" w:themeColor="text1"/>
        </w:rPr>
        <w:t xml:space="preserve">represents the area for cell </w:t>
      </w:r>
      <w:r>
        <w:rPr>
          <w:rFonts w:eastAsia="DengXian" w:cs="Arial"/>
          <w:i/>
          <w:color w:val="000000" w:themeColor="text1"/>
        </w:rPr>
        <w:t>r</w:t>
      </w:r>
      <w:r>
        <w:rPr>
          <w:color w:val="000000" w:themeColor="text1"/>
        </w:rPr>
        <w:t xml:space="preserve">, </w:t>
      </w:r>
      <m:oMath>
        <m:sSub>
          <m:sSubPr>
            <m:ctrlPr>
              <w:rPr>
                <w:rFonts w:ascii="Cambria Math" w:hAnsi="Cambria Math"/>
              </w:rPr>
            </m:ctrlPr>
          </m:sSubPr>
          <m:e>
            <m:r>
              <w:rPr>
                <w:rFonts w:ascii="Cambria Math" w:hAnsi="Cambria Math"/>
              </w:rPr>
              <m:t>G</m:t>
            </m:r>
          </m:e>
          <m:sub>
            <m:r>
              <w:rPr>
                <w:rFonts w:ascii="Cambria Math" w:hAnsi="Cambria Math"/>
              </w:rPr>
              <m:t>k</m:t>
            </m:r>
          </m:sub>
        </m:sSub>
      </m:oMath>
      <w:r>
        <w:rPr>
          <w:color w:val="000000" w:themeColor="text1"/>
          <w:szCs w:val="24"/>
        </w:rPr>
        <w:t xml:space="preserve"> </w:t>
      </w:r>
      <w:r>
        <w:rPr>
          <w:color w:val="000000" w:themeColor="text1"/>
        </w:rPr>
        <w:t xml:space="preserve">represents net GHG emissions for non-agricultural land-use </w:t>
      </w:r>
      <w:r>
        <w:rPr>
          <w:rFonts w:eastAsia="DengXian" w:cs="Arial"/>
          <w:i/>
          <w:color w:val="000000" w:themeColor="text1"/>
        </w:rPr>
        <w:t>k</w:t>
      </w:r>
      <w:r>
        <w:rPr>
          <w:color w:val="000000" w:themeColor="text1"/>
        </w:rPr>
        <w:t xml:space="preserve">, </w:t>
      </w:r>
      <m:oMath>
        <m:sSub>
          <m:sSubPr>
            <m:ctrlPr>
              <w:rPr>
                <w:rFonts w:ascii="Cambria Math" w:hAnsi="Cambria Math"/>
              </w:rPr>
            </m:ctrlPr>
          </m:sSubPr>
          <m:e>
            <m:r>
              <w:rPr>
                <w:rFonts w:ascii="Cambria Math" w:hAnsi="Cambria Math"/>
              </w:rPr>
              <m:t>MG</m:t>
            </m:r>
          </m:e>
          <m:sub>
            <m:r>
              <w:rPr>
                <w:rFonts w:ascii="Cambria Math" w:hAnsi="Cambria Math"/>
              </w:rPr>
              <m:t>jm</m:t>
            </m:r>
          </m:sub>
        </m:sSub>
      </m:oMath>
      <w:r>
        <w:rPr>
          <w:color w:val="000000" w:themeColor="text1"/>
          <w:szCs w:val="24"/>
        </w:rPr>
        <w:t xml:space="preserve"> </w:t>
      </w:r>
      <w:r>
        <w:rPr>
          <w:color w:val="000000" w:themeColor="text1"/>
        </w:rPr>
        <w:t xml:space="preserve">represents the impact modifier of agricultural management </w:t>
      </w:r>
      <w:r>
        <w:rPr>
          <w:i/>
          <w:iCs/>
          <w:color w:val="000000" w:themeColor="text1"/>
        </w:rPr>
        <w:t>m</w:t>
      </w:r>
      <w:r>
        <w:rPr>
          <w:color w:val="000000" w:themeColor="text1"/>
        </w:rPr>
        <w:t xml:space="preserve"> on GHG emissions</w:t>
      </w:r>
      <w:r>
        <w:rPr>
          <w:b/>
          <w:bCs/>
          <w:color w:val="000000" w:themeColor="text1"/>
        </w:rPr>
        <w:t xml:space="preserve"> </w:t>
      </w:r>
      <w:r>
        <w:rPr>
          <w:color w:val="000000" w:themeColor="text1"/>
        </w:rPr>
        <w:t xml:space="preserve">of agricultural land-use </w:t>
      </w:r>
      <w:r>
        <w:rPr>
          <w:i/>
          <w:iCs/>
          <w:color w:val="000000" w:themeColor="text1"/>
        </w:rPr>
        <w:t>j</w:t>
      </w:r>
      <w:r>
        <w:rPr>
          <w:color w:val="000000" w:themeColor="text1"/>
        </w:rPr>
        <w:t xml:space="preserve">, </w:t>
      </w:r>
      <m:oMath>
        <m:sSub>
          <m:sSubPr>
            <m:ctrlPr>
              <w:rPr>
                <w:rFonts w:ascii="Cambria Math" w:hAnsi="Cambria Math"/>
              </w:rPr>
            </m:ctrlPr>
          </m:sSubPr>
          <m:e>
            <m:r>
              <w:rPr>
                <w:rFonts w:ascii="Cambria Math" w:hAnsi="Cambria Math"/>
              </w:rPr>
              <m:t>X</m:t>
            </m:r>
          </m:e>
          <m:sub>
            <m:r>
              <w:rPr>
                <w:rFonts w:ascii="Cambria Math" w:hAnsi="Cambria Math"/>
              </w:rPr>
              <m:t>rt</m:t>
            </m:r>
            <m:d>
              <m:dPr>
                <m:ctrlPr>
                  <w:rPr>
                    <w:rFonts w:ascii="Cambria Math" w:hAnsi="Cambria Math"/>
                  </w:rPr>
                </m:ctrlPr>
              </m:dPr>
              <m:e>
                <m:r>
                  <w:rPr>
                    <w:rFonts w:ascii="Cambria Math" w:hAnsi="Cambria Math"/>
                  </w:rPr>
                  <m:t>j→</m:t>
                </m:r>
                <m:sSup>
                  <m:sSupPr>
                    <m:ctrlPr>
                      <w:rPr>
                        <w:rFonts w:ascii="Cambria Math" w:hAnsi="Cambria Math"/>
                      </w:rPr>
                    </m:ctrlPr>
                  </m:sSupPr>
                  <m:e>
                    <m:r>
                      <w:rPr>
                        <w:rFonts w:ascii="Cambria Math" w:hAnsi="Cambria Math"/>
                      </w:rPr>
                      <m:t>j</m:t>
                    </m:r>
                  </m:e>
                  <m:sup>
                    <m:r>
                      <w:rPr>
                        <w:rFonts w:ascii="Cambria Math" w:hAnsi="Cambria Math"/>
                      </w:rPr>
                      <m:t>'</m:t>
                    </m:r>
                  </m:sup>
                </m:sSup>
              </m:e>
            </m:d>
          </m:sub>
        </m:sSub>
      </m:oMath>
      <w:r>
        <w:rPr>
          <w:color w:val="000000" w:themeColor="text1"/>
        </w:rPr>
        <w:t xml:space="preserve"> represents the proportion of grid cell </w:t>
      </w:r>
      <w:r>
        <w:rPr>
          <w:rFonts w:eastAsia="DengXian" w:cs="Arial"/>
          <w:i/>
          <w:color w:val="000000" w:themeColor="text1"/>
        </w:rPr>
        <w:t>r</w:t>
      </w:r>
      <w:r>
        <w:rPr>
          <w:color w:val="000000" w:themeColor="text1"/>
        </w:rPr>
        <w:t xml:space="preserve"> transitioning from land use </w:t>
      </w:r>
      <w:r>
        <w:rPr>
          <w:rFonts w:eastAsia="DengXian" w:cs="Arial"/>
          <w:i/>
          <w:color w:val="000000" w:themeColor="text1"/>
        </w:rPr>
        <w:t>j</w:t>
      </w:r>
      <w:r>
        <w:rPr>
          <w:color w:val="000000" w:themeColor="text1"/>
        </w:rPr>
        <w:t xml:space="preserve"> to land use </w:t>
      </w:r>
      <w:r>
        <w:rPr>
          <w:rFonts w:eastAsia="DengXian" w:cs="Arial"/>
          <w:i/>
          <w:color w:val="000000" w:themeColor="text1"/>
        </w:rPr>
        <w:t>j’</w:t>
      </w:r>
      <w:r>
        <w:rPr>
          <w:color w:val="000000" w:themeColor="text1"/>
        </w:rPr>
        <w:t xml:space="preserve"> in year</w:t>
      </w:r>
      <w:r>
        <w:rPr>
          <w:rFonts w:eastAsia="DengXian" w:cs="Arial"/>
          <w:i/>
          <w:color w:val="000000" w:themeColor="text1"/>
        </w:rPr>
        <w:t xml:space="preserve"> t</w:t>
      </w:r>
      <w:r>
        <w:rPr>
          <w:color w:val="000000" w:themeColor="text1"/>
        </w:rPr>
        <w:t xml:space="preserve">, </w:t>
      </w:r>
      <m:oMath>
        <m:sSub>
          <m:sSubPr>
            <m:ctrlPr>
              <w:rPr>
                <w:rFonts w:ascii="Cambria Math" w:hAnsi="Cambria Math"/>
              </w:rPr>
            </m:ctrlPr>
          </m:sSubPr>
          <m:e>
            <m:r>
              <w:rPr>
                <w:rFonts w:ascii="Cambria Math" w:hAnsi="Cambria Math"/>
              </w:rPr>
              <m:t>G</m:t>
            </m:r>
          </m:e>
          <m:sub>
            <m:r>
              <w:rPr>
                <w:rFonts w:ascii="Cambria Math" w:hAnsi="Cambria Math"/>
              </w:rPr>
              <m:t>j→j'</m:t>
            </m:r>
          </m:sub>
        </m:sSub>
      </m:oMath>
      <w:r>
        <w:rPr>
          <w:color w:val="000000" w:themeColor="text1"/>
        </w:rPr>
        <w:t xml:space="preserve"> represents the GHG emissions associated with transitioning from land use </w:t>
      </w:r>
      <w:r>
        <w:rPr>
          <w:rFonts w:eastAsia="DengXian" w:cs="Arial"/>
          <w:i/>
          <w:color w:val="000000" w:themeColor="text1"/>
        </w:rPr>
        <w:t>j</w:t>
      </w:r>
      <w:r>
        <w:rPr>
          <w:color w:val="000000" w:themeColor="text1"/>
        </w:rPr>
        <w:t xml:space="preserve"> to land use </w:t>
      </w:r>
      <w:r>
        <w:rPr>
          <w:rFonts w:eastAsia="DengXian" w:cs="Arial"/>
          <w:i/>
          <w:color w:val="000000" w:themeColor="text1"/>
        </w:rPr>
        <w:t>j’</w:t>
      </w:r>
      <w:r>
        <w:rPr>
          <w:color w:val="000000" w:themeColor="text1"/>
        </w:rPr>
        <w:t>.</w:t>
      </w:r>
    </w:p>
    <w:p w14:paraId="01FE1E74" w14:textId="77777777" w:rsidR="00172691" w:rsidRDefault="00172691" w:rsidP="00172691">
      <w:pPr>
        <w:pStyle w:val="3"/>
        <w:rPr>
          <w:rFonts w:eastAsia="宋体"/>
          <w:color w:val="000000" w:themeColor="text1"/>
        </w:rPr>
      </w:pPr>
      <w:r>
        <w:rPr>
          <w:rFonts w:eastAsia="宋体"/>
          <w:color w:val="000000" w:themeColor="text1"/>
        </w:rPr>
        <w:t>Biodiversity</w:t>
      </w:r>
      <w:r>
        <w:rPr>
          <w:rFonts w:eastAsia="宋体" w:hint="eastAsia"/>
          <w:color w:val="000000" w:themeColor="text1"/>
        </w:rPr>
        <w:t xml:space="preserve"> </w:t>
      </w:r>
      <w:r>
        <w:rPr>
          <w:rFonts w:eastAsia="宋体"/>
          <w:color w:val="000000" w:themeColor="text1"/>
        </w:rPr>
        <w:t>modelling</w:t>
      </w:r>
    </w:p>
    <w:p w14:paraId="0CE2F5DA" w14:textId="7A94D086" w:rsidR="00172691" w:rsidRDefault="00172691" w:rsidP="00172691">
      <w:pPr>
        <w:ind w:firstLine="420"/>
        <w:rPr>
          <w:rFonts w:eastAsia="DengXian"/>
          <w:color w:val="000000" w:themeColor="text1"/>
          <w:sz w:val="24"/>
        </w:rPr>
      </w:pPr>
      <w:r>
        <w:rPr>
          <w:rFonts w:eastAsia="DengXian"/>
          <w:color w:val="000000" w:themeColor="text1"/>
        </w:rPr>
        <w:t xml:space="preserve">In the LUTO2 model, each land use (agricultural land-use and non-agricultural land-use) and management type was assigned a </w:t>
      </w:r>
      <w:r>
        <w:rPr>
          <w:rFonts w:eastAsia="DengXian"/>
          <w:i/>
          <w:iCs/>
          <w:color w:val="000000" w:themeColor="text1"/>
        </w:rPr>
        <w:t>biodiversity contribution  score</w:t>
      </w:r>
      <w:r>
        <w:rPr>
          <w:rFonts w:eastAsia="DengXian"/>
          <w:color w:val="000000" w:themeColor="text1"/>
        </w:rPr>
        <w:t xml:space="preserve"> (</w:t>
      </w:r>
      <w:r>
        <w:rPr>
          <w:rFonts w:eastAsia="DengXian"/>
          <w:i/>
          <w:iCs/>
          <w:color w:val="000000" w:themeColor="text1"/>
        </w:rPr>
        <w:t>B</w:t>
      </w:r>
      <w:r>
        <w:rPr>
          <w:rFonts w:eastAsia="DengXian" w:hint="eastAsia"/>
          <w:i/>
          <w:iCs/>
          <w:color w:val="000000" w:themeColor="text1"/>
        </w:rPr>
        <w:t>C</w:t>
      </w:r>
      <w:r>
        <w:rPr>
          <w:rFonts w:eastAsia="DengXian"/>
          <w:i/>
          <w:iCs/>
          <w:color w:val="000000" w:themeColor="text1"/>
          <w:vertAlign w:val="subscript"/>
        </w:rPr>
        <w:t>j</w:t>
      </w:r>
      <w:r>
        <w:rPr>
          <w:rFonts w:eastAsia="DengXian"/>
          <w:color w:val="000000" w:themeColor="text1"/>
        </w:rPr>
        <w:t>) as an indicator of the general level of native ecosystem composition and function remaining under each land use</w:t>
      </w:r>
      <w:r>
        <w:rPr>
          <w:rFonts w:eastAsia="DengXian" w:hint="eastAsia"/>
          <w:color w:val="000000" w:themeColor="text1"/>
        </w:rPr>
        <w:t xml:space="preserve"> </w:t>
      </w:r>
      <w:r>
        <w:rPr>
          <w:rFonts w:eastAsia="DengXian"/>
          <w:color w:val="000000" w:themeColor="text1"/>
        </w:rPr>
        <w:fldChar w:fldCharType="begin"/>
      </w:r>
      <w:r>
        <w:rPr>
          <w:rFonts w:eastAsia="DengXian"/>
          <w:color w:val="000000" w:themeColor="text1"/>
        </w:rPr>
        <w:instrText xml:space="preserve"> ADDIN EN.CITE &lt;EndNote&gt;&lt;Cite&gt;&lt;Author&gt;Azuero-Pedraza&lt;/Author&gt;&lt;Year&gt;2024&lt;/Year&gt;&lt;RecNum&gt;419&lt;/RecNum&gt;&lt;DisplayText&gt;&lt;style face="superscript"&gt;4,5&lt;/style&gt;&lt;/DisplayText&gt;&lt;record&gt;&lt;rec-number&gt;419&lt;/rec-number&gt;&lt;foreign-keys&gt;&lt;key app="EN" db-id="st0zxxax1wfadte9s5gpaptza9tfvrzsvaxs" timestamp="1747977241" guid="498ea6c1-c389-48d4-baca-c1ad4037347d"&gt;419&lt;/key&gt;&lt;/foreign-keys&gt;&lt;ref-type name="Journal Article"&gt;17&lt;/ref-type&gt;&lt;contributors&gt;&lt;authors&gt;&lt;author&gt;Azuero-Pedraza, Cindy G.&lt;/author&gt;&lt;author&gt;Thomas, Valerie M.&lt;/author&gt;&lt;/authors&gt;&lt;/contributors&gt;&lt;titles&gt;&lt;title&gt;Incorporating biodiversity impacts in land use decisions&lt;/title&gt;&lt;secondary-title&gt;Ecological Modelling&lt;/secondary-title&gt;&lt;/titles&gt;&lt;periodical&gt;&lt;full-title&gt;Ecological Modelling&lt;/full-title&gt;&lt;/periodical&gt;&lt;volume&gt;497&lt;/volume&gt;&lt;section&gt;110852&lt;/section&gt;&lt;dates&gt;&lt;year&gt;2024&lt;/year&gt;&lt;/dates&gt;&lt;isbn&gt;03043800&lt;/isbn&gt;&lt;urls&gt;&lt;/urls&gt;&lt;electronic-resource-num&gt;10.1016/j.ecolmodel.2024.110852&lt;/electronic-resource-num&gt;&lt;/record&gt;&lt;/Cite&gt;&lt;Cite&gt;&lt;Author&gt;Cabernard&lt;/Author&gt;&lt;Year&gt;2024&lt;/Year&gt;&lt;RecNum&gt;420&lt;/RecNum&gt;&lt;record&gt;&lt;rec-number&gt;420&lt;/rec-number&gt;&lt;foreign-keys&gt;&lt;key app="EN" db-id="st0zxxax1wfadte9s5gpaptza9tfvrzsvaxs" timestamp="1747977385" guid="eb8249a9-09ba-4379-a0b1-484c6df4f766"&gt;420&lt;/key&gt;&lt;/foreign-keys&gt;&lt;ref-type name="Journal Article"&gt;17&lt;/ref-type&gt;&lt;contributors&gt;&lt;authors&gt;&lt;author&gt;Cabernard, Livia&lt;/author&gt;&lt;author&gt;Pfister, Stephan&lt;/author&gt;&lt;author&gt;Hellweg, Stefanie&lt;/author&gt;&lt;/authors&gt;&lt;/contributors&gt;&lt;titles&gt;&lt;title&gt;Biodiversity impacts of recent land-use change driven by increases in agri-food imports&lt;/title&gt;&lt;secondary-title&gt;Nature Sustainability&lt;/secondary-title&gt;&lt;/titles&gt;&lt;periodical&gt;&lt;full-title&gt;Nature Sustainability&lt;/full-title&gt;&lt;/periodical&gt;&lt;pages&gt;1512-1524&lt;/pages&gt;&lt;volume&gt;7&lt;/volume&gt;&lt;number&gt;11&lt;/number&gt;&lt;section&gt;1512&lt;/section&gt;&lt;dates&gt;&lt;year&gt;2024&lt;/year&gt;&lt;/dates&gt;&lt;isbn&gt;2398-9629&lt;/isbn&gt;&lt;urls&gt;&lt;/urls&gt;&lt;electronic-resource-num&gt;10.1038/s41893-024-01433-4&lt;/electronic-resource-num&gt;&lt;/record&gt;&lt;/Cite&gt;&lt;/EndNote&gt;</w:instrText>
      </w:r>
      <w:r>
        <w:rPr>
          <w:rFonts w:eastAsia="DengXian"/>
          <w:color w:val="000000" w:themeColor="text1"/>
        </w:rPr>
        <w:fldChar w:fldCharType="separate"/>
      </w:r>
      <w:r>
        <w:rPr>
          <w:rFonts w:eastAsia="DengXian"/>
          <w:noProof/>
          <w:color w:val="000000" w:themeColor="text1"/>
          <w:vertAlign w:val="superscript"/>
        </w:rPr>
        <w:t>4,5</w:t>
      </w:r>
      <w:r>
        <w:rPr>
          <w:rFonts w:eastAsia="DengXian"/>
          <w:color w:val="000000" w:themeColor="text1"/>
        </w:rPr>
        <w:fldChar w:fldCharType="end"/>
      </w:r>
      <w:r>
        <w:rPr>
          <w:rFonts w:eastAsia="DengXian"/>
          <w:color w:val="000000" w:themeColor="text1"/>
        </w:rPr>
        <w:t xml:space="preserve">. We quantified the biodiversity contribution score for each of the 28 agricultural land uses using the Habitat Condition Assessment System (HCAS) version 3.1 </w:t>
      </w:r>
      <w:r>
        <w:rPr>
          <w:rFonts w:eastAsia="DengXian"/>
          <w:color w:val="000000" w:themeColor="text1"/>
        </w:rPr>
        <w:fldChar w:fldCharType="begin"/>
      </w:r>
      <w:r>
        <w:rPr>
          <w:rFonts w:eastAsia="DengXian"/>
          <w:color w:val="000000" w:themeColor="text1"/>
        </w:rPr>
        <w:instrText xml:space="preserve"> ADDIN EN.CITE &lt;EndNote&gt;&lt;Cite&gt;&lt;Author&gt;Munroe&lt;/Author&gt;&lt;Year&gt;2024&lt;/Year&gt;&lt;RecNum&gt;196&lt;/RecNum&gt;&lt;DisplayText&gt;&lt;style face="superscript"&gt;6&lt;/style&gt;&lt;/DisplayText&gt;&lt;record&gt;&lt;rec-number&gt;196&lt;/rec-number&gt;&lt;foreign-keys&gt;&lt;key app="EN" db-id="st0zxxax1wfadte9s5gpaptza9tfvrzsvaxs" timestamp="1728951929" guid="8d1544aa-8cc7-48ce-a9b9-4ebb9219911c"&gt;196&lt;/key&gt;&lt;/foreign-keys&gt;&lt;ref-type name="Report"&gt;27&lt;/ref-type&gt;&lt;contributors&gt;&lt;authors&gt;&lt;author&gt;Munroe, Samantha&lt;/author&gt;&lt;author&gt;Malley, Cassandra&lt;/author&gt;&lt;author&gt;Tetreault Campbell, Sally&lt;/author&gt;&lt;author&gt;Hazelwood, Liz&lt;/author&gt;&lt;author&gt;Gunawardana, Dayani&lt;/author&gt;&lt;author&gt;Perrott, Louise&lt;/author&gt;&lt;author&gt;Williams, Kristen&lt;/author&gt;&lt;/authors&gt;&lt;/contributors&gt;&lt;titles&gt;&lt;title&gt;Redesign kicks off for the Habitat Condition Assessment System&lt;/title&gt;&lt;/titles&gt;&lt;dates&gt;&lt;year&gt;2024&lt;/year&gt;&lt;/dates&gt;&lt;pub-location&gt;Australian Government Department of Climate Change, Energy, the Environment and Water&lt;/pub-location&gt;&lt;publisher&gt;CSIRO&lt;/publisher&gt;&lt;urls&gt;&lt;related-urls&gt;&lt;url&gt;http://hdl.handle.net/102.100.100/609036?index=1&lt;/url&gt;&lt;/related-urls&gt;&lt;/urls&gt;&lt;/record&gt;&lt;/Cite&gt;&lt;/EndNote&gt;</w:instrText>
      </w:r>
      <w:r>
        <w:rPr>
          <w:rFonts w:eastAsia="DengXian"/>
          <w:color w:val="000000" w:themeColor="text1"/>
        </w:rPr>
        <w:fldChar w:fldCharType="separate"/>
      </w:r>
      <w:r>
        <w:rPr>
          <w:rFonts w:eastAsia="DengXian"/>
          <w:noProof/>
          <w:color w:val="000000" w:themeColor="text1"/>
          <w:vertAlign w:val="superscript"/>
        </w:rPr>
        <w:t>6</w:t>
      </w:r>
      <w:r>
        <w:rPr>
          <w:rFonts w:eastAsia="DengXian"/>
          <w:color w:val="000000" w:themeColor="text1"/>
        </w:rPr>
        <w:fldChar w:fldCharType="end"/>
      </w:r>
      <w:r>
        <w:rPr>
          <w:rFonts w:eastAsia="DengXian"/>
          <w:color w:val="000000" w:themeColor="text1"/>
        </w:rPr>
        <w:t xml:space="preserve">. The HCAS method assesses habitat condition through a combination of remote sensing, spatial ecological modelling, and ground-based assessment, producing a condition score that ranges from 0 (completely degraded habitat with no value for native biodiversity) to 1 (pristine natural habitat condition) </w:t>
      </w:r>
      <w:r>
        <w:rPr>
          <w:rFonts w:eastAsia="宋体"/>
          <w:color w:val="000000" w:themeColor="text1"/>
        </w:rPr>
        <w:fldChar w:fldCharType="begin"/>
      </w:r>
      <w:r>
        <w:rPr>
          <w:rFonts w:eastAsia="宋体"/>
          <w:color w:val="000000" w:themeColor="text1"/>
        </w:rPr>
        <w:instrText xml:space="preserve"> ADDIN EN.CITE &lt;EndNote&gt;&lt;Cite&gt;&lt;Author&gt;Munroe&lt;/Author&gt;&lt;Year&gt;2024&lt;/Year&gt;&lt;RecNum&gt;196&lt;/RecNum&gt;&lt;DisplayText&gt;&lt;style face="superscript"&gt;6&lt;/style&gt;&lt;/DisplayText&gt;&lt;record&gt;&lt;rec-number&gt;196&lt;/rec-number&gt;&lt;foreign-keys&gt;&lt;key app="EN" db-id="st0zxxax1wfadte9s5gpaptza9tfvrzsvaxs" timestamp="1728951929" guid="8d1544aa-8cc7-48ce-a9b9-4ebb9219911c"&gt;196&lt;/key&gt;&lt;/foreign-keys&gt;&lt;ref-type name="Report"&gt;27&lt;/ref-type&gt;&lt;contributors&gt;&lt;authors&gt;&lt;author&gt;Munroe, Samantha&lt;/author&gt;&lt;author&gt;Malley, Cassandra&lt;/author&gt;&lt;author&gt;Tetreault Campbell, Sally&lt;/author&gt;&lt;author&gt;Hazelwood, Liz&lt;/author&gt;&lt;author&gt;Gunawardana, Dayani&lt;/author&gt;&lt;author&gt;Perrott, Louise&lt;/author&gt;&lt;author&gt;Williams, Kristen&lt;/author&gt;&lt;/authors&gt;&lt;/contributors&gt;&lt;titles&gt;&lt;title&gt;Redesign kicks off for the Habitat Condition Assessment System&lt;/title&gt;&lt;/titles&gt;&lt;dates&gt;&lt;year&gt;2024&lt;/year&gt;&lt;/dates&gt;&lt;pub-location&gt;Australian Government Department of Climate Change, Energy, the Environment and Water&lt;/pub-location&gt;&lt;publisher&gt;CSIRO&lt;/publisher&gt;&lt;urls&gt;&lt;related-urls&gt;&lt;url&gt;http://hdl.handle.net/102.100.100/609036?index=1&lt;/url&gt;&lt;/related-urls&gt;&lt;/urls&gt;&lt;/record&gt;&lt;/Cite&gt;&lt;/EndNote&gt;</w:instrText>
      </w:r>
      <w:r>
        <w:rPr>
          <w:rFonts w:eastAsia="宋体"/>
          <w:color w:val="000000" w:themeColor="text1"/>
        </w:rPr>
        <w:fldChar w:fldCharType="separate"/>
      </w:r>
      <w:r>
        <w:rPr>
          <w:rFonts w:eastAsia="宋体"/>
          <w:noProof/>
          <w:color w:val="000000" w:themeColor="text1"/>
          <w:vertAlign w:val="superscript"/>
        </w:rPr>
        <w:t>6</w:t>
      </w:r>
      <w:r>
        <w:rPr>
          <w:rFonts w:eastAsia="宋体"/>
          <w:color w:val="000000" w:themeColor="text1"/>
        </w:rPr>
        <w:fldChar w:fldCharType="end"/>
      </w:r>
      <w:r>
        <w:rPr>
          <w:rFonts w:eastAsia="DengXian"/>
          <w:color w:val="000000" w:themeColor="text1"/>
        </w:rPr>
        <w:t>. HCAS scores were summarised for each agricultural land use across Australia</w:t>
      </w:r>
      <w:r>
        <w:rPr>
          <w:rFonts w:eastAsia="DengXian" w:hint="eastAsia"/>
          <w:color w:val="000000" w:themeColor="text1"/>
        </w:rPr>
        <w:t xml:space="preserve"> </w:t>
      </w:r>
      <w:r>
        <w:rPr>
          <w:rFonts w:eastAsia="DengXian"/>
          <w:color w:val="000000" w:themeColor="text1"/>
        </w:rPr>
        <w:t xml:space="preserve">over 1988-2022 and biodiversity contribution scores were taken as the median HCAS score across each land-use. These were then linearly rescaled to a 0–1 range with Unallocated – natural land assigned a benchmark value of 1. Contribution scores for non-agricultural land uses were assigned based on literature review, with values of 0.8 for Environmental plantings, 0.75 for Agroforestry, 1.2 for Riparian buffer restoration, 0.1 for Carbon plantings, and 1.0 for Destocked natural land </w:t>
      </w:r>
      <w:r>
        <w:fldChar w:fldCharType="begin">
          <w:fldData xml:space="preserve">PEVuZE5vdGU+PENpdGU+PEF1dGhvcj5Db2xsYXJkPC9BdXRob3I+PFllYXI+MjAxMDwvWWVhcj48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==
</w:fldData>
        </w:fldChar>
      </w:r>
      <w:r>
        <w:instrText xml:space="preserve"> ADDIN EN.CITE </w:instrText>
      </w:r>
      <w:r>
        <w:fldChar w:fldCharType="begin">
          <w:fldData xml:space="preserve">PEVuZE5vdGU+PENpdGU+PEF1dGhvcj5Db2xsYXJkPC9BdXRob3I+PFllYXI+MjAxMDwvWWVhcj48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==
</w:fldData>
        </w:fldChar>
      </w:r>
      <w:r>
        <w:instrText xml:space="preserve"> ADDIN EN.CITE.DATA </w:instrText>
      </w:r>
      <w:r>
        <w:fldChar w:fldCharType="end"/>
      </w:r>
      <w:r>
        <w:fldChar w:fldCharType="separate"/>
      </w:r>
      <w:r>
        <w:rPr>
          <w:noProof/>
          <w:vertAlign w:val="superscript"/>
        </w:rPr>
        <w:t>7-9</w:t>
      </w:r>
      <w:r>
        <w:fldChar w:fldCharType="end"/>
      </w:r>
      <w:r>
        <w:rPr>
          <w:rFonts w:eastAsia="DengXian"/>
          <w:color w:val="000000" w:themeColor="text1"/>
        </w:rPr>
        <w:t xml:space="preserve">. Additionally, for areas eligible for early dry season savanna burning (EDSSB), we treated this practice as a management strategy positively influencing biodiversity. Following </w:t>
      </w:r>
      <w:r>
        <w:fldChar w:fldCharType="begin">
          <w:fldData xml:space="preserve">PEVuZE5vdGU+PENpdGUgQXV0aG9yWWVhcj0iMSI+PEF1dGhvcj5FZHdhcmRzPC9BdXRob3I+PFll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</w:fldData>
        </w:fldChar>
      </w:r>
      <w:r>
        <w:instrText xml:space="preserve"> ADDIN EN.CITE </w:instrText>
      </w:r>
      <w:r>
        <w:fldChar w:fldCharType="begin">
          <w:fldData xml:space="preserve">PEVuZE5vdGU+PENpdGUgQXV0aG9yWWVhcj0iMSI+PEF1dGhvcj5FZHdhcmRzPC9BdXRob3I+PFll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</w:fldData>
        </w:fldChar>
      </w:r>
      <w:r>
        <w:instrText xml:space="preserve"> ADDIN EN.CITE.DATA </w:instrText>
      </w:r>
      <w:r>
        <w:fldChar w:fldCharType="end"/>
      </w:r>
      <w:r>
        <w:fldChar w:fldCharType="separate"/>
      </w:r>
      <w:r>
        <w:rPr>
          <w:noProof/>
        </w:rPr>
        <w:t xml:space="preserve">Edwards, et al. </w:t>
      </w:r>
      <w:r>
        <w:rPr>
          <w:noProof/>
          <w:vertAlign w:val="superscript"/>
        </w:rPr>
        <w:t>10</w:t>
      </w:r>
      <w:r>
        <w:fldChar w:fldCharType="end"/>
      </w:r>
      <w:r>
        <w:rPr>
          <w:rFonts w:eastAsia="DengXian"/>
          <w:color w:val="000000" w:themeColor="text1"/>
        </w:rPr>
        <w:t xml:space="preserve"> and </w:t>
      </w:r>
      <w:r>
        <w:rPr>
          <w:rFonts w:eastAsia="DengXian"/>
          <w:color w:val="000000" w:themeColor="text1"/>
        </w:rPr>
        <w:fldChar w:fldCharType="begin"/>
      </w:r>
      <w:r>
        <w:rPr>
          <w:rFonts w:eastAsia="DengXian"/>
          <w:color w:val="000000" w:themeColor="text1"/>
        </w:rPr>
        <w:instrText xml:space="preserve"> ADDIN EN.CITE &lt;EndNote&gt;&lt;Cite AuthorYear="1"&gt;&lt;Author&gt;Runting&lt;/Author&gt;&lt;Year&gt;2024&lt;/Year&gt;&lt;RecNum&gt;185&lt;/RecNum&gt;&lt;DisplayText&gt;Runting, et al. &lt;style face="superscript"&gt;11&lt;/style&gt;&lt;/DisplayText&gt;&lt;record&gt;&lt;rec-number&gt;185&lt;/rec-number&gt;&lt;foreign-keys&gt;&lt;key app="EN" db-id="st0zxxax1wfadte9s5gpaptza9tfvrzsvaxs" timestamp="1722507892" guid="876d4233-5f2a-4ab8-ac17-67eb87140044"&gt;185&lt;/key&gt;&lt;/foreign-keys&gt;&lt;ref-type name="Journal Article"&gt;17&lt;/ref-type&gt;&lt;contributors&gt;&lt;authors&gt;&lt;author&gt;Runting, Rebecca K.&lt;/author&gt;&lt;author&gt;King, Darran&lt;/author&gt;&lt;author&gt;Nolan, Martin&lt;/author&gt;&lt;author&gt;Navarro, Javier&lt;/author&gt;&lt;author&gt;Marcos-Martinez, Raymundo&lt;/author&gt;&lt;author&gt;Rhodes, Jonathan R.&lt;/author&gt;&lt;author&gt;Gao, Lei&lt;/author&gt;&lt;author&gt;Watson, Ian&lt;/author&gt;&lt;author&gt;Ash, Andrew&lt;/author&gt;&lt;author&gt;Reside, April E.&lt;/author&gt;&lt;author&gt;Álvarez-Romero, Jorge G.&lt;/author&gt;&lt;author&gt;Wells, Jessie A.&lt;/author&gt;&lt;author&gt;Ritchie, Euan G.&lt;/author&gt;&lt;author&gt;Hadjikakou, Michalis&lt;/author&gt;&lt;author&gt;Driscoll, Don A.&lt;/author&gt;&lt;author&gt;Connor, Jeffery D.&lt;/author&gt;&lt;author&gt;Garber, Jonathan&lt;/author&gt;&lt;author&gt;Bryan, Brett A.&lt;/author&gt;&lt;/authors&gt;&lt;/contributors&gt;&lt;titles&gt;&lt;title&gt;Balancing production and environmental outcomes in Australia’s tropical savanna under global change&lt;/title&gt;&lt;secondary-title&gt;Environmental Research Letters&lt;/secondary-title&gt;&lt;/titles&gt;&lt;periodical&gt;&lt;full-title&gt;Environmental Research Letters&lt;/full-title&gt;&lt;abbr-1&gt;Environ. Res. Lett.&lt;/abbr-1&gt;&lt;/periodical&gt;&lt;volume&gt;19&lt;/volume&gt;&lt;number&gt;10&lt;/number&gt;&lt;section&gt;104014&lt;/section&gt;&lt;keywords&gt;&lt;keyword&gt;climate change&lt;/keyword&gt;&lt;keyword&gt;Ecosystem Services&lt;/keyword&gt;&lt;keyword&gt;global change&lt;/keyword&gt;&lt;keyword&gt;carbon&lt;/keyword&gt;&lt;keyword&gt;rangelands&lt;/keyword&gt;&lt;keyword&gt;savanna&lt;/keyword&gt;&lt;keyword&gt;Northern Australia&lt;/keyword&gt;&lt;keyword&gt;grazing&lt;/keyword&gt;&lt;keyword&gt;beef&lt;/keyword&gt;&lt;keyword&gt;fire&lt;/keyword&gt;&lt;/keywords&gt;&lt;dates&gt;&lt;year&gt;2024&lt;/year&gt;&lt;pub-dates&gt;&lt;date&gt;02/10&lt;/date&gt;&lt;/pub-dates&gt;&lt;/dates&gt;&lt;isbn&gt;1748-9326&lt;/isbn&gt;&lt;urls&gt;&lt;related-urls&gt;&lt;url&gt;https://doi.org/10.32942/X2603M&lt;/url&gt;&lt;/related-urls&gt;&lt;/urls&gt;&lt;electronic-resource-num&gt;10.1088/1748-9326/ad6f2d&lt;/electronic-resource-num&gt;&lt;/record&gt;&lt;/Cite&gt;&lt;/EndNote&gt;</w:instrText>
      </w:r>
      <w:r>
        <w:rPr>
          <w:rFonts w:eastAsia="DengXian"/>
          <w:color w:val="000000" w:themeColor="text1"/>
        </w:rPr>
        <w:fldChar w:fldCharType="separate"/>
      </w:r>
      <w:r>
        <w:rPr>
          <w:rFonts w:eastAsia="DengXian"/>
          <w:noProof/>
          <w:color w:val="000000" w:themeColor="text1"/>
        </w:rPr>
        <w:t xml:space="preserve">Runting, et al. </w:t>
      </w:r>
      <w:r>
        <w:rPr>
          <w:rFonts w:eastAsia="DengXian"/>
          <w:noProof/>
          <w:color w:val="000000" w:themeColor="text1"/>
          <w:vertAlign w:val="superscript"/>
        </w:rPr>
        <w:t>11</w:t>
      </w:r>
      <w:r>
        <w:rPr>
          <w:rFonts w:eastAsia="DengXian"/>
          <w:color w:val="000000" w:themeColor="text1"/>
        </w:rPr>
        <w:fldChar w:fldCharType="end"/>
      </w:r>
      <w:r>
        <w:rPr>
          <w:rFonts w:eastAsia="DengXian"/>
          <w:color w:val="000000" w:themeColor="text1"/>
        </w:rPr>
        <w:t>, we assumed a biodiversity contribution reduction factor of 0.8 for eligible natural areas not managed using EDSSB. Biodiversity in</w:t>
      </w:r>
      <w:r>
        <w:rPr>
          <w:rFonts w:eastAsia="DengXian"/>
          <w:i/>
          <w:iCs/>
          <w:color w:val="000000" w:themeColor="text1"/>
        </w:rPr>
        <w:t xml:space="preserve"> </w:t>
      </w:r>
      <w:r>
        <w:rPr>
          <w:rFonts w:eastAsia="DengXian"/>
          <w:color w:val="000000" w:themeColor="text1"/>
        </w:rPr>
        <w:t xml:space="preserve">year </w:t>
      </w:r>
      <w:r>
        <w:rPr>
          <w:rFonts w:eastAsia="DengXian"/>
          <w:i/>
          <w:iCs/>
          <w:color w:val="000000" w:themeColor="text1"/>
        </w:rPr>
        <w:t>t</w:t>
      </w:r>
      <m:oMath>
        <m:sSub>
          <m:sSubPr>
            <m:ctrlPr>
              <w:rPr>
                <w:rFonts w:ascii="Cambria Math" w:hAnsi="Cambria Math"/>
              </w:rPr>
            </m:ctrlPr>
          </m:sSubPr>
          <m:e>
            <m:r>
              <m:rPr>
                <m:lit/>
                <m:nor/>
              </m:rPr>
              <m:t xml:space="preserve"> </m:t>
            </m:r>
            <m:r>
              <w:rPr>
                <w:rFonts w:ascii="Cambria Math" w:hAnsi="Cambria Math"/>
              </w:rPr>
              <m:t>(B</m:t>
            </m:r>
          </m:e>
          <m:sub>
            <m:r>
              <w:rPr>
                <w:rFonts w:ascii="Cambria Math" w:hAnsi="Cambria Math"/>
              </w:rPr>
              <m:t>t</m:t>
            </m:r>
          </m:sub>
        </m:sSub>
        <m:r>
          <w:rPr>
            <w:rFonts w:ascii="Cambria Math" w:hAnsi="Cambria Math"/>
          </w:rPr>
          <m:t>)</m:t>
        </m:r>
      </m:oMath>
      <w:r>
        <w:rPr>
          <w:rFonts w:eastAsia="DengXian"/>
          <w:color w:val="000000" w:themeColor="text1"/>
        </w:rPr>
        <w:t xml:space="preserve"> is then calculated as a contribution-weighted area score:</w:t>
      </w:r>
    </w:p>
    <w:tbl>
      <w:tblPr>
        <w:tblStyle w:val="TableGrid1"/>
        <w:tblW w:w="8370" w:type="dxa"/>
        <w:tblLayout w:type="fixed"/>
        <w:tblLook w:val="04A0" w:firstRow="1" w:lastRow="0" w:firstColumn="1" w:lastColumn="0" w:noHBand="0" w:noVBand="1"/>
      </w:tblPr>
      <w:tblGrid>
        <w:gridCol w:w="7803"/>
        <w:gridCol w:w="567"/>
      </w:tblGrid>
      <w:tr w:rsidR="00172691" w14:paraId="3BE7926F" w14:textId="77777777" w:rsidTr="005B5BFB">
        <w:trPr>
          <w:cantSplit/>
          <w:trHeight w:val="300"/>
        </w:trPr>
        <w:tc>
          <w:tcPr>
            <w:tcW w:w="7803" w:type="dxa"/>
            <w:tcBorders>
              <w:top w:val="nil"/>
              <w:left w:val="nil"/>
              <w:bottom w:val="nil"/>
              <w:right w:val="nil"/>
            </w:tcBorders>
          </w:tcPr>
          <w:p w14:paraId="79FE5807" w14:textId="77777777" w:rsidR="00172691" w:rsidRDefault="0066677A" w:rsidP="005B5BFB">
            <w:pPr>
              <w:spacing w:before="156" w:after="163"/>
              <w:ind w:firstLineChars="0" w:firstLine="0"/>
              <w:jc w:val="center"/>
              <w:rPr>
                <w:rFonts w:eastAsia="DengXian"/>
                <w:i/>
                <w:color w:val="000000" w:themeColor="text1"/>
                <w:szCs w:val="21"/>
              </w:rPr>
            </w:pPr>
            <m:oMathPara>
              <m:oMathParaPr>
                <m:jc m:val="center"/>
              </m:oMathParaPr>
              <m:oMath>
                <m:sSub>
                  <m:sSubPr>
                    <m:ctrlPr>
                      <w:rPr>
                        <w:rFonts w:ascii="Cambria Math" w:hAnsi="Cambria Math"/>
                      </w:rPr>
                    </m:ctrlPr>
                  </m:sSubPr>
                  <m:e>
                    <m:r>
                      <w:rPr>
                        <w:rFonts w:ascii="Cambria Math" w:hAnsi="Cambria Math"/>
                      </w:rPr>
                      <m:t>B</m:t>
                    </m:r>
                  </m:e>
                  <m:sub>
                    <m:r>
                      <w:rPr>
                        <w:rFonts w:ascii="Cambria Math" w:hAnsi="Cambria Math"/>
                      </w:rPr>
                      <m:t>t</m:t>
                    </m:r>
                  </m:sub>
                </m:sSub>
                <m:r>
                  <m:rPr>
                    <m:lit/>
                    <m:nor/>
                  </m:rPr>
                  <m:t>=</m:t>
                </m:r>
                <m:f>
                  <m:fPr>
                    <m:ctrlPr>
                      <w:rPr>
                        <w:rFonts w:ascii="Cambria Math" w:hAnsi="Cambria Math"/>
                      </w:rPr>
                    </m:ctrlPr>
                  </m:fPr>
                  <m:num>
                    <m:nary>
                      <m:naryPr>
                        <m:chr m:val="∑"/>
                        <m:supHide m:val="1"/>
                        <m:ctrlPr>
                          <w:rPr>
                            <w:rFonts w:ascii="Cambria Math" w:hAnsi="Cambria Math"/>
                          </w:rPr>
                        </m:ctrlPr>
                      </m:naryPr>
                      <m:sub>
                        <m:r>
                          <w:rPr>
                            <w:rFonts w:ascii="Cambria Math" w:hAnsi="Cambria Math"/>
                          </w:rPr>
                          <m:t>r</m:t>
                        </m:r>
                        <m:r>
                          <w:rPr>
                            <w:rFonts w:ascii="Cambria Math" w:hAnsi="Cambria Math"/>
                          </w:rPr>
                          <m:t>∈</m:t>
                        </m:r>
                        <m:r>
                          <w:rPr>
                            <w:rFonts w:ascii="Cambria Math" w:hAnsi="Cambria Math"/>
                          </w:rPr>
                          <m:t>RP</m:t>
                        </m:r>
                        <m:r>
                          <w:rPr>
                            <w:rFonts w:ascii="Cambria Math" w:hAnsi="Cambria Math"/>
                          </w:rPr>
                          <m:t>,</m:t>
                        </m:r>
                        <m:r>
                          <w:rPr>
                            <w:rFonts w:ascii="Cambria Math" w:hAnsi="Cambria Math"/>
                          </w:rPr>
                          <m:t>j</m:t>
                        </m:r>
                      </m:sub>
                      <m:sup/>
                      <m:e>
                        <m:sSub>
                          <m:sSubPr>
                            <m:ctrlPr>
                              <w:rPr>
                                <w:rFonts w:ascii="Cambria Math" w:hAnsi="Cambria Math"/>
                              </w:rPr>
                            </m:ctrlPr>
                          </m:sSubPr>
                          <m:e>
                            <m:r>
                              <w:rPr>
                                <w:rFonts w:ascii="Cambria Math" w:hAnsi="Cambria Math"/>
                              </w:rPr>
                              <m:t>X</m:t>
                            </m:r>
                          </m:e>
                          <m:sub>
                            <m:r>
                              <w:rPr>
                                <w:rFonts w:ascii="Cambria Math" w:hAnsi="Cambria Math"/>
                              </w:rPr>
                              <m:t>rjt</m:t>
                            </m:r>
                          </m:sub>
                        </m:sSub>
                        <m:r>
                          <w:rPr>
                            <w:rFonts w:ascii="Cambria Math" w:hAnsi="Cambria Math"/>
                          </w:rPr>
                          <m:t>B</m:t>
                        </m:r>
                        <m:sSub>
                          <m:sSubPr>
                            <m:ctrlPr>
                              <w:rPr>
                                <w:rFonts w:ascii="Cambria Math" w:hAnsi="Cambria Math"/>
                              </w:rPr>
                            </m:ctrlPr>
                          </m:sSubPr>
                          <m:e>
                            <m:r>
                              <w:rPr>
                                <w:rFonts w:ascii="Cambria Math" w:hAnsi="Cambria Math"/>
                              </w:rPr>
                              <m:t>C</m:t>
                            </m:r>
                          </m:e>
                          <m:sub>
                            <m:r>
                              <w:rPr>
                                <w:rFonts w:ascii="Cambria Math" w:hAnsi="Cambria Math"/>
                              </w:rPr>
                              <m:t>j</m:t>
                            </m:r>
                          </m:sub>
                        </m:sSub>
                        <m:sSub>
                          <m:sSubPr>
                            <m:ctrlPr>
                              <w:rPr>
                                <w:rFonts w:ascii="Cambria Math" w:hAnsi="Cambria Math"/>
                              </w:rPr>
                            </m:ctrlPr>
                          </m:sSubPr>
                          <m:e>
                            <m:r>
                              <w:rPr>
                                <w:rFonts w:ascii="Cambria Math" w:hAnsi="Cambria Math"/>
                              </w:rPr>
                              <m:t>A</m:t>
                            </m:r>
                          </m:e>
                          <m:sub>
                            <m:r>
                              <w:rPr>
                                <w:rFonts w:ascii="Cambria Math" w:hAnsi="Cambria Math"/>
                              </w:rPr>
                              <m:t>r</m:t>
                            </m:r>
                          </m:sub>
                        </m:sSub>
                      </m:e>
                    </m:nary>
                    <m:r>
                      <m:rPr>
                        <m:lit/>
                        <m:nor/>
                      </m:rPr>
                      <m:t>+</m:t>
                    </m:r>
                    <m:nary>
                      <m:naryPr>
                        <m:chr m:val="∑"/>
                        <m:supHide m:val="1"/>
                        <m:ctrlPr>
                          <w:rPr>
                            <w:rFonts w:ascii="Cambria Math" w:hAnsi="Cambria Math"/>
                          </w:rPr>
                        </m:ctrlPr>
                      </m:naryPr>
                      <m:sub>
                        <m:r>
                          <w:rPr>
                            <w:rFonts w:ascii="Cambria Math" w:hAnsi="Cambria Math"/>
                          </w:rPr>
                          <m:t>r</m:t>
                        </m:r>
                        <m:r>
                          <w:rPr>
                            <w:rFonts w:ascii="Cambria Math" w:hAnsi="Cambria Math"/>
                          </w:rPr>
                          <m:t>∈</m:t>
                        </m:r>
                        <m:r>
                          <w:rPr>
                            <w:rFonts w:ascii="Cambria Math" w:hAnsi="Cambria Math"/>
                          </w:rPr>
                          <m:t>RP</m:t>
                        </m:r>
                        <m:r>
                          <w:rPr>
                            <w:rFonts w:ascii="Cambria Math" w:hAnsi="Cambria Math"/>
                          </w:rPr>
                          <m:t>,</m:t>
                        </m:r>
                        <m:r>
                          <w:rPr>
                            <w:rFonts w:ascii="Cambria Math" w:hAnsi="Cambria Math"/>
                          </w:rPr>
                          <m:t>k</m:t>
                        </m:r>
                      </m:sub>
                      <m:sup/>
                      <m:e>
                        <m:sSub>
                          <m:sSubPr>
                            <m:ctrlPr>
                              <w:rPr>
                                <w:rFonts w:ascii="Cambria Math" w:hAnsi="Cambria Math"/>
                              </w:rPr>
                            </m:ctrlPr>
                          </m:sSubPr>
                          <m:e>
                            <m:r>
                              <w:rPr>
                                <w:rFonts w:ascii="Cambria Math" w:hAnsi="Cambria Math"/>
                              </w:rPr>
                              <m:t>X</m:t>
                            </m:r>
                          </m:e>
                          <m:sub>
                            <m:r>
                              <w:rPr>
                                <w:rFonts w:ascii="Cambria Math" w:hAnsi="Cambria Math"/>
                              </w:rPr>
                              <m:t>rkt</m:t>
                            </m:r>
                          </m:sub>
                        </m:sSub>
                        <m:r>
                          <w:rPr>
                            <w:rFonts w:ascii="Cambria Math" w:hAnsi="Cambria Math"/>
                          </w:rPr>
                          <m:t>B</m:t>
                        </m:r>
                        <m:sSub>
                          <m:sSubPr>
                            <m:ctrlPr>
                              <w:rPr>
                                <w:rFonts w:ascii="Cambria Math" w:hAnsi="Cambria Math"/>
                              </w:rPr>
                            </m:ctrlPr>
                          </m:sSubPr>
                          <m:e>
                            <m:r>
                              <w:rPr>
                                <w:rFonts w:ascii="Cambria Math" w:hAnsi="Cambria Math"/>
                              </w:rPr>
                              <m:t>C</m:t>
                            </m:r>
                          </m:e>
                          <m:sub>
                            <m:r>
                              <w:rPr>
                                <w:rFonts w:ascii="Cambria Math" w:hAnsi="Cambria Math"/>
                              </w:rPr>
                              <m:t>k</m:t>
                            </m:r>
                          </m:sub>
                        </m:sSub>
                        <m:sSub>
                          <m:sSubPr>
                            <m:ctrlPr>
                              <w:rPr>
                                <w:rFonts w:ascii="Cambria Math" w:hAnsi="Cambria Math"/>
                              </w:rPr>
                            </m:ctrlPr>
                          </m:sSubPr>
                          <m:e>
                            <m:r>
                              <w:rPr>
                                <w:rFonts w:ascii="Cambria Math" w:hAnsi="Cambria Math"/>
                              </w:rPr>
                              <m:t>A</m:t>
                            </m:r>
                          </m:e>
                          <m:sub>
                            <m:r>
                              <w:rPr>
                                <w:rFonts w:ascii="Cambria Math" w:hAnsi="Cambria Math"/>
                              </w:rPr>
                              <m:t>r</m:t>
                            </m:r>
                          </m:sub>
                        </m:sSub>
                      </m:e>
                    </m:nary>
                    <m:r>
                      <m:rPr>
                        <m:lit/>
                        <m:nor/>
                      </m:rPr>
                      <m:t>+</m:t>
                    </m:r>
                    <m:nary>
                      <m:naryPr>
                        <m:chr m:val="∑"/>
                        <m:supHide m:val="1"/>
                        <m:ctrlPr>
                          <w:rPr>
                            <w:rFonts w:ascii="Cambria Math" w:hAnsi="Cambria Math"/>
                          </w:rPr>
                        </m:ctrlPr>
                      </m:naryPr>
                      <m:sub>
                        <m:r>
                          <w:rPr>
                            <w:rFonts w:ascii="Cambria Math" w:hAnsi="Cambria Math"/>
                          </w:rPr>
                          <m:t>r</m:t>
                        </m:r>
                        <m:r>
                          <w:rPr>
                            <w:rFonts w:ascii="Cambria Math" w:hAnsi="Cambria Math"/>
                          </w:rPr>
                          <m:t>∈</m:t>
                        </m:r>
                        <m:r>
                          <w:rPr>
                            <w:rFonts w:ascii="Cambria Math" w:hAnsi="Cambria Math"/>
                          </w:rPr>
                          <m:t>RP</m:t>
                        </m:r>
                        <m:r>
                          <w:rPr>
                            <w:rFonts w:ascii="Cambria Math" w:hAnsi="Cambria Math"/>
                          </w:rPr>
                          <m:t>,</m:t>
                        </m:r>
                        <m:r>
                          <w:rPr>
                            <w:rFonts w:ascii="Cambria Math" w:hAnsi="Cambria Math"/>
                          </w:rPr>
                          <m:t>j</m:t>
                        </m:r>
                      </m:sub>
                      <m:sup/>
                      <m:e>
                        <m:sSub>
                          <m:sSubPr>
                            <m:ctrlPr>
                              <w:rPr>
                                <w:rFonts w:ascii="Cambria Math" w:hAnsi="Cambria Math"/>
                              </w:rPr>
                            </m:ctrlPr>
                          </m:sSubPr>
                          <m:e>
                            <m:r>
                              <w:rPr>
                                <w:rFonts w:ascii="Cambria Math" w:hAnsi="Cambria Math"/>
                              </w:rPr>
                              <m:t>X</m:t>
                            </m:r>
                          </m:e>
                          <m:sub>
                            <m:r>
                              <w:rPr>
                                <w:rFonts w:ascii="Cambria Math" w:hAnsi="Cambria Math"/>
                              </w:rPr>
                              <m:t>rjt</m:t>
                            </m:r>
                          </m:sub>
                        </m:sSub>
                        <m:r>
                          <w:rPr>
                            <w:rFonts w:ascii="Cambria Math" w:hAnsi="Cambria Math"/>
                          </w:rPr>
                          <m:t>B</m:t>
                        </m:r>
                        <m:sSub>
                          <m:sSubPr>
                            <m:ctrlPr>
                              <w:rPr>
                                <w:rFonts w:ascii="Cambria Math" w:hAnsi="Cambria Math"/>
                              </w:rPr>
                            </m:ctrlPr>
                          </m:sSubPr>
                          <m:e>
                            <m:r>
                              <w:rPr>
                                <w:rFonts w:ascii="Cambria Math" w:hAnsi="Cambria Math"/>
                              </w:rPr>
                              <m:t>C</m:t>
                            </m:r>
                          </m:e>
                          <m:sub>
                            <m:r>
                              <w:rPr>
                                <w:rFonts w:ascii="Cambria Math" w:hAnsi="Cambria Math"/>
                              </w:rPr>
                              <m:t>j</m:t>
                            </m:r>
                          </m:sub>
                        </m:sSub>
                        <m:d>
                          <m:dPr>
                            <m:ctrlPr>
                              <w:rPr>
                                <w:rFonts w:ascii="Cambria Math" w:hAnsi="Cambria Math"/>
                              </w:rPr>
                            </m:ctrlPr>
                          </m:dPr>
                          <m:e>
                            <m:r>
                              <w:rPr>
                                <w:rFonts w:ascii="Cambria Math" w:hAnsi="Cambria Math"/>
                              </w:rPr>
                              <m:t>1</m:t>
                            </m:r>
                            <m:r>
                              <m:rPr>
                                <m:lit/>
                                <m:nor/>
                              </m:rPr>
                              <m:t>-</m:t>
                            </m:r>
                            <m:r>
                              <w:rPr>
                                <w:rFonts w:ascii="Cambria Math" w:hAnsi="Cambria Math"/>
                              </w:rPr>
                              <m:t>β</m:t>
                            </m:r>
                          </m:e>
                        </m:d>
                        <m:sSub>
                          <m:sSubPr>
                            <m:ctrlPr>
                              <w:rPr>
                                <w:rFonts w:ascii="Cambria Math" w:hAnsi="Cambria Math"/>
                              </w:rPr>
                            </m:ctrlPr>
                          </m:sSubPr>
                          <m:e>
                            <m:r>
                              <w:rPr>
                                <w:rFonts w:ascii="Cambria Math" w:hAnsi="Cambria Math"/>
                              </w:rPr>
                              <m:t>A</m:t>
                            </m:r>
                          </m:e>
                          <m:sub>
                            <m:r>
                              <w:rPr>
                                <w:rFonts w:ascii="Cambria Math" w:hAnsi="Cambria Math"/>
                              </w:rPr>
                              <m:t>r</m:t>
                            </m:r>
                          </m:sub>
                        </m:sSub>
                      </m:e>
                    </m:nary>
                  </m:num>
                  <m:den>
                    <m:nary>
                      <m:naryPr>
                        <m:chr m:val="∑"/>
                        <m:supHide m:val="1"/>
                        <m:ctrlPr>
                          <w:rPr>
                            <w:rFonts w:ascii="Cambria Math" w:hAnsi="Cambria Math"/>
                          </w:rPr>
                        </m:ctrlPr>
                      </m:naryPr>
                      <m:sub>
                        <m:r>
                          <w:rPr>
                            <w:rFonts w:ascii="Cambria Math" w:hAnsi="Cambria Math"/>
                          </w:rPr>
                          <m:t>r</m:t>
                        </m:r>
                        <m:r>
                          <w:rPr>
                            <w:rFonts w:ascii="Cambria Math" w:hAnsi="Cambria Math"/>
                          </w:rPr>
                          <m:t>∈</m:t>
                        </m:r>
                        <m:r>
                          <w:rPr>
                            <w:rFonts w:ascii="Cambria Math" w:hAnsi="Cambria Math"/>
                          </w:rPr>
                          <m:t>RP</m:t>
                        </m:r>
                        <m:r>
                          <w:rPr>
                            <w:rFonts w:ascii="Cambria Math" w:hAnsi="Cambria Math"/>
                          </w:rPr>
                          <m:t>,</m:t>
                        </m:r>
                        <m:r>
                          <w:rPr>
                            <w:rFonts w:ascii="Cambria Math" w:hAnsi="Cambria Math"/>
                          </w:rPr>
                          <m:t>j</m:t>
                        </m:r>
                      </m:sub>
                      <m:sup/>
                      <m:e>
                        <m:sSub>
                          <m:sSubPr>
                            <m:ctrlPr>
                              <w:rPr>
                                <w:rFonts w:ascii="Cambria Math" w:hAnsi="Cambria Math"/>
                              </w:rPr>
                            </m:ctrlPr>
                          </m:sSubPr>
                          <m:e>
                            <m:r>
                              <w:rPr>
                                <w:rFonts w:ascii="Cambria Math" w:hAnsi="Cambria Math"/>
                              </w:rPr>
                              <m:t>X</m:t>
                            </m:r>
                          </m:e>
                          <m:sub>
                            <m:r>
                              <w:rPr>
                                <w:rFonts w:ascii="Cambria Math" w:hAnsi="Cambria Math"/>
                              </w:rPr>
                              <m:t>rj</m:t>
                            </m:r>
                            <m:r>
                              <w:rPr>
                                <w:rFonts w:ascii="Cambria Math" w:hAnsi="Cambria Math"/>
                              </w:rPr>
                              <m:t>2010</m:t>
                            </m:r>
                          </m:sub>
                        </m:sSub>
                        <m:r>
                          <w:rPr>
                            <w:rFonts w:ascii="Cambria Math" w:hAnsi="Cambria Math"/>
                          </w:rPr>
                          <m:t>B</m:t>
                        </m:r>
                        <m:sSub>
                          <m:sSubPr>
                            <m:ctrlPr>
                              <w:rPr>
                                <w:rFonts w:ascii="Cambria Math" w:hAnsi="Cambria Math"/>
                              </w:rPr>
                            </m:ctrlPr>
                          </m:sSubPr>
                          <m:e>
                            <m:r>
                              <w:rPr>
                                <w:rFonts w:ascii="Cambria Math" w:hAnsi="Cambria Math"/>
                              </w:rPr>
                              <m:t>D</m:t>
                            </m:r>
                          </m:e>
                          <m:sub>
                            <m:r>
                              <w:rPr>
                                <w:rFonts w:ascii="Cambria Math" w:hAnsi="Cambria Math"/>
                              </w:rPr>
                              <m:t>natural</m:t>
                            </m:r>
                            <m:r>
                              <m:rPr>
                                <m:lit/>
                                <m:nor/>
                              </m:rPr>
                              <m:t xml:space="preserve"> </m:t>
                            </m:r>
                            <m:r>
                              <w:rPr>
                                <w:rFonts w:ascii="Cambria Math" w:hAnsi="Cambria Math"/>
                              </w:rPr>
                              <m:t>land</m:t>
                            </m:r>
                          </m:sub>
                        </m:sSub>
                        <m:sSub>
                          <m:sSubPr>
                            <m:ctrlPr>
                              <w:rPr>
                                <w:rFonts w:ascii="Cambria Math" w:hAnsi="Cambria Math"/>
                              </w:rPr>
                            </m:ctrlPr>
                          </m:sSubPr>
                          <m:e>
                            <m:r>
                              <w:rPr>
                                <w:rFonts w:ascii="Cambria Math" w:hAnsi="Cambria Math"/>
                              </w:rPr>
                              <m:t>A</m:t>
                            </m:r>
                          </m:e>
                          <m:sub>
                            <m:r>
                              <w:rPr>
                                <w:rFonts w:ascii="Cambria Math" w:hAnsi="Cambria Math"/>
                              </w:rPr>
                              <m:t>r</m:t>
                            </m:r>
                          </m:sub>
                        </m:sSub>
                      </m:e>
                    </m:nary>
                  </m:den>
                </m:f>
              </m:oMath>
            </m:oMathPara>
          </w:p>
        </w:tc>
        <w:tc>
          <w:tcPr>
            <w:tcW w:w="567" w:type="dxa"/>
            <w:tcBorders>
              <w:top w:val="nil"/>
              <w:left w:val="nil"/>
              <w:bottom w:val="nil"/>
              <w:right w:val="nil"/>
            </w:tcBorders>
            <w:vAlign w:val="center"/>
          </w:tcPr>
          <w:p w14:paraId="2D83FF58" w14:textId="77777777" w:rsidR="00172691" w:rsidRPr="000F1CD9" w:rsidRDefault="00172691" w:rsidP="005B5BFB">
            <w:pPr>
              <w:spacing w:before="156" w:after="163"/>
              <w:ind w:firstLineChars="0" w:firstLine="0"/>
              <w:jc w:val="right"/>
              <w:rPr>
                <w:rFonts w:ascii="Arial" w:eastAsia="DengXian" w:hAnsi="Arial" w:cs="Arial"/>
                <w:color w:val="000000" w:themeColor="text1"/>
                <w:szCs w:val="21"/>
              </w:rPr>
            </w:pPr>
            <w:r w:rsidRPr="000F1CD9">
              <w:rPr>
                <w:rFonts w:ascii="Arial" w:eastAsia="宋体" w:hAnsi="Arial" w:cs="Arial"/>
                <w:szCs w:val="21"/>
              </w:rPr>
              <w:t>(</w:t>
            </w:r>
            <w:r w:rsidRPr="000F1CD9">
              <w:rPr>
                <w:rFonts w:ascii="Arial" w:hAnsi="Arial" w:cs="Arial"/>
              </w:rPr>
              <w:fldChar w:fldCharType="begin"/>
            </w:r>
            <w:r w:rsidRPr="000F1CD9">
              <w:rPr>
                <w:rFonts w:ascii="Arial" w:eastAsia="宋体" w:hAnsi="Arial" w:cs="Arial"/>
                <w:szCs w:val="21"/>
              </w:rPr>
              <w:instrText>LISTNUM  NumberDefault \l 0</w:instrText>
            </w:r>
            <w:r w:rsidRPr="000F1CD9">
              <w:rPr>
                <w:rFonts w:ascii="Arial" w:eastAsia="宋体" w:hAnsi="Arial" w:cs="Arial"/>
                <w:szCs w:val="21"/>
              </w:rPr>
              <w:fldChar w:fldCharType="separate"/>
            </w:r>
            <w:r w:rsidRPr="000F1CD9">
              <w:rPr>
                <w:rFonts w:ascii="Arial" w:eastAsia="宋体" w:hAnsi="Arial" w:cs="Arial"/>
                <w:szCs w:val="21"/>
              </w:rPr>
              <w:fldChar w:fldCharType="end"/>
            </w:r>
          </w:p>
        </w:tc>
      </w:tr>
    </w:tbl>
    <w:p w14:paraId="3DE98065" w14:textId="6C47BB05" w:rsidR="00172691" w:rsidRDefault="00172691" w:rsidP="00172691">
      <w:pPr>
        <w:ind w:firstLineChars="0" w:firstLine="0"/>
      </w:pPr>
      <w:r>
        <w:rPr>
          <w:rFonts w:eastAsia="DengXian"/>
          <w:color w:val="000000" w:themeColor="text1"/>
        </w:rPr>
        <w:t xml:space="preserve">where </w:t>
      </w:r>
      <w:r w:rsidRPr="008F368B">
        <w:rPr>
          <w:rFonts w:eastAsia="DengXian"/>
          <w:i/>
          <w:iCs/>
          <w:color w:val="000000" w:themeColor="text1"/>
        </w:rPr>
        <w:t>BC</w:t>
      </w:r>
      <w:r w:rsidRPr="008F368B">
        <w:rPr>
          <w:rFonts w:eastAsia="DengXian"/>
          <w:i/>
          <w:iCs/>
          <w:color w:val="000000" w:themeColor="text1"/>
          <w:vertAlign w:val="subscript"/>
        </w:rPr>
        <w:t>j</w:t>
      </w:r>
      <w:r>
        <w:rPr>
          <w:rFonts w:eastAsia="DengXian"/>
          <w:color w:val="000000" w:themeColor="text1"/>
        </w:rPr>
        <w:t xml:space="preserve"> represents the biodiversity contribution of agricultural land use </w:t>
      </w:r>
      <w:r w:rsidRPr="008F368B">
        <w:rPr>
          <w:rFonts w:eastAsia="DengXian"/>
          <w:i/>
          <w:iCs/>
          <w:color w:val="000000" w:themeColor="text1"/>
        </w:rPr>
        <w:t>j</w:t>
      </w:r>
      <w:r>
        <w:rPr>
          <w:rFonts w:eastAsia="DengXian"/>
          <w:color w:val="000000" w:themeColor="text1"/>
        </w:rPr>
        <w:t xml:space="preserve">, </w:t>
      </w:r>
      <w:r w:rsidRPr="008F368B">
        <w:rPr>
          <w:rFonts w:eastAsia="DengXian"/>
          <w:i/>
          <w:iCs/>
          <w:color w:val="000000" w:themeColor="text1"/>
        </w:rPr>
        <w:t>BC</w:t>
      </w:r>
      <w:r w:rsidRPr="008F368B">
        <w:rPr>
          <w:rFonts w:eastAsia="DengXian"/>
          <w:i/>
          <w:iCs/>
          <w:color w:val="000000" w:themeColor="text1"/>
          <w:vertAlign w:val="subscript"/>
        </w:rPr>
        <w:t>k</w:t>
      </w:r>
      <w:r>
        <w:rPr>
          <w:rFonts w:eastAsia="DengXian"/>
          <w:color w:val="000000" w:themeColor="text1"/>
        </w:rPr>
        <w:t xml:space="preserve"> represents</w:t>
      </w:r>
      <w:r>
        <w:rPr>
          <w:rFonts w:eastAsia="宋体"/>
          <w:color w:val="000000" w:themeColor="text1"/>
        </w:rPr>
        <w:t xml:space="preserve"> the biodiversity contribution of non-agricultural land use </w:t>
      </w:r>
      <w:r>
        <w:rPr>
          <w:rFonts w:eastAsia="宋体"/>
          <w:i/>
          <w:iCs/>
          <w:color w:val="000000" w:themeColor="text1"/>
        </w:rPr>
        <w:t>k</w:t>
      </w:r>
      <w:r>
        <w:t>.</w:t>
      </w:r>
      <w:r>
        <w:rPr>
          <w:rFonts w:hint="eastAsia"/>
        </w:rPr>
        <w:t xml:space="preserve"> </w:t>
      </w:r>
      <w:r>
        <w:rPr>
          <w:i/>
          <w:iCs/>
        </w:rPr>
        <w:t>RP</w:t>
      </w:r>
      <w:r>
        <w:t xml:space="preserve"> represents a set of grid cells eligible for EDSSB. </w:t>
      </w:r>
      <w:r>
        <w:rPr>
          <w:i/>
          <w:iCs/>
        </w:rPr>
        <w:t>β</w:t>
      </w:r>
      <w:r>
        <w:t xml:space="preserve"> = 0.8 represents the biodiversity contribution of an RP cell where EDSSB is NOT implemented, </w:t>
      </w:r>
      <w:r>
        <w:rPr>
          <w:i/>
          <w:iCs/>
        </w:rPr>
        <w:t>β</w:t>
      </w:r>
      <w:r>
        <w:t xml:space="preserve"> = 1.0 represents the biodiversity contribution of an RP cell where EDSSB IS implemented.</w:t>
      </w:r>
      <w:r>
        <w:rPr>
          <w:rFonts w:hint="eastAsia"/>
        </w:rPr>
        <w:t xml:space="preserve"> </w:t>
      </w:r>
      <m:oMath>
        <m:r>
          <w:rPr>
            <w:rFonts w:ascii="Cambria Math" w:hAnsi="Cambria Math"/>
          </w:rPr>
          <m:t>B</m:t>
        </m:r>
        <m:sSub>
          <m:sSubPr>
            <m:ctrlPr>
              <w:rPr>
                <w:rFonts w:ascii="Cambria Math" w:hAnsi="Cambria Math"/>
              </w:rPr>
            </m:ctrlPr>
          </m:sSubPr>
          <m:e>
            <m:r>
              <w:rPr>
                <w:rFonts w:ascii="Cambria Math" w:hAnsi="Cambria Math"/>
              </w:rPr>
              <m:t>C</m:t>
            </m:r>
          </m:e>
          <m:sub>
            <m:r>
              <w:rPr>
                <w:rFonts w:ascii="Cambria Math" w:hAnsi="Cambria Math"/>
              </w:rPr>
              <m:t>natural</m:t>
            </m:r>
            <m:r>
              <m:rPr>
                <m:lit/>
                <m:nor/>
              </m:rPr>
              <m:t xml:space="preserve"> </m:t>
            </m:r>
            <m:r>
              <w:rPr>
                <w:rFonts w:ascii="Cambria Math" w:hAnsi="Cambria Math"/>
              </w:rPr>
              <m:t>land</m:t>
            </m:r>
          </m:sub>
        </m:sSub>
      </m:oMath>
      <w:r>
        <w:rPr>
          <w:rFonts w:eastAsia="DengXian"/>
          <w:color w:val="000000" w:themeColor="text1"/>
        </w:rPr>
        <w:t>is set to 1, indicates the full biodiversity contribution associated with natural land.</w:t>
      </w:r>
      <w:r>
        <w:rPr>
          <w:rFonts w:eastAsia="DengXian" w:hint="eastAsia"/>
          <w:color w:val="000000" w:themeColor="text1"/>
        </w:rPr>
        <w:t xml:space="preserve"> </w:t>
      </w:r>
    </w:p>
    <w:p w14:paraId="41EF74E3" w14:textId="77777777" w:rsidR="00172691" w:rsidRDefault="00172691" w:rsidP="00172691">
      <w:pPr>
        <w:pStyle w:val="3"/>
        <w:rPr>
          <w:rFonts w:eastAsia="宋体"/>
          <w:color w:val="000000" w:themeColor="text1"/>
        </w:rPr>
      </w:pPr>
      <w:r>
        <w:rPr>
          <w:rFonts w:eastAsia="宋体"/>
          <w:color w:val="000000" w:themeColor="text1"/>
        </w:rPr>
        <w:t>Agri-food production</w:t>
      </w:r>
      <w:r>
        <w:rPr>
          <w:rFonts w:eastAsia="宋体" w:hint="eastAsia"/>
          <w:color w:val="000000" w:themeColor="text1"/>
        </w:rPr>
        <w:t xml:space="preserve"> </w:t>
      </w:r>
      <w:r>
        <w:rPr>
          <w:rFonts w:eastAsia="宋体"/>
          <w:color w:val="000000" w:themeColor="text1"/>
        </w:rPr>
        <w:t>modelling</w:t>
      </w:r>
    </w:p>
    <w:p w14:paraId="1A640C46" w14:textId="1BFFD535" w:rsidR="00172691" w:rsidRDefault="00172691" w:rsidP="00172691">
      <w:pPr>
        <w:ind w:firstLine="420"/>
        <w:rPr>
          <w:rFonts w:eastAsia="宋体"/>
          <w:color w:val="000000" w:themeColor="text1"/>
          <w:sz w:val="24"/>
        </w:rPr>
      </w:pPr>
      <w:r>
        <w:rPr>
          <w:rFonts w:eastAsia="宋体"/>
          <w:color w:val="000000" w:themeColor="text1"/>
        </w:rPr>
        <w:t xml:space="preserve">In the model, agricultural land-use directly produces agri-food commodities, while agricultural management solutions influence agri-food production through modifiers. Agricultural </w:t>
      </w:r>
      <w:r>
        <w:rPr>
          <w:rFonts w:eastAsia="DengXian"/>
          <w:color w:val="000000" w:themeColor="text1"/>
        </w:rPr>
        <w:t>productivity data  (t ha</w:t>
      </w:r>
      <w:r>
        <w:rPr>
          <w:rFonts w:eastAsia="DengXian"/>
          <w:color w:val="000000" w:themeColor="text1"/>
          <w:vertAlign w:val="superscript"/>
        </w:rPr>
        <w:t>-1</w:t>
      </w:r>
      <w:r>
        <w:rPr>
          <w:rFonts w:eastAsia="DengXian"/>
          <w:color w:val="000000" w:themeColor="text1"/>
        </w:rPr>
        <w:t xml:space="preserve">) represent the productivity capacity per hectare for each agricultural land-use </w:t>
      </w:r>
      <w:r>
        <w:rPr>
          <w:rFonts w:eastAsia="DengXian"/>
          <w:color w:val="000000" w:themeColor="text1"/>
        </w:rPr>
        <w:fldChar w:fldCharType="begin"/>
      </w:r>
      <w:r>
        <w:rPr>
          <w:rFonts w:eastAsia="DengXian"/>
          <w:color w:val="000000" w:themeColor="text1"/>
        </w:rPr>
        <w:instrText xml:space="preserve"> ADDIN EN.CITE &lt;EndNote&gt;&lt;Cite&gt;&lt;Author&gt;Navarro&lt;/Author&gt;&lt;Year&gt;2021&lt;/Year&gt;&lt;RecNum&gt;216&lt;/RecNum&gt;&lt;DisplayText&gt;&lt;style face="superscript"&gt;1&lt;/style&gt;&lt;/DisplayText&gt;&lt;record&gt;&lt;rec-number&gt;216&lt;/rec-number&gt;&lt;foreign-keys&gt;&lt;key app="EN" db-id="st0zxxax1wfadte9s5gpaptza9tfvrzsvaxs" timestamp="1737512257" guid="ab7b90fd-7b66-4506-8db4-03847cae284a"&gt;216&lt;/key&gt;&lt;/foreign-keys&gt;&lt;ref-type name="Journal Article"&gt;17&lt;/ref-type&gt;&lt;contributors&gt;&lt;authors&gt;&lt;author&gt;Navarro, J&lt;/author&gt;&lt;author&gt;Marcos Martinez, R&lt;/author&gt;&lt;/authors&gt;&lt;/contributors&gt;&lt;titles&gt;&lt;title&gt;Estimating long-term profits, fertilizer and pesticide use baselines in Australian agricultural regions, User Guide&lt;/title&gt;&lt;secondary-title&gt;CSIRO&lt;/secondary-title&gt;&lt;/titles&gt;&lt;periodical&gt;&lt;full-title&gt;CSIRO&lt;/full-title&gt;&lt;/periodical&gt;&lt;dates&gt;&lt;year&gt;2021&lt;/year&gt;&lt;/dates&gt;&lt;urls&gt;&lt;/urls&gt;&lt;/record&gt;&lt;/Cite&gt;&lt;/EndNote&gt;</w:instrText>
      </w:r>
      <w:r>
        <w:rPr>
          <w:rFonts w:eastAsia="DengXian"/>
          <w:color w:val="000000" w:themeColor="text1"/>
        </w:rPr>
        <w:fldChar w:fldCharType="separate"/>
      </w:r>
      <w:r>
        <w:rPr>
          <w:rFonts w:eastAsia="DengXian"/>
          <w:noProof/>
          <w:color w:val="000000" w:themeColor="text1"/>
          <w:vertAlign w:val="superscript"/>
        </w:rPr>
        <w:t>1</w:t>
      </w:r>
      <w:r>
        <w:rPr>
          <w:rFonts w:eastAsia="DengXian"/>
          <w:color w:val="000000" w:themeColor="text1"/>
        </w:rPr>
        <w:fldChar w:fldCharType="end"/>
      </w:r>
      <w:r>
        <w:rPr>
          <w:rFonts w:eastAsia="DengXian"/>
          <w:color w:val="000000" w:themeColor="text1"/>
        </w:rPr>
        <w:t>. Agricultural productivity is influenced by climate change and CO</w:t>
      </w:r>
      <w:r>
        <w:rPr>
          <w:rFonts w:eastAsia="DengXian"/>
          <w:color w:val="000000" w:themeColor="text1"/>
          <w:vertAlign w:val="subscript"/>
        </w:rPr>
        <w:t>2</w:t>
      </w:r>
      <w:r>
        <w:rPr>
          <w:rFonts w:eastAsia="DengXian"/>
          <w:color w:val="000000" w:themeColor="text1"/>
        </w:rPr>
        <w:t xml:space="preserve"> fertilization, with data sourced from the Global Agro-Ecological Zones model version 4.0 </w:t>
      </w:r>
      <w:r>
        <w:rPr>
          <w:rFonts w:eastAsia="宋体"/>
          <w:color w:val="000000" w:themeColor="text1"/>
        </w:rPr>
        <w:fldChar w:fldCharType="begin"/>
      </w:r>
      <w:r>
        <w:rPr>
          <w:rFonts w:eastAsia="宋体"/>
          <w:color w:val="000000" w:themeColor="text1"/>
        </w:rPr>
        <w:instrText xml:space="preserve"> ADDIN EN.CITE &lt;EndNote&gt;&lt;Cite&gt;&lt;Author&gt;FAO&lt;/Author&gt;&lt;Year&gt;2022&lt;/Year&gt;&lt;RecNum&gt;199&lt;/RecNum&gt;&lt;DisplayText&gt;&lt;style face="superscript"&gt;12&lt;/style&gt;&lt;/DisplayText&gt;&lt;record&gt;&lt;rec-number&gt;199&lt;/rec-number&gt;&lt;foreign-keys&gt;&lt;key app="EN" db-id="st0zxxax1wfadte9s5gpaptza9tfvrzsvaxs" timestamp="1731027952" guid="40c458c1-c4ae-4906-92f5-39f92e6fca1f"&gt;199&lt;/key&gt;&lt;/foreign-keys&gt;&lt;ref-type name="Web Page"&gt;12&lt;/ref-type&gt;&lt;contributors&gt;&lt;authors&gt;&lt;author&gt;FAO&lt;/author&gt;&lt;/authors&gt;&lt;/contributors&gt;&lt;titles&gt;&lt;title&gt;Global Agro-Ecological Zones (GAEZ)&lt;/title&gt;&lt;/titles&gt;&lt;dates&gt;&lt;year&gt;2022&lt;/year&gt;&lt;/dates&gt;&lt;publisher&gt;Food and Agriculture Organization of the United Nations (FAO)&lt;/publisher&gt;&lt;urls&gt;&lt;related-urls&gt;&lt;url&gt;https://gaez.fao.org/&lt;/url&gt;&lt;/related-urls&gt;&lt;/urls&gt;&lt;/record&gt;&lt;/Cite&gt;&lt;/EndNote&gt;</w:instrText>
      </w:r>
      <w:r>
        <w:rPr>
          <w:rFonts w:eastAsia="宋体"/>
          <w:color w:val="000000" w:themeColor="text1"/>
        </w:rPr>
        <w:fldChar w:fldCharType="separate"/>
      </w:r>
      <w:r>
        <w:rPr>
          <w:rFonts w:eastAsia="宋体"/>
          <w:noProof/>
          <w:color w:val="000000" w:themeColor="text1"/>
          <w:vertAlign w:val="superscript"/>
        </w:rPr>
        <w:t>12</w:t>
      </w:r>
      <w:r>
        <w:rPr>
          <w:rFonts w:eastAsia="宋体"/>
          <w:color w:val="000000" w:themeColor="text1"/>
        </w:rPr>
        <w:fldChar w:fldCharType="end"/>
      </w:r>
      <w:r>
        <w:rPr>
          <w:rFonts w:eastAsia="DengXian"/>
          <w:color w:val="000000" w:themeColor="text1"/>
        </w:rPr>
        <w:t xml:space="preserve">. Agricultural management solutions affect productivity through adjustment coefficients that modify yields </w:t>
      </w:r>
      <w:r>
        <w:rPr>
          <w:rFonts w:eastAsia="宋体"/>
          <w:color w:val="000000" w:themeColor="text1"/>
        </w:rPr>
        <w:t>(</w:t>
      </w:r>
      <w:r>
        <w:rPr>
          <w:rFonts w:eastAsia="宋体"/>
          <w:color w:val="000000" w:themeColor="text1"/>
        </w:rPr>
        <w:fldChar w:fldCharType="begin"/>
      </w:r>
      <w:r>
        <w:rPr>
          <w:rFonts w:eastAsia="宋体"/>
          <w:color w:val="000000" w:themeColor="text1"/>
        </w:rPr>
        <w:instrText xml:space="preserve"> REF _RefCXSTable4 \h </w:instrText>
      </w:r>
      <w:r>
        <w:rPr>
          <w:rFonts w:eastAsia="宋体"/>
          <w:color w:val="000000" w:themeColor="text1"/>
        </w:rPr>
      </w:r>
      <w:r>
        <w:rPr>
          <w:rFonts w:eastAsia="宋体"/>
          <w:color w:val="000000" w:themeColor="text1"/>
        </w:rPr>
        <w:fldChar w:fldCharType="separate"/>
      </w:r>
      <w:r>
        <w:rPr>
          <w:rFonts w:eastAsia="宋体"/>
          <w:color w:val="000000" w:themeColor="text1"/>
        </w:rPr>
        <w:t>Table S4</w:t>
      </w:r>
      <w:r>
        <w:rPr>
          <w:rFonts w:eastAsia="宋体"/>
          <w:color w:val="000000" w:themeColor="text1"/>
        </w:rPr>
        <w:fldChar w:fldCharType="end"/>
      </w:r>
      <w:r>
        <w:rPr>
          <w:rFonts w:eastAsia="宋体"/>
          <w:color w:val="000000" w:themeColor="text1"/>
        </w:rPr>
        <w:t>)</w:t>
      </w:r>
      <w:r>
        <w:rPr>
          <w:rFonts w:eastAsia="DengXian"/>
          <w:color w:val="000000" w:themeColor="text1"/>
        </w:rPr>
        <w:t>.</w:t>
      </w:r>
      <w:r>
        <w:rPr>
          <w:rFonts w:eastAsia="宋体"/>
          <w:color w:val="000000" w:themeColor="text1"/>
        </w:rPr>
        <w:t xml:space="preserve"> Additionally, non-</w:t>
      </w:r>
      <w:r>
        <w:rPr>
          <w:rFonts w:eastAsia="宋体"/>
          <w:color w:val="000000" w:themeColor="text1"/>
        </w:rPr>
        <w:lastRenderedPageBreak/>
        <w:t>agricultural land-uses also contribute to agri-food production such as Agroforestry and Farm forestry (</w:t>
      </w:r>
      <w:r>
        <w:rPr>
          <w:rFonts w:eastAsia="宋体"/>
          <w:color w:val="000000" w:themeColor="text1"/>
        </w:rPr>
        <w:fldChar w:fldCharType="begin"/>
      </w:r>
      <w:r>
        <w:rPr>
          <w:rFonts w:eastAsia="宋体"/>
          <w:color w:val="000000" w:themeColor="text1"/>
        </w:rPr>
        <w:instrText xml:space="preserve"> REF _RefCXSTable5 \h </w:instrText>
      </w:r>
      <w:r>
        <w:rPr>
          <w:rFonts w:eastAsia="宋体"/>
          <w:color w:val="000000" w:themeColor="text1"/>
        </w:rPr>
      </w:r>
      <w:r>
        <w:rPr>
          <w:rFonts w:eastAsia="宋体"/>
          <w:color w:val="000000" w:themeColor="text1"/>
        </w:rPr>
        <w:fldChar w:fldCharType="separate"/>
      </w:r>
      <w:r>
        <w:rPr>
          <w:rFonts w:eastAsia="宋体"/>
          <w:color w:val="000000" w:themeColor="text1"/>
        </w:rPr>
        <w:t>Table S5</w:t>
      </w:r>
      <w:r>
        <w:rPr>
          <w:rFonts w:eastAsia="宋体"/>
          <w:color w:val="000000" w:themeColor="text1"/>
        </w:rPr>
        <w:fldChar w:fldCharType="end"/>
      </w:r>
      <w:r>
        <w:rPr>
          <w:rFonts w:eastAsia="宋体"/>
          <w:color w:val="000000" w:themeColor="text1"/>
        </w:rPr>
        <w:t>). These land uses</w:t>
      </w:r>
      <w:r>
        <w:rPr>
          <w:rFonts w:eastAsia="DengXian"/>
          <w:color w:val="000000" w:themeColor="text1"/>
        </w:rPr>
        <w:t xml:space="preserve">, while classified as non-agricultural, are integrated with livestock grazing and contribute to the production of beef and sheep </w:t>
      </w:r>
      <w:r>
        <w:rPr>
          <w:rFonts w:eastAsia="DengXian"/>
          <w:color w:val="000000" w:themeColor="text1"/>
        </w:rPr>
        <w:fldChar w:fldCharType="begin"/>
      </w:r>
      <w:r>
        <w:rPr>
          <w:rFonts w:eastAsia="DengXian"/>
          <w:color w:val="000000" w:themeColor="text1"/>
        </w:rPr>
        <w:instrText xml:space="preserve"> ADDIN EN.CITE &lt;EndNote&gt;&lt;Cite&gt;&lt;Author&gt;Reid&lt;/Author&gt;&lt;Year&gt;2018&lt;/Year&gt;&lt;RecNum&gt;251&lt;/RecNum&gt;&lt;DisplayText&gt;&lt;style face="superscript"&gt;13,14&lt;/style&gt;&lt;/DisplayText&gt;&lt;record&gt;&lt;rec-number&gt;251&lt;/rec-number&gt;&lt;foreign-keys&gt;&lt;key app="EN" db-id="st0zxxax1wfadte9s5gpaptza9tfvrzsvaxs" timestamp="1738817842" guid="d2ab9f42-34bf-4451-9bcb-10e6f86cf601"&gt;251&lt;/key&gt;&lt;/foreign-keys&gt;&lt;ref-type name="Book Section"&gt;5&lt;/ref-type&gt;&lt;contributors&gt;&lt;authors&gt;&lt;author&gt;Reid, R.&lt;/author&gt;&lt;author&gt;Moore, R.&lt;/author&gt;&lt;/authors&gt;&lt;/contributors&gt;&lt;titles&gt;&lt;title&gt;Agroforestry Systems in Temperate Australia&lt;/title&gt;&lt;secondary-title&gt;Temperate Agroforestry Systems&lt;/secondary-title&gt;&lt;/titles&gt;&lt;pages&gt;195-223&lt;/pages&gt;&lt;dates&gt;&lt;year&gt;2018&lt;/year&gt;&lt;/dates&gt;&lt;publisher&gt;CABI&lt;/publisher&gt;&lt;urls&gt;&lt;related-urls&gt;&lt;url&gt;https://doi.org/10.1079/9781780644851.0195&lt;/url&gt;&lt;/related-urls&gt;&lt;/urls&gt;&lt;electronic-resource-num&gt;10.1079/9781780644851.0195&lt;/electronic-resource-num&gt;&lt;/record&gt;&lt;/Cite&gt;&lt;Cite&gt;&lt;Author&gt;Jordon&lt;/Author&gt;&lt;Year&gt;2020&lt;/Year&gt;&lt;RecNum&gt;252&lt;/RecNum&gt;&lt;record&gt;&lt;rec-number&gt;252&lt;/rec-number&gt;&lt;foreign-keys&gt;&lt;key app="EN" db-id="st0zxxax1wfadte9s5gpaptza9tfvrzsvaxs" timestamp="1738817930" guid="ca0bfa66-f4c8-4b73-af5b-6384c615a600"&gt;252&lt;/key&gt;&lt;/foreign-keys&gt;&lt;ref-type name="Journal Article"&gt;17&lt;/ref-type&gt;&lt;contributors&gt;&lt;authors&gt;&lt;author&gt;Jordon, Matthew W.&lt;/author&gt;&lt;author&gt;Willis, Kathy J.&lt;/author&gt;&lt;author&gt;Harvey, William J.&lt;/author&gt;&lt;author&gt;Petrokofsky, Leo&lt;/author&gt;&lt;author&gt;Petrokofsky, Gillian&lt;/author&gt;&lt;/authors&gt;&lt;/contributors&gt;&lt;titles&gt;&lt;title&gt;Implications of Temperate Agroforestry on Sheep and Cattle Productivity, Environmental Impacts and Enterprise Economics. A Systematic Evidence Map&lt;/title&gt;&lt;secondary-title&gt;Forests&lt;/secondary-title&gt;&lt;/titles&gt;&lt;periodical&gt;&lt;full-title&gt;Forests&lt;/full-title&gt;&lt;/periodical&gt;&lt;volume&gt;11&lt;/volume&gt;&lt;number&gt;12&lt;/number&gt;&lt;section&gt;1321&lt;/section&gt;&lt;dates&gt;&lt;year&gt;2020&lt;/year&gt;&lt;/dates&gt;&lt;isbn&gt;1999-4907&lt;/isbn&gt;&lt;urls&gt;&lt;/urls&gt;&lt;electronic-resource-num&gt;10.3390/f11121321&lt;/electronic-resource-num&gt;&lt;/record&gt;&lt;/Cite&gt;&lt;/EndNote&gt;</w:instrText>
      </w:r>
      <w:r>
        <w:rPr>
          <w:rFonts w:eastAsia="DengXian"/>
          <w:color w:val="000000" w:themeColor="text1"/>
        </w:rPr>
        <w:fldChar w:fldCharType="separate"/>
      </w:r>
      <w:r>
        <w:rPr>
          <w:rFonts w:eastAsia="DengXian"/>
          <w:noProof/>
          <w:color w:val="000000" w:themeColor="text1"/>
          <w:vertAlign w:val="superscript"/>
        </w:rPr>
        <w:t>13,14</w:t>
      </w:r>
      <w:r>
        <w:rPr>
          <w:rFonts w:eastAsia="DengXian"/>
          <w:color w:val="000000" w:themeColor="text1"/>
        </w:rPr>
        <w:fldChar w:fldCharType="end"/>
      </w:r>
      <w:r>
        <w:rPr>
          <w:rFonts w:eastAsia="DengXian"/>
          <w:color w:val="000000" w:themeColor="text1"/>
        </w:rPr>
        <w:t xml:space="preserve">. The quantity of each agri-food commodity in </w:t>
      </w:r>
      <w:r>
        <w:rPr>
          <w:rFonts w:eastAsia="DengXian"/>
          <w:i/>
          <w:iCs/>
          <w:color w:val="000000" w:themeColor="text1"/>
        </w:rPr>
        <w:t>y</w:t>
      </w:r>
      <w:r>
        <w:rPr>
          <w:rFonts w:eastAsia="DengXian"/>
          <w:color w:val="000000" w:themeColor="text1"/>
        </w:rPr>
        <w:t xml:space="preserve"> year from land-use is calculated as</w:t>
      </w:r>
      <w:r>
        <w:rPr>
          <w:rFonts w:eastAsia="DengXian"/>
          <w:color w:val="000000" w:themeColor="text1"/>
          <w:sz w:val="24"/>
        </w:rPr>
        <w:t>:</w:t>
      </w:r>
    </w:p>
    <w:tbl>
      <w:tblPr>
        <w:tblStyle w:val="TableGrid1"/>
        <w:tblW w:w="8370" w:type="dxa"/>
        <w:tblLayout w:type="fixed"/>
        <w:tblLook w:val="04A0" w:firstRow="1" w:lastRow="0" w:firstColumn="1" w:lastColumn="0" w:noHBand="0" w:noVBand="1"/>
      </w:tblPr>
      <w:tblGrid>
        <w:gridCol w:w="7803"/>
        <w:gridCol w:w="567"/>
      </w:tblGrid>
      <w:tr w:rsidR="00172691" w14:paraId="40DDE217" w14:textId="77777777" w:rsidTr="005B5BFB">
        <w:trPr>
          <w:cantSplit/>
          <w:trHeight w:val="300"/>
        </w:trPr>
        <w:tc>
          <w:tcPr>
            <w:tcW w:w="7803" w:type="dxa"/>
            <w:tcBorders>
              <w:top w:val="nil"/>
              <w:left w:val="nil"/>
              <w:bottom w:val="nil"/>
              <w:right w:val="nil"/>
            </w:tcBorders>
          </w:tcPr>
          <w:p w14:paraId="0B378AD0" w14:textId="77777777" w:rsidR="00172691" w:rsidRDefault="00172691" w:rsidP="005B5BFB">
            <w:pPr>
              <w:spacing w:before="156" w:after="163"/>
              <w:ind w:firstLineChars="0" w:firstLine="0"/>
              <w:jc w:val="center"/>
              <w:rPr>
                <w:rFonts w:eastAsia="DengXian"/>
                <w:color w:val="000000" w:themeColor="text1"/>
                <w:szCs w:val="21"/>
              </w:rPr>
            </w:pPr>
            <m:oMathPara>
              <m:oMathParaPr>
                <m:jc m:val="center"/>
              </m:oMathParaPr>
              <m:oMath>
                <m:r>
                  <w:rPr>
                    <w:rFonts w:ascii="Cambria Math" w:hAnsi="Cambria Math"/>
                  </w:rPr>
                  <m:t>A</m:t>
                </m:r>
                <m:sSub>
                  <m:sSubPr>
                    <m:ctrlPr>
                      <w:rPr>
                        <w:rFonts w:ascii="Cambria Math" w:hAnsi="Cambria Math"/>
                      </w:rPr>
                    </m:ctrlPr>
                  </m:sSubPr>
                  <m:e>
                    <m:r>
                      <w:rPr>
                        <w:rFonts w:ascii="Cambria Math" w:hAnsi="Cambria Math"/>
                      </w:rPr>
                      <m:t>F</m:t>
                    </m:r>
                  </m:e>
                  <m:sub>
                    <m:r>
                      <w:rPr>
                        <w:rFonts w:ascii="Cambria Math" w:hAnsi="Cambria Math"/>
                      </w:rPr>
                      <m:t>jt</m:t>
                    </m:r>
                  </m:sub>
                </m:sSub>
                <m:r>
                  <m:rPr>
                    <m:lit/>
                    <m:nor/>
                  </m:rPr>
                  <m:t>=</m:t>
                </m:r>
                <m:nary>
                  <m:naryPr>
                    <m:chr m:val="∑"/>
                    <m:supHide m:val="1"/>
                    <m:ctrlPr>
                      <w:rPr>
                        <w:rFonts w:ascii="Cambria Math" w:hAnsi="Cambria Math"/>
                      </w:rPr>
                    </m:ctrlPr>
                  </m:naryPr>
                  <m:sub>
                    <m:r>
                      <w:rPr>
                        <w:rFonts w:ascii="Cambria Math" w:hAnsi="Cambria Math"/>
                      </w:rPr>
                      <m:t>r</m:t>
                    </m:r>
                  </m:sub>
                  <m:sup/>
                  <m:e>
                    <m:sSub>
                      <m:sSubPr>
                        <m:ctrlPr>
                          <w:rPr>
                            <w:rFonts w:ascii="Cambria Math" w:hAnsi="Cambria Math"/>
                          </w:rPr>
                        </m:ctrlPr>
                      </m:sSubPr>
                      <m:e>
                        <m:r>
                          <w:rPr>
                            <w:rFonts w:ascii="Cambria Math" w:hAnsi="Cambria Math"/>
                          </w:rPr>
                          <m:t>X</m:t>
                        </m:r>
                      </m:e>
                      <m:sub>
                        <m:r>
                          <w:rPr>
                            <w:rFonts w:ascii="Cambria Math" w:hAnsi="Cambria Math"/>
                          </w:rPr>
                          <m:t>rjt</m:t>
                        </m:r>
                      </m:sub>
                    </m:sSub>
                    <m:sSub>
                      <m:sSubPr>
                        <m:ctrlPr>
                          <w:rPr>
                            <w:rFonts w:ascii="Cambria Math" w:hAnsi="Cambria Math"/>
                          </w:rPr>
                        </m:ctrlPr>
                      </m:sSubPr>
                      <m:e>
                        <m:r>
                          <w:rPr>
                            <w:rFonts w:ascii="Cambria Math" w:hAnsi="Cambria Math"/>
                          </w:rPr>
                          <m:t>F</m:t>
                        </m:r>
                      </m:e>
                      <m:sub>
                        <m:r>
                          <w:rPr>
                            <w:rFonts w:ascii="Cambria Math" w:hAnsi="Cambria Math"/>
                          </w:rPr>
                          <m:t>j</m:t>
                        </m:r>
                      </m:sub>
                    </m:sSub>
                  </m:e>
                </m:nary>
                <m:sSub>
                  <m:sSubPr>
                    <m:ctrlPr>
                      <w:rPr>
                        <w:rFonts w:ascii="Cambria Math" w:hAnsi="Cambria Math"/>
                      </w:rPr>
                    </m:ctrlPr>
                  </m:sSubPr>
                  <m:e>
                    <m:r>
                      <w:rPr>
                        <w:rFonts w:ascii="Cambria Math" w:hAnsi="Cambria Math"/>
                      </w:rPr>
                      <m:t>A</m:t>
                    </m:r>
                  </m:e>
                  <m:sub>
                    <m:r>
                      <w:rPr>
                        <w:rFonts w:ascii="Cambria Math" w:hAnsi="Cambria Math"/>
                      </w:rPr>
                      <m:t>r</m:t>
                    </m:r>
                  </m:sub>
                </m:sSub>
                <m:r>
                  <w:rPr>
                    <w:rFonts w:ascii="Cambria Math" w:hAnsi="Cambria Math"/>
                  </w:rPr>
                  <m:t>C</m:t>
                </m:r>
                <m:sSub>
                  <m:sSubPr>
                    <m:ctrlPr>
                      <w:rPr>
                        <w:rFonts w:ascii="Cambria Math" w:hAnsi="Cambria Math"/>
                      </w:rPr>
                    </m:ctrlPr>
                  </m:sSubPr>
                  <m:e>
                    <m:r>
                      <w:rPr>
                        <w:rFonts w:ascii="Cambria Math" w:hAnsi="Cambria Math"/>
                      </w:rPr>
                      <m:t>F</m:t>
                    </m:r>
                  </m:e>
                  <m:sub>
                    <m:r>
                      <w:rPr>
                        <w:rFonts w:ascii="Cambria Math" w:hAnsi="Cambria Math"/>
                      </w:rPr>
                      <m:t>rjt</m:t>
                    </m:r>
                  </m:sub>
                </m:sSub>
                <m:r>
                  <m:rPr>
                    <m:lit/>
                    <m:nor/>
                  </m:rPr>
                  <m:t>+</m:t>
                </m:r>
                <m:nary>
                  <m:naryPr>
                    <m:chr m:val="∑"/>
                    <m:supHide m:val="1"/>
                    <m:ctrlPr>
                      <w:rPr>
                        <w:rFonts w:ascii="Cambria Math" w:hAnsi="Cambria Math"/>
                      </w:rPr>
                    </m:ctrlPr>
                  </m:naryPr>
                  <m:sub>
                    <m:r>
                      <w:rPr>
                        <w:rFonts w:ascii="Cambria Math" w:hAnsi="Cambria Math"/>
                      </w:rPr>
                      <m:t>r,k</m:t>
                    </m:r>
                  </m:sub>
                  <m:sup/>
                  <m:e>
                    <m:sSub>
                      <m:sSubPr>
                        <m:ctrlPr>
                          <w:rPr>
                            <w:rFonts w:ascii="Cambria Math" w:hAnsi="Cambria Math"/>
                          </w:rPr>
                        </m:ctrlPr>
                      </m:sSubPr>
                      <m:e>
                        <m:r>
                          <w:rPr>
                            <w:rFonts w:ascii="Cambria Math" w:hAnsi="Cambria Math"/>
                          </w:rPr>
                          <m:t>X</m:t>
                        </m:r>
                      </m:e>
                      <m:sub>
                        <m:r>
                          <w:rPr>
                            <w:rFonts w:ascii="Cambria Math" w:hAnsi="Cambria Math"/>
                          </w:rPr>
                          <m:t>rkt</m:t>
                        </m:r>
                      </m:sub>
                    </m:sSub>
                    <m:sSub>
                      <m:sSubPr>
                        <m:ctrlPr>
                          <w:rPr>
                            <w:rFonts w:ascii="Cambria Math" w:hAnsi="Cambria Math"/>
                          </w:rPr>
                        </m:ctrlPr>
                      </m:sSubPr>
                      <m:e>
                        <m:r>
                          <w:rPr>
                            <w:rFonts w:ascii="Cambria Math" w:hAnsi="Cambria Math"/>
                          </w:rPr>
                          <m:t>F</m:t>
                        </m:r>
                      </m:e>
                      <m:sub>
                        <m:r>
                          <w:rPr>
                            <w:rFonts w:ascii="Cambria Math" w:hAnsi="Cambria Math"/>
                          </w:rPr>
                          <m:t>kj</m:t>
                        </m:r>
                      </m:sub>
                    </m:sSub>
                  </m:e>
                </m:nary>
                <m:sSub>
                  <m:sSubPr>
                    <m:ctrlPr>
                      <w:rPr>
                        <w:rFonts w:ascii="Cambria Math" w:hAnsi="Cambria Math"/>
                      </w:rPr>
                    </m:ctrlPr>
                  </m:sSubPr>
                  <m:e>
                    <m:r>
                      <w:rPr>
                        <w:rFonts w:ascii="Cambria Math" w:hAnsi="Cambria Math"/>
                      </w:rPr>
                      <m:t>A</m:t>
                    </m:r>
                  </m:e>
                  <m:sub>
                    <m:r>
                      <w:rPr>
                        <w:rFonts w:ascii="Cambria Math" w:hAnsi="Cambria Math"/>
                      </w:rPr>
                      <m:t>r</m:t>
                    </m:r>
                  </m:sub>
                </m:sSub>
                <m:r>
                  <w:rPr>
                    <w:rFonts w:ascii="Cambria Math" w:hAnsi="Cambria Math"/>
                  </w:rPr>
                  <m:t>C</m:t>
                </m:r>
                <m:sSub>
                  <m:sSubPr>
                    <m:ctrlPr>
                      <w:rPr>
                        <w:rFonts w:ascii="Cambria Math" w:hAnsi="Cambria Math"/>
                      </w:rPr>
                    </m:ctrlPr>
                  </m:sSubPr>
                  <m:e>
                    <m:r>
                      <w:rPr>
                        <w:rFonts w:ascii="Cambria Math" w:hAnsi="Cambria Math"/>
                      </w:rPr>
                      <m:t>F</m:t>
                    </m:r>
                  </m:e>
                  <m:sub>
                    <m:r>
                      <w:rPr>
                        <w:rFonts w:ascii="Cambria Math" w:hAnsi="Cambria Math"/>
                      </w:rPr>
                      <m:t>rjt</m:t>
                    </m:r>
                  </m:sub>
                </m:sSub>
                <m:r>
                  <m:rPr>
                    <m:lit/>
                    <m:nor/>
                  </m:rPr>
                  <m:t>+</m:t>
                </m:r>
                <m:nary>
                  <m:naryPr>
                    <m:chr m:val="∑"/>
                    <m:supHide m:val="1"/>
                    <m:ctrlPr>
                      <w:rPr>
                        <w:rFonts w:ascii="Cambria Math" w:hAnsi="Cambria Math"/>
                      </w:rPr>
                    </m:ctrlPr>
                  </m:naryPr>
                  <m:sub>
                    <m:r>
                      <w:rPr>
                        <w:rFonts w:ascii="Cambria Math" w:hAnsi="Cambria Math"/>
                      </w:rPr>
                      <m:t>r,j,m</m:t>
                    </m:r>
                  </m:sub>
                  <m:sup/>
                  <m:e>
                    <m:sSub>
                      <m:sSubPr>
                        <m:ctrlPr>
                          <w:rPr>
                            <w:rFonts w:ascii="Cambria Math" w:hAnsi="Cambria Math"/>
                          </w:rPr>
                        </m:ctrlPr>
                      </m:sSubPr>
                      <m:e>
                        <m:r>
                          <w:rPr>
                            <w:rFonts w:ascii="Cambria Math" w:hAnsi="Cambria Math"/>
                          </w:rPr>
                          <m:t>X</m:t>
                        </m:r>
                      </m:e>
                      <m:sub>
                        <m:r>
                          <w:rPr>
                            <w:rFonts w:ascii="Cambria Math" w:hAnsi="Cambria Math"/>
                          </w:rPr>
                          <m:t>rjt</m:t>
                        </m:r>
                      </m:sub>
                    </m:sSub>
                    <m:sSub>
                      <m:sSubPr>
                        <m:ctrlPr>
                          <w:rPr>
                            <w:rFonts w:ascii="Cambria Math" w:hAnsi="Cambria Math"/>
                          </w:rPr>
                        </m:ctrlPr>
                      </m:sSubPr>
                      <m:e>
                        <m:r>
                          <w:rPr>
                            <w:rFonts w:ascii="Cambria Math" w:hAnsi="Cambria Math"/>
                          </w:rPr>
                          <m:t>F</m:t>
                        </m:r>
                      </m:e>
                      <m:sub>
                        <m:r>
                          <w:rPr>
                            <w:rFonts w:ascii="Cambria Math" w:hAnsi="Cambria Math"/>
                          </w:rPr>
                          <m:t>j</m:t>
                        </m:r>
                      </m:sub>
                    </m:sSub>
                    <m:r>
                      <w:rPr>
                        <w:rFonts w:ascii="Cambria Math" w:hAnsi="Cambria Math"/>
                      </w:rPr>
                      <m:t>M</m:t>
                    </m:r>
                    <m:sSub>
                      <m:sSubPr>
                        <m:ctrlPr>
                          <w:rPr>
                            <w:rFonts w:ascii="Cambria Math" w:hAnsi="Cambria Math"/>
                          </w:rPr>
                        </m:ctrlPr>
                      </m:sSubPr>
                      <m:e>
                        <m:r>
                          <w:rPr>
                            <w:rFonts w:ascii="Cambria Math" w:hAnsi="Cambria Math"/>
                          </w:rPr>
                          <m:t>F</m:t>
                        </m:r>
                      </m:e>
                      <m:sub>
                        <m:r>
                          <w:rPr>
                            <w:rFonts w:ascii="Cambria Math" w:hAnsi="Cambria Math"/>
                          </w:rPr>
                          <m:t>jm</m:t>
                        </m:r>
                      </m:sub>
                    </m:sSub>
                  </m:e>
                </m:nary>
                <m:sSub>
                  <m:sSubPr>
                    <m:ctrlPr>
                      <w:rPr>
                        <w:rFonts w:ascii="Cambria Math" w:hAnsi="Cambria Math"/>
                      </w:rPr>
                    </m:ctrlPr>
                  </m:sSubPr>
                  <m:e>
                    <m:r>
                      <w:rPr>
                        <w:rFonts w:ascii="Cambria Math" w:hAnsi="Cambria Math"/>
                      </w:rPr>
                      <m:t>A</m:t>
                    </m:r>
                  </m:e>
                  <m:sub>
                    <m:r>
                      <w:rPr>
                        <w:rFonts w:ascii="Cambria Math" w:hAnsi="Cambria Math"/>
                      </w:rPr>
                      <m:t>r</m:t>
                    </m:r>
                  </m:sub>
                </m:sSub>
                <m:r>
                  <w:rPr>
                    <w:rFonts w:ascii="Cambria Math" w:hAnsi="Cambria Math"/>
                  </w:rPr>
                  <m:t>C</m:t>
                </m:r>
                <m:sSub>
                  <m:sSubPr>
                    <m:ctrlPr>
                      <w:rPr>
                        <w:rFonts w:ascii="Cambria Math" w:hAnsi="Cambria Math"/>
                      </w:rPr>
                    </m:ctrlPr>
                  </m:sSubPr>
                  <m:e>
                    <m:r>
                      <w:rPr>
                        <w:rFonts w:ascii="Cambria Math" w:hAnsi="Cambria Math"/>
                      </w:rPr>
                      <m:t>F</m:t>
                    </m:r>
                  </m:e>
                  <m:sub>
                    <m:r>
                      <w:rPr>
                        <w:rFonts w:ascii="Cambria Math" w:hAnsi="Cambria Math"/>
                      </w:rPr>
                      <m:t>rjt</m:t>
                    </m:r>
                  </m:sub>
                </m:sSub>
              </m:oMath>
            </m:oMathPara>
          </w:p>
        </w:tc>
        <w:tc>
          <w:tcPr>
            <w:tcW w:w="567" w:type="dxa"/>
            <w:tcBorders>
              <w:top w:val="nil"/>
              <w:left w:val="nil"/>
              <w:bottom w:val="nil"/>
              <w:right w:val="nil"/>
            </w:tcBorders>
            <w:vAlign w:val="center"/>
          </w:tcPr>
          <w:p w14:paraId="6CD4F592" w14:textId="77777777" w:rsidR="00172691" w:rsidRPr="000F1CD9" w:rsidRDefault="00172691" w:rsidP="005B5BFB">
            <w:pPr>
              <w:spacing w:before="156" w:after="163"/>
              <w:ind w:firstLineChars="0" w:firstLine="0"/>
              <w:jc w:val="right"/>
              <w:rPr>
                <w:rFonts w:ascii="Arial" w:eastAsia="DengXian" w:hAnsi="Arial" w:cs="Arial"/>
                <w:color w:val="000000" w:themeColor="text1"/>
                <w:szCs w:val="21"/>
              </w:rPr>
            </w:pPr>
            <w:r w:rsidRPr="000F1CD9">
              <w:rPr>
                <w:rFonts w:ascii="Arial" w:eastAsia="宋体" w:hAnsi="Arial" w:cs="Arial"/>
                <w:szCs w:val="21"/>
              </w:rPr>
              <w:t>(</w:t>
            </w:r>
            <w:r w:rsidRPr="000F1CD9">
              <w:rPr>
                <w:rFonts w:ascii="Arial" w:hAnsi="Arial" w:cs="Arial"/>
              </w:rPr>
              <w:fldChar w:fldCharType="begin"/>
            </w:r>
            <w:r w:rsidRPr="000F1CD9">
              <w:rPr>
                <w:rFonts w:ascii="Arial" w:eastAsia="宋体" w:hAnsi="Arial" w:cs="Arial"/>
                <w:szCs w:val="21"/>
              </w:rPr>
              <w:instrText>LISTNUM  NumberDefault \l 0</w:instrText>
            </w:r>
            <w:r w:rsidRPr="000F1CD9">
              <w:rPr>
                <w:rFonts w:ascii="Arial" w:eastAsia="宋体" w:hAnsi="Arial" w:cs="Arial"/>
                <w:szCs w:val="21"/>
              </w:rPr>
              <w:fldChar w:fldCharType="separate"/>
            </w:r>
            <w:r w:rsidRPr="000F1CD9">
              <w:rPr>
                <w:rFonts w:ascii="Arial" w:eastAsia="宋体" w:hAnsi="Arial" w:cs="Arial"/>
                <w:szCs w:val="21"/>
              </w:rPr>
              <w:fldChar w:fldCharType="end"/>
            </w:r>
          </w:p>
        </w:tc>
      </w:tr>
    </w:tbl>
    <w:p w14:paraId="1B377688" w14:textId="77777777" w:rsidR="00172691" w:rsidRDefault="00172691" w:rsidP="00172691">
      <w:pPr>
        <w:ind w:firstLineChars="0" w:firstLine="0"/>
        <w:rPr>
          <w:rFonts w:eastAsia="DengXian"/>
          <w:i/>
          <w:iCs/>
          <w:color w:val="000000" w:themeColor="text1"/>
        </w:rPr>
      </w:pPr>
      <w:r>
        <w:rPr>
          <w:rFonts w:eastAsia="DengXian"/>
          <w:color w:val="000000" w:themeColor="text1"/>
        </w:rPr>
        <w:t xml:space="preserve">where </w:t>
      </w:r>
      <m:oMath>
        <m:r>
          <w:rPr>
            <w:rFonts w:ascii="Cambria Math" w:hAnsi="Cambria Math"/>
          </w:rPr>
          <m:t>A</m:t>
        </m:r>
        <m:sSub>
          <m:sSubPr>
            <m:ctrlPr>
              <w:rPr>
                <w:rFonts w:ascii="Cambria Math" w:hAnsi="Cambria Math"/>
              </w:rPr>
            </m:ctrlPr>
          </m:sSubPr>
          <m:e>
            <m:r>
              <w:rPr>
                <w:rFonts w:ascii="Cambria Math" w:hAnsi="Cambria Math"/>
              </w:rPr>
              <m:t>F</m:t>
            </m:r>
          </m:e>
          <m:sub>
            <m:r>
              <w:rPr>
                <w:rFonts w:ascii="Cambria Math" w:hAnsi="Cambria Math"/>
              </w:rPr>
              <m:t>jt</m:t>
            </m:r>
          </m:sub>
        </m:sSub>
      </m:oMath>
      <w:r>
        <w:rPr>
          <w:rFonts w:eastAsia="DengXian"/>
          <w:color w:val="000000" w:themeColor="text1"/>
        </w:rPr>
        <w:t xml:space="preserve"> represents </w:t>
      </w:r>
      <w:r>
        <w:rPr>
          <w:color w:val="000000" w:themeColor="text1"/>
        </w:rPr>
        <w:t>the</w:t>
      </w:r>
      <w:r>
        <w:rPr>
          <w:rFonts w:eastAsia="DengXian"/>
          <w:color w:val="000000" w:themeColor="text1"/>
        </w:rPr>
        <w:t xml:space="preserve"> total agri-food productivity </w:t>
      </w:r>
      <w:r>
        <w:rPr>
          <w:color w:val="000000" w:themeColor="text1"/>
        </w:rPr>
        <w:t xml:space="preserve">for agricultural land-use </w:t>
      </w:r>
      <w:r>
        <w:rPr>
          <w:rFonts w:eastAsia="DengXian"/>
          <w:i/>
          <w:iCs/>
          <w:color w:val="000000" w:themeColor="text1"/>
        </w:rPr>
        <w:t>j</w:t>
      </w:r>
      <w:r>
        <w:rPr>
          <w:rFonts w:eastAsia="DengXian"/>
          <w:color w:val="000000" w:themeColor="text1"/>
        </w:rPr>
        <w:t xml:space="preserve"> in year </w:t>
      </w:r>
      <w:r>
        <w:rPr>
          <w:rFonts w:eastAsia="DengXian"/>
          <w:i/>
          <w:iCs/>
          <w:color w:val="000000" w:themeColor="text1"/>
        </w:rPr>
        <w:t>t</w:t>
      </w:r>
      <w:r>
        <w:rPr>
          <w:rFonts w:eastAsia="DengXian"/>
          <w:color w:val="000000" w:themeColor="text1"/>
        </w:rPr>
        <w:t>,</w:t>
      </w:r>
      <w:r>
        <w:rPr>
          <w:rFonts w:eastAsia="DengXian"/>
          <w:i/>
          <w:iCs/>
          <w:color w:val="000000" w:themeColor="text1"/>
        </w:rPr>
        <w:t xml:space="preserve"> </w:t>
      </w:r>
      <m:oMath>
        <m:sSub>
          <m:sSubPr>
            <m:ctrlPr>
              <w:rPr>
                <w:rFonts w:ascii="Cambria Math" w:hAnsi="Cambria Math"/>
              </w:rPr>
            </m:ctrlPr>
          </m:sSubPr>
          <m:e>
            <m:r>
              <w:rPr>
                <w:rFonts w:ascii="Cambria Math" w:hAnsi="Cambria Math"/>
              </w:rPr>
              <m:t>F</m:t>
            </m:r>
          </m:e>
          <m:sub>
            <m:r>
              <w:rPr>
                <w:rFonts w:ascii="Cambria Math" w:hAnsi="Cambria Math"/>
              </w:rPr>
              <m:t>j</m:t>
            </m:r>
          </m:sub>
        </m:sSub>
      </m:oMath>
      <w:r>
        <w:rPr>
          <w:rFonts w:eastAsia="DengXian"/>
          <w:color w:val="000000" w:themeColor="text1"/>
        </w:rPr>
        <w:t xml:space="preserve"> represents </w:t>
      </w:r>
      <w:r>
        <w:rPr>
          <w:color w:val="000000" w:themeColor="text1"/>
        </w:rPr>
        <w:t>the</w:t>
      </w:r>
      <w:r>
        <w:rPr>
          <w:rFonts w:eastAsia="DengXian"/>
          <w:color w:val="000000" w:themeColor="text1"/>
        </w:rPr>
        <w:t xml:space="preserve"> agri-food productivity </w:t>
      </w:r>
      <w:r>
        <w:rPr>
          <w:color w:val="000000" w:themeColor="text1"/>
        </w:rPr>
        <w:t xml:space="preserve">for agricultural land-use </w:t>
      </w:r>
      <w:r>
        <w:rPr>
          <w:rFonts w:eastAsia="DengXian"/>
          <w:i/>
          <w:iCs/>
          <w:color w:val="000000" w:themeColor="text1"/>
        </w:rPr>
        <w:t xml:space="preserve">j, </w:t>
      </w:r>
      <m:oMath>
        <m:sSub>
          <m:sSubPr>
            <m:ctrlPr>
              <w:rPr>
                <w:rFonts w:ascii="Cambria Math" w:hAnsi="Cambria Math"/>
              </w:rPr>
            </m:ctrlPr>
          </m:sSubPr>
          <m:e>
            <m:r>
              <w:rPr>
                <w:rFonts w:ascii="Cambria Math" w:hAnsi="Cambria Math"/>
              </w:rPr>
              <m:t>CF</m:t>
            </m:r>
          </m:e>
          <m:sub>
            <m:r>
              <w:rPr>
                <w:rFonts w:ascii="Cambria Math" w:hAnsi="Cambria Math"/>
              </w:rPr>
              <m:t>rjt</m:t>
            </m:r>
          </m:sub>
        </m:sSub>
      </m:oMath>
      <w:r>
        <w:rPr>
          <w:rFonts w:eastAsia="DengXian"/>
          <w:color w:val="000000" w:themeColor="text1"/>
        </w:rPr>
        <w:t xml:space="preserve"> </w:t>
      </w:r>
      <w:r>
        <w:rPr>
          <w:color w:val="000000" w:themeColor="text1"/>
        </w:rPr>
        <w:t xml:space="preserve"> </w:t>
      </w:r>
      <w:r>
        <w:rPr>
          <w:rFonts w:eastAsia="DengXian"/>
          <w:color w:val="000000" w:themeColor="text1"/>
        </w:rPr>
        <w:t>represents modifier of climate change impact on agricultural land use</w:t>
      </w:r>
      <w:r>
        <w:rPr>
          <w:rFonts w:eastAsia="DengXian"/>
          <w:i/>
          <w:iCs/>
          <w:color w:val="000000" w:themeColor="text1"/>
        </w:rPr>
        <w:t xml:space="preserve"> j </w:t>
      </w:r>
      <w:r>
        <w:rPr>
          <w:rFonts w:eastAsia="DengXian"/>
          <w:color w:val="000000" w:themeColor="text1"/>
        </w:rPr>
        <w:t xml:space="preserve">agri-food productivity in grid cell </w:t>
      </w:r>
      <w:r>
        <w:rPr>
          <w:rFonts w:eastAsia="DengXian"/>
          <w:i/>
          <w:iCs/>
          <w:color w:val="000000" w:themeColor="text1"/>
        </w:rPr>
        <w:t xml:space="preserve">r </w:t>
      </w:r>
      <w:r>
        <w:rPr>
          <w:rFonts w:eastAsia="DengXian"/>
          <w:color w:val="000000" w:themeColor="text1"/>
        </w:rPr>
        <w:t xml:space="preserve">in year </w:t>
      </w:r>
      <w:r>
        <w:rPr>
          <w:rFonts w:eastAsia="DengXian"/>
          <w:i/>
          <w:iCs/>
          <w:color w:val="000000" w:themeColor="text1"/>
        </w:rPr>
        <w:t xml:space="preserve">t, </w:t>
      </w:r>
      <m:oMath>
        <m:sSub>
          <m:sSubPr>
            <m:ctrlPr>
              <w:rPr>
                <w:rFonts w:ascii="Cambria Math" w:hAnsi="Cambria Math"/>
              </w:rPr>
            </m:ctrlPr>
          </m:sSubPr>
          <m:e>
            <m:r>
              <w:rPr>
                <w:rFonts w:ascii="Cambria Math" w:hAnsi="Cambria Math"/>
              </w:rPr>
              <m:t>F</m:t>
            </m:r>
          </m:e>
          <m:sub>
            <m:r>
              <w:rPr>
                <w:rFonts w:ascii="Cambria Math" w:hAnsi="Cambria Math"/>
              </w:rPr>
              <m:t>kj</m:t>
            </m:r>
          </m:sub>
        </m:sSub>
      </m:oMath>
      <w:r>
        <w:rPr>
          <w:rFonts w:eastAsia="DengXian"/>
          <w:color w:val="000000" w:themeColor="text1"/>
        </w:rPr>
        <w:t xml:space="preserve"> represents the agri-food productivity of agricultural land-use </w:t>
      </w:r>
      <w:r>
        <w:rPr>
          <w:rFonts w:eastAsia="DengXian"/>
          <w:i/>
          <w:iCs/>
          <w:color w:val="000000" w:themeColor="text1"/>
        </w:rPr>
        <w:t>j</w:t>
      </w:r>
      <w:r>
        <w:rPr>
          <w:rFonts w:eastAsia="DengXian"/>
          <w:color w:val="000000" w:themeColor="text1"/>
        </w:rPr>
        <w:t xml:space="preserve"> for non-agricultural land-use type </w:t>
      </w:r>
      <w:r>
        <w:rPr>
          <w:rFonts w:eastAsia="DengXian"/>
          <w:i/>
          <w:iCs/>
          <w:color w:val="000000" w:themeColor="text1"/>
        </w:rPr>
        <w:t>k</w:t>
      </w:r>
      <w:r>
        <w:rPr>
          <w:rFonts w:eastAsia="DengXian"/>
          <w:color w:val="000000" w:themeColor="text1"/>
        </w:rPr>
        <w:t>,</w:t>
      </w:r>
      <w:r>
        <w:rPr>
          <w:rFonts w:eastAsia="DengXian"/>
          <w:i/>
          <w:iCs/>
          <w:color w:val="000000" w:themeColor="text1"/>
        </w:rPr>
        <w:t xml:space="preserve"> </w:t>
      </w:r>
      <m:oMath>
        <m:sSub>
          <m:sSubPr>
            <m:ctrlPr>
              <w:rPr>
                <w:rFonts w:ascii="Cambria Math" w:hAnsi="Cambria Math"/>
              </w:rPr>
            </m:ctrlPr>
          </m:sSubPr>
          <m:e>
            <m:r>
              <w:rPr>
                <w:rFonts w:ascii="Cambria Math" w:hAnsi="Cambria Math"/>
              </w:rPr>
              <m:t>MF</m:t>
            </m:r>
          </m:e>
          <m:sub>
            <m:r>
              <w:rPr>
                <w:rFonts w:ascii="Cambria Math" w:hAnsi="Cambria Math"/>
              </w:rPr>
              <m:t>jm</m:t>
            </m:r>
          </m:sub>
        </m:sSub>
      </m:oMath>
      <w:r>
        <w:rPr>
          <w:rFonts w:eastAsia="DengXian"/>
          <w:color w:val="000000" w:themeColor="text1"/>
        </w:rPr>
        <w:t xml:space="preserve"> represents the impact of agricultural management </w:t>
      </w:r>
      <w:r>
        <w:rPr>
          <w:rFonts w:eastAsia="DengXian"/>
          <w:i/>
          <w:iCs/>
          <w:color w:val="000000" w:themeColor="text1"/>
        </w:rPr>
        <w:t xml:space="preserve">m </w:t>
      </w:r>
      <w:r>
        <w:rPr>
          <w:rFonts w:eastAsia="DengXian"/>
          <w:color w:val="000000" w:themeColor="text1"/>
        </w:rPr>
        <w:t>on agricultural land use</w:t>
      </w:r>
      <w:r>
        <w:rPr>
          <w:rFonts w:eastAsia="DengXian"/>
          <w:i/>
          <w:iCs/>
          <w:color w:val="000000" w:themeColor="text1"/>
        </w:rPr>
        <w:t xml:space="preserve"> j </w:t>
      </w:r>
      <w:r>
        <w:rPr>
          <w:rFonts w:eastAsia="DengXian"/>
          <w:color w:val="000000" w:themeColor="text1"/>
        </w:rPr>
        <w:t>agri-food productivity.</w:t>
      </w:r>
    </w:p>
    <w:p w14:paraId="39CB01A5" w14:textId="77777777" w:rsidR="00172691" w:rsidRDefault="00172691" w:rsidP="00172691">
      <w:pPr>
        <w:ind w:firstLine="420"/>
        <w:rPr>
          <w:rFonts w:eastAsia="宋体"/>
          <w:color w:val="000000" w:themeColor="text1"/>
        </w:rPr>
      </w:pPr>
      <w:r>
        <w:rPr>
          <w:rFonts w:eastAsia="宋体"/>
          <w:color w:val="000000" w:themeColor="text1"/>
        </w:rPr>
        <w:t>The relationship between land-use types and agri-food commodities is not strictly a direct one-to-one mapping. While dairy and many crop-based land-use categories usually correspond to a single primary product (e.g., the Winter cereals land-use produces only winter cereals), some categories represent mixed systems and can generate multiple outputs (e.g., sheep and beef). Beef- and sheep-dominated land uses also generate joint products. Both sheep and beef can produce meat and live exports, and sheep can additionally produce wool. To assess target attainment, we use spatially explicit land-use-to-commodity conversion coefficients derived from agricultural census data at the grid-cell level, transforming agri-food production quantities into quantities of specific commodities.</w:t>
      </w:r>
    </w:p>
    <w:p w14:paraId="13880E4D" w14:textId="77777777" w:rsidR="002D7335" w:rsidRDefault="00FF2621">
      <w:pPr>
        <w:pStyle w:val="3"/>
        <w:rPr>
          <w:rFonts w:eastAsia="宋体"/>
          <w:color w:val="000000" w:themeColor="text1"/>
        </w:rPr>
      </w:pPr>
      <w:r>
        <w:rPr>
          <w:rFonts w:eastAsia="宋体"/>
          <w:color w:val="000000" w:themeColor="text1"/>
        </w:rPr>
        <w:t>Water yield modelling</w:t>
      </w:r>
    </w:p>
    <w:p w14:paraId="65995399" w14:textId="6543520C" w:rsidR="002D7335" w:rsidRPr="007C0C3E" w:rsidRDefault="007C0C3E">
      <w:pPr>
        <w:ind w:firstLine="420"/>
        <w:rPr>
          <w:rFonts w:eastAsia="DengXian"/>
          <w:color w:val="000000" w:themeColor="text1"/>
        </w:rPr>
      </w:pPr>
      <w:r w:rsidRPr="007C0C3E">
        <w:rPr>
          <w:rFonts w:eastAsia="DengXian" w:cs="Times New Roman"/>
          <w:color w:val="000000" w:themeColor="text1"/>
        </w:rPr>
        <w:t xml:space="preserve">Water net yield quantification integrates agricultural and non-agricultural water supply-demand dynamics with agricultural management impacts. </w:t>
      </w:r>
      <w:r w:rsidRPr="007C0C3E">
        <w:rPr>
          <w:rFonts w:cs="Times New Roman"/>
          <w:color w:val="000000" w:themeColor="text1"/>
        </w:rPr>
        <w:t>Water yield data</w:t>
      </w:r>
      <w:r w:rsidRPr="007C0C3E">
        <w:rPr>
          <w:rFonts w:eastAsia="DengXian" w:cs="Times New Roman"/>
          <w:color w:val="000000" w:themeColor="text1"/>
        </w:rPr>
        <w:t xml:space="preserve"> (ML ha</w:t>
      </w:r>
      <w:r w:rsidRPr="007C0C3E">
        <w:rPr>
          <w:rFonts w:eastAsia="DengXian" w:cs="Times New Roman"/>
          <w:color w:val="000000" w:themeColor="text1"/>
          <w:vertAlign w:val="superscript"/>
        </w:rPr>
        <w:t>-1</w:t>
      </w:r>
      <w:r w:rsidRPr="007C0C3E">
        <w:rPr>
          <w:rFonts w:eastAsia="DengXian" w:cs="Times New Roman"/>
          <w:color w:val="000000" w:themeColor="text1"/>
        </w:rPr>
        <w:t>)</w:t>
      </w:r>
      <w:r w:rsidRPr="007C0C3E">
        <w:rPr>
          <w:rFonts w:cs="Times New Roman"/>
          <w:color w:val="000000" w:themeColor="text1"/>
        </w:rPr>
        <w:t xml:space="preserve"> were derived using the Budyko framework through the InVEST water yield model. Hydrological modeling using this approach differentiates water yields between shallow-rooted systems (e.g., pasture) and deep-rooted systems (e.g., forests), accounting for variations in water use and availability across different land-use types</w:t>
      </w:r>
      <w:r w:rsidRPr="007C0C3E">
        <w:rPr>
          <w:rFonts w:eastAsia="DengXian" w:cs="Times New Roman"/>
          <w:color w:val="000000" w:themeColor="text1"/>
        </w:rPr>
        <w:t xml:space="preserve"> </w:t>
      </w:r>
      <w:r w:rsidRPr="007C0C3E">
        <w:rPr>
          <w:rFonts w:eastAsia="DengXian" w:cs="Times New Roman"/>
          <w:color w:val="000000" w:themeColor="text1"/>
        </w:rPr>
        <w:fldChar w:fldCharType="begin">
          <w:fldData xml:space="preserve">PEVuZE5vdGU+PENpdGU+PEF1dGhvcj5YaW5nPC9BdXRob3I+PFllYXI+MjAxODwvWWVhcj48UmVj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</w:fldData>
        </w:fldChar>
      </w:r>
      <w:r>
        <w:rPr>
          <w:rFonts w:eastAsia="DengXian" w:cs="Times New Roman"/>
          <w:color w:val="000000" w:themeColor="text1"/>
        </w:rPr>
        <w:instrText xml:space="preserve"> ADDIN EN.CITE </w:instrText>
      </w:r>
      <w:r>
        <w:rPr>
          <w:rFonts w:eastAsia="DengXian" w:cs="Times New Roman"/>
          <w:color w:val="000000" w:themeColor="text1"/>
        </w:rPr>
        <w:fldChar w:fldCharType="begin">
          <w:fldData xml:space="preserve">PEVuZE5vdGU+PENpdGU+PEF1dGhvcj5YaW5nPC9BdXRob3I+PFllYXI+MjAxODwvWWVhcj48UmVj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</w:fldData>
        </w:fldChar>
      </w:r>
      <w:r>
        <w:rPr>
          <w:rFonts w:eastAsia="DengXian" w:cs="Times New Roman"/>
          <w:color w:val="000000" w:themeColor="text1"/>
        </w:rPr>
        <w:instrText xml:space="preserve"> ADDIN EN.CITE.DATA </w:instrText>
      </w:r>
      <w:r>
        <w:rPr>
          <w:rFonts w:eastAsia="DengXian" w:cs="Times New Roman"/>
          <w:color w:val="000000" w:themeColor="text1"/>
        </w:rPr>
      </w:r>
      <w:r>
        <w:rPr>
          <w:rFonts w:eastAsia="DengXian" w:cs="Times New Roman"/>
          <w:color w:val="000000" w:themeColor="text1"/>
        </w:rPr>
        <w:fldChar w:fldCharType="end"/>
      </w:r>
      <w:r w:rsidRPr="007C0C3E">
        <w:rPr>
          <w:rFonts w:eastAsia="DengXian" w:cs="Times New Roman"/>
          <w:color w:val="000000" w:themeColor="text1"/>
        </w:rPr>
      </w:r>
      <w:r w:rsidRPr="007C0C3E">
        <w:rPr>
          <w:rFonts w:eastAsia="DengXian" w:cs="Times New Roman"/>
          <w:color w:val="000000" w:themeColor="text1"/>
        </w:rPr>
        <w:fldChar w:fldCharType="separate"/>
      </w:r>
      <w:r w:rsidRPr="007C0C3E">
        <w:rPr>
          <w:rFonts w:eastAsia="DengXian" w:cs="Times New Roman"/>
          <w:noProof/>
          <w:color w:val="000000" w:themeColor="text1"/>
          <w:vertAlign w:val="superscript"/>
        </w:rPr>
        <w:t>15-17</w:t>
      </w:r>
      <w:r w:rsidRPr="007C0C3E">
        <w:rPr>
          <w:rFonts w:eastAsia="DengXian" w:cs="Times New Roman"/>
          <w:color w:val="000000" w:themeColor="text1"/>
        </w:rPr>
        <w:fldChar w:fldCharType="end"/>
      </w:r>
      <w:r w:rsidRPr="007C0C3E">
        <w:rPr>
          <w:rFonts w:eastAsia="DengXian" w:cs="Times New Roman"/>
          <w:color w:val="000000" w:themeColor="text1"/>
        </w:rPr>
        <w:t xml:space="preserve">. Precipitation and temperature data were sourced from WorldClim Coupled Model Intercomparison Project Phase 6 (CMIP6) General Circulation Models (GCMs) for the SSP2 RCP4.5 scenario </w:t>
      </w:r>
      <w:r w:rsidRPr="007C0C3E">
        <w:rPr>
          <w:rFonts w:eastAsia="DengXian" w:cs="Times New Roman"/>
          <w:color w:val="000000" w:themeColor="text1"/>
        </w:rPr>
        <w:fldChar w:fldCharType="begin">
          <w:fldData xml:space="preserve">PEVuZE5vdGU+PENpdGU+PEF1dGhvcj5FeXJpbmc8L0F1dGhvcj48WWVhcj4yMDE2PC9ZZWFyPjxS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==
</w:fldData>
        </w:fldChar>
      </w:r>
      <w:r>
        <w:rPr>
          <w:rFonts w:eastAsia="DengXian" w:cs="Times New Roman"/>
          <w:color w:val="000000" w:themeColor="text1"/>
        </w:rPr>
        <w:instrText xml:space="preserve"> ADDIN EN.CITE </w:instrText>
      </w:r>
      <w:r>
        <w:rPr>
          <w:rFonts w:eastAsia="DengXian" w:cs="Times New Roman"/>
          <w:color w:val="000000" w:themeColor="text1"/>
        </w:rPr>
        <w:fldChar w:fldCharType="begin">
          <w:fldData xml:space="preserve">PEVuZE5vdGU+PENpdGU+PEF1dGhvcj5FeXJpbmc8L0F1dGhvcj48WWVhcj4yMDE2PC9ZZWFyPjxS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==
</w:fldData>
        </w:fldChar>
      </w:r>
      <w:r>
        <w:rPr>
          <w:rFonts w:eastAsia="DengXian" w:cs="Times New Roman"/>
          <w:color w:val="000000" w:themeColor="text1"/>
        </w:rPr>
        <w:instrText xml:space="preserve"> ADDIN EN.CITE.DATA </w:instrText>
      </w:r>
      <w:r>
        <w:rPr>
          <w:rFonts w:eastAsia="DengXian" w:cs="Times New Roman"/>
          <w:color w:val="000000" w:themeColor="text1"/>
        </w:rPr>
      </w:r>
      <w:r>
        <w:rPr>
          <w:rFonts w:eastAsia="DengXian" w:cs="Times New Roman"/>
          <w:color w:val="000000" w:themeColor="text1"/>
        </w:rPr>
        <w:fldChar w:fldCharType="end"/>
      </w:r>
      <w:r w:rsidRPr="007C0C3E">
        <w:rPr>
          <w:rFonts w:eastAsia="DengXian" w:cs="Times New Roman"/>
          <w:color w:val="000000" w:themeColor="text1"/>
        </w:rPr>
      </w:r>
      <w:r w:rsidRPr="007C0C3E">
        <w:rPr>
          <w:rFonts w:eastAsia="DengXian" w:cs="Times New Roman"/>
          <w:color w:val="000000" w:themeColor="text1"/>
        </w:rPr>
        <w:fldChar w:fldCharType="separate"/>
      </w:r>
      <w:r w:rsidRPr="007C0C3E">
        <w:rPr>
          <w:rFonts w:eastAsia="DengXian" w:cs="Times New Roman"/>
          <w:noProof/>
          <w:color w:val="000000" w:themeColor="text1"/>
          <w:vertAlign w:val="superscript"/>
        </w:rPr>
        <w:t>18-20</w:t>
      </w:r>
      <w:r w:rsidRPr="007C0C3E">
        <w:rPr>
          <w:rFonts w:eastAsia="DengXian" w:cs="Times New Roman"/>
          <w:color w:val="000000" w:themeColor="text1"/>
        </w:rPr>
        <w:fldChar w:fldCharType="end"/>
      </w:r>
      <w:r w:rsidRPr="007C0C3E">
        <w:rPr>
          <w:rFonts w:eastAsia="DengXian" w:cs="Times New Roman"/>
          <w:color w:val="000000" w:themeColor="text1"/>
        </w:rPr>
        <w:t xml:space="preserve">. Potential evapotranspiration was calculated using the Priestley-Taylor method </w:t>
      </w:r>
      <w:r w:rsidRPr="007C0C3E">
        <w:rPr>
          <w:rFonts w:eastAsia="DengXian" w:cs="Times New Roman"/>
          <w:color w:val="000000" w:themeColor="text1"/>
        </w:rPr>
        <w:fldChar w:fldCharType="begin"/>
      </w:r>
      <w:r>
        <w:rPr>
          <w:rFonts w:eastAsia="DengXian" w:cs="Times New Roman"/>
          <w:color w:val="000000" w:themeColor="text1"/>
        </w:rPr>
        <w:instrText xml:space="preserve"> ADDIN EN.CITE &lt;EndNote&gt;&lt;Cite&gt;&lt;Author&gt;Priestley&lt;/Author&gt;&lt;Year&gt;1972&lt;/Year&gt;&lt;RecNum&gt;360&lt;/RecNum&gt;&lt;DisplayText&gt;&lt;style face="superscript"&gt;21,22&lt;/style&gt;&lt;/DisplayText&gt;&lt;record&gt;&lt;rec-number&gt;360&lt;/rec-number&gt;&lt;foreign-keys&gt;&lt;key app="EN" db-id="st0zxxax1wfadte9s5gpaptza9tfvrzsvaxs" timestamp="1741928861" guid="52f0c6d0-1e69-4618-b65d-bd8a07bc1045"&gt;360&lt;/key&gt;&lt;/foreign-keys&gt;&lt;ref-type name="Journal Article"&gt;17&lt;/ref-type&gt;&lt;contributors&gt;&lt;authors&gt;&lt;author&gt;Priestley, Charles Henry Brian&lt;/author&gt;&lt;author&gt;Taylor, Robert Joseph&lt;/author&gt;&lt;/authors&gt;&lt;/contributors&gt;&lt;titles&gt;&lt;title&gt;On the assessment of surface heat flux and evaporation using large-scale parameters&lt;/title&gt;&lt;secondary-title&gt;Monthly weather review&lt;/secondary-title&gt;&lt;/titles&gt;&lt;periodical&gt;&lt;full-title&gt;Monthly weather review&lt;/full-title&gt;&lt;/periodical&gt;&lt;pages&gt;81-92&lt;/pages&gt;&lt;volume&gt;100&lt;/volume&gt;&lt;number&gt;2&lt;/number&gt;&lt;dates&gt;&lt;year&gt;1972&lt;/year&gt;&lt;/dates&gt;&lt;isbn&gt;1520-0493&lt;/isbn&gt;&lt;urls&gt;&lt;/urls&gt;&lt;/record&gt;&lt;/Cite&gt;&lt;Cite&gt;&lt;Author&gt;Liu&lt;/Author&gt;&lt;Year&gt;2024&lt;/Year&gt;&lt;RecNum&gt;358&lt;/RecNum&gt;&lt;record&gt;&lt;rec-number&gt;358&lt;/rec-number&gt;&lt;foreign-keys&gt;&lt;key app="EN" db-id="st0zxxax1wfadte9s5gpaptza9tfvrzsvaxs" timestamp="1741928793" guid="90e0178a-b62b-445b-9c55-4281bc432c9e"&gt;358&lt;/key&gt;&lt;/foreign-keys&gt;&lt;ref-type name="Journal Article"&gt;17&lt;/ref-type&gt;&lt;contributors&gt;&lt;authors&gt;&lt;author&gt;Liu, Ziwei&lt;/author&gt;&lt;author&gt;Yang, Hanbo&lt;/author&gt;&lt;author&gt;Li, Changming&lt;/author&gt;&lt;author&gt;Wang, Taihua&lt;/author&gt;&lt;/authors&gt;&lt;/contributors&gt;&lt;titles&gt;&lt;title&gt;Estimating the sensitivity of the Priestley–Taylor coefficient to air temperature and humidity&lt;/title&gt;&lt;secondary-title&gt;Hydrology and Earth System Sciences&lt;/secondary-title&gt;&lt;/titles&gt;&lt;periodical&gt;&lt;full-title&gt;Hydrology and Earth System Sciences&lt;/full-title&gt;&lt;/periodical&gt;&lt;pages&gt;4349-4360&lt;/pages&gt;&lt;volume&gt;28&lt;/volume&gt;&lt;number&gt;18&lt;/number&gt;&lt;section&gt;4349&lt;/section&gt;&lt;dates&gt;&lt;year&gt;2024&lt;/year&gt;&lt;/dates&gt;&lt;isbn&gt;1607-7938&lt;/isbn&gt;&lt;urls&gt;&lt;/urls&gt;&lt;electronic-resource-num&gt;10.5194/hess-28-4349-2024&lt;/electronic-resource-num&gt;&lt;/record&gt;&lt;/Cite&gt;&lt;/EndNote&gt;</w:instrText>
      </w:r>
      <w:r w:rsidRPr="007C0C3E">
        <w:rPr>
          <w:rFonts w:eastAsia="DengXian" w:cs="Times New Roman"/>
          <w:color w:val="000000" w:themeColor="text1"/>
        </w:rPr>
        <w:fldChar w:fldCharType="separate"/>
      </w:r>
      <w:r w:rsidRPr="007C0C3E">
        <w:rPr>
          <w:rFonts w:eastAsia="DengXian" w:cs="Times New Roman"/>
          <w:noProof/>
          <w:color w:val="000000" w:themeColor="text1"/>
          <w:vertAlign w:val="superscript"/>
        </w:rPr>
        <w:t>21,22</w:t>
      </w:r>
      <w:r w:rsidRPr="007C0C3E">
        <w:rPr>
          <w:rFonts w:eastAsia="DengXian" w:cs="Times New Roman"/>
          <w:color w:val="000000" w:themeColor="text1"/>
        </w:rPr>
        <w:fldChar w:fldCharType="end"/>
      </w:r>
      <w:r w:rsidRPr="007C0C3E">
        <w:rPr>
          <w:rFonts w:eastAsia="DengXian" w:cs="Times New Roman"/>
          <w:color w:val="000000" w:themeColor="text1"/>
        </w:rPr>
        <w:t xml:space="preserve">. Topography, soil depth, and available water content data were obtained from the Australian Soil and Landscape Grid </w:t>
      </w:r>
      <w:r w:rsidRPr="007C0C3E">
        <w:rPr>
          <w:rFonts w:eastAsia="DengXian" w:cs="Times New Roman"/>
          <w:color w:val="000000" w:themeColor="text1"/>
        </w:rPr>
        <w:fldChar w:fldCharType="begin"/>
      </w:r>
      <w:r>
        <w:rPr>
          <w:rFonts w:eastAsia="DengXian" w:cs="Times New Roman"/>
          <w:color w:val="000000" w:themeColor="text1"/>
        </w:rPr>
        <w:instrText xml:space="preserve"> ADDIN EN.CITE &lt;EndNote&gt;&lt;Cite&gt;&lt;Author&gt;TERN&lt;/Author&gt;&lt;Year&gt;2024&lt;/Year&gt;&lt;RecNum&gt;215&lt;/RecNum&gt;&lt;DisplayText&gt;&lt;style face="superscript"&gt;23&lt;/style&gt;&lt;/DisplayText&gt;&lt;record&gt;&lt;rec-number&gt;215&lt;/rec-number&gt;&lt;foreign-keys&gt;&lt;key app="EN" db-id="st0zxxax1wfadte9s5gpaptza9tfvrzsvaxs" timestamp="1731579271" guid="46bc4537-75ff-4d53-a3f9-195d620fdef5"&gt;215&lt;/key&gt;&lt;/foreign-keys&gt;&lt;ref-type name="Web Page"&gt;12&lt;/ref-type&gt;&lt;contributors&gt;&lt;authors&gt;&lt;author&gt;TERN&lt;/author&gt;&lt;/authors&gt;&lt;/contributors&gt;&lt;titles&gt;&lt;title&gt;Soil and Landscape Grid of Australia&lt;/title&gt;&lt;/titles&gt;&lt;dates&gt;&lt;year&gt;2024&lt;/year&gt;&lt;/dates&gt;&lt;urls&gt;&lt;related-urls&gt;&lt;url&gt;https://esoil.io/TERNLandscapes/Public/Pages/SLGA/index.html&lt;/url&gt;&lt;/related-urls&gt;&lt;/urls&gt;&lt;/record&gt;&lt;/Cite&gt;&lt;/EndNote&gt;</w:instrText>
      </w:r>
      <w:r w:rsidRPr="007C0C3E">
        <w:rPr>
          <w:rFonts w:eastAsia="DengXian" w:cs="Times New Roman"/>
          <w:color w:val="000000" w:themeColor="text1"/>
        </w:rPr>
        <w:fldChar w:fldCharType="separate"/>
      </w:r>
      <w:r w:rsidRPr="007C0C3E">
        <w:rPr>
          <w:rFonts w:eastAsia="DengXian" w:cs="Times New Roman"/>
          <w:noProof/>
          <w:color w:val="000000" w:themeColor="text1"/>
          <w:vertAlign w:val="superscript"/>
        </w:rPr>
        <w:t>23</w:t>
      </w:r>
      <w:r w:rsidRPr="007C0C3E">
        <w:rPr>
          <w:rFonts w:eastAsia="DengXian" w:cs="Times New Roman"/>
          <w:color w:val="000000" w:themeColor="text1"/>
        </w:rPr>
        <w:fldChar w:fldCharType="end"/>
      </w:r>
      <w:r w:rsidRPr="007C0C3E">
        <w:rPr>
          <w:rFonts w:eastAsia="DengXian" w:cs="Times New Roman"/>
          <w:color w:val="000000" w:themeColor="text1"/>
        </w:rPr>
        <w:t xml:space="preserve">. Using these inputs, the Budyko equation determines the ratio of actual evapotranspiration to precipitation, which is then used to calculate water yield </w:t>
      </w:r>
      <w:r w:rsidRPr="007C0C3E">
        <w:rPr>
          <w:rFonts w:eastAsia="DengXian" w:cs="Times New Roman"/>
          <w:color w:val="000000" w:themeColor="text1"/>
        </w:rPr>
        <w:fldChar w:fldCharType="begin"/>
      </w:r>
      <w:r>
        <w:rPr>
          <w:rFonts w:eastAsia="DengXian" w:cs="Times New Roman"/>
          <w:color w:val="000000" w:themeColor="text1"/>
        </w:rPr>
        <w:instrText xml:space="preserve"> ADDIN EN.CITE &lt;EndNote&gt;&lt;Cite&gt;&lt;Author&gt;Budyko&lt;/Author&gt;&lt;Year&gt;1974&lt;/Year&gt;&lt;RecNum&gt;403&lt;/RecNum&gt;&lt;DisplayText&gt;&lt;style face="superscript"&gt;16,24&lt;/style&gt;&lt;/DisplayText&gt;&lt;record&gt;&lt;rec-number&gt;403&lt;/rec-number&gt;&lt;foreign-keys&gt;&lt;key app="EN" db-id="st0zxxax1wfadte9s5gpaptza9tfvrzsvaxs" timestamp="1745410844" guid="27c5d0bb-c9b9-48ff-bd07-ef75a8162303"&gt;403&lt;/key&gt;&lt;/foreign-keys&gt;&lt;ref-type name="Book"&gt;6&lt;/ref-type&gt;&lt;contributors&gt;&lt;authors&gt;&lt;author&gt;Budyko, M. I.&lt;/author&gt;&lt;/authors&gt;&lt;/contributors&gt;&lt;titles&gt;&lt;title&gt;Climate and life&lt;/title&gt;&lt;/titles&gt;&lt;dates&gt;&lt;year&gt;1974&lt;/year&gt;&lt;/dates&gt;&lt;pub-location&gt;New York&lt;/pub-location&gt;&lt;publisher&gt;Academic Press&lt;/publisher&gt;&lt;urls&gt;&lt;/urls&gt;&lt;/record&gt;&lt;/Cite&gt;&lt;Cite&gt;&lt;Author&gt;Collignan&lt;/Author&gt;&lt;Year&gt;2023&lt;/Year&gt;&lt;RecNum&gt;255&lt;/RecNum&gt;&lt;record&gt;&lt;rec-number&gt;255&lt;/rec-number&gt;&lt;foreign-keys&gt;&lt;key app="EN" db-id="st0zxxax1wfadte9s5gpaptza9tfvrzsvaxs" timestamp="1738823164" guid="e8671b33-a4a7-4482-83cc-799d18bfc02e"&gt;255&lt;/key&gt;&lt;/foreign-keys&gt;&lt;ref-type name="Journal Article"&gt;17&lt;/ref-type&gt;&lt;contributors&gt;&lt;authors&gt;&lt;author&gt;Collignan, Julie&lt;/autho</w:instrText>
      </w:r>
      <w:r>
        <w:rPr>
          <w:rFonts w:eastAsia="DengXian" w:cs="Times New Roman" w:hint="eastAsia"/>
          <w:color w:val="000000" w:themeColor="text1"/>
        </w:rPr>
        <w:instrText>r&gt;&lt;author&gt;Polcher, Jan&lt;/author&gt;&lt;author&gt;Bastin, Sophie&lt;/author&gt;&lt;author&gt;Quintana</w:instrText>
      </w:r>
      <w:r>
        <w:rPr>
          <w:rFonts w:eastAsia="DengXian" w:cs="Times New Roman" w:hint="eastAsia"/>
          <w:color w:val="000000" w:themeColor="text1"/>
        </w:rPr>
        <w:instrText>‐</w:instrText>
      </w:r>
      <w:r>
        <w:rPr>
          <w:rFonts w:eastAsia="DengXian" w:cs="Times New Roman" w:hint="eastAsia"/>
          <w:color w:val="000000" w:themeColor="text1"/>
        </w:rPr>
        <w:instrText>Segui, Pere&lt;/author&gt;&lt;/authors&gt;&lt;/contributors&gt;&lt;titles&gt;&lt;title&gt;Budyko Framework Based Analysis of the Effect of Climate Change on Watershed Evaporation Efficiency and Its Impact o</w:instrText>
      </w:r>
      <w:r>
        <w:rPr>
          <w:rFonts w:eastAsia="DengXian" w:cs="Times New Roman"/>
          <w:color w:val="000000" w:themeColor="text1"/>
        </w:rPr>
        <w:instrText>n Discharge Over Europe&lt;/title&gt;&lt;secondary-title&gt;Water Resources Research&lt;/secondary-title&gt;&lt;/titles&gt;&lt;periodical&gt;&lt;full-title&gt;Water Resources Research&lt;/full-title&gt;&lt;/periodical&gt;&lt;volume&gt;59&lt;/volume&gt;&lt;number&gt;10&lt;/number&gt;&lt;dates&gt;&lt;year&gt;2023&lt;/year&gt;&lt;/dates&gt;&lt;isbn&gt;0043-1397&amp;#xD;1944-7973&lt;/isbn&gt;&lt;urls&gt;&lt;/urls&gt;&lt;electronic-resource-num&gt;10.1029/2023wr034509&lt;/electronic-resource-num&gt;&lt;/record&gt;&lt;/Cite&gt;&lt;/EndNote&gt;</w:instrText>
      </w:r>
      <w:r w:rsidRPr="007C0C3E">
        <w:rPr>
          <w:rFonts w:eastAsia="DengXian" w:cs="Times New Roman"/>
          <w:color w:val="000000" w:themeColor="text1"/>
        </w:rPr>
        <w:fldChar w:fldCharType="separate"/>
      </w:r>
      <w:r w:rsidRPr="007C0C3E">
        <w:rPr>
          <w:rFonts w:eastAsia="DengXian" w:cs="Times New Roman"/>
          <w:noProof/>
          <w:color w:val="000000" w:themeColor="text1"/>
          <w:vertAlign w:val="superscript"/>
        </w:rPr>
        <w:t>16,24</w:t>
      </w:r>
      <w:r w:rsidRPr="007C0C3E">
        <w:rPr>
          <w:rFonts w:eastAsia="DengXian" w:cs="Times New Roman"/>
          <w:color w:val="000000" w:themeColor="text1"/>
        </w:rPr>
        <w:fldChar w:fldCharType="end"/>
      </w:r>
      <w:r w:rsidRPr="007C0C3E">
        <w:rPr>
          <w:rFonts w:eastAsia="DengXian" w:cs="Times New Roman"/>
          <w:color w:val="000000" w:themeColor="text1"/>
        </w:rPr>
        <w:t>. The results provide water yield estimates for each land-use type, with ensemble averages computed across multiple GCMs.</w:t>
      </w:r>
      <w:r w:rsidRPr="007C0C3E">
        <w:rPr>
          <w:rFonts w:cs="Times New Roman"/>
          <w:color w:val="000000" w:themeColor="text1"/>
        </w:rPr>
        <w:t xml:space="preserve"> All land uses have a water yield which is calculated based on their rooting depth. </w:t>
      </w:r>
      <w:r w:rsidRPr="007C0C3E">
        <w:rPr>
          <w:rFonts w:eastAsia="DengXian" w:cs="Times New Roman"/>
          <w:color w:val="000000" w:themeColor="text1"/>
        </w:rPr>
        <w:t>Water requirements (ML ha</w:t>
      </w:r>
      <w:r w:rsidRPr="007C0C3E">
        <w:rPr>
          <w:rFonts w:eastAsia="DengXian" w:cs="Times New Roman"/>
          <w:color w:val="000000" w:themeColor="text1"/>
          <w:vertAlign w:val="superscript"/>
        </w:rPr>
        <w:t>-1</w:t>
      </w:r>
      <w:r w:rsidRPr="007C0C3E">
        <w:rPr>
          <w:rFonts w:eastAsia="DengXian" w:cs="Times New Roman"/>
          <w:color w:val="000000" w:themeColor="text1"/>
        </w:rPr>
        <w:t xml:space="preserve">) are spatially defined as the typical irrigation water application of irrigated agricultural commodities </w:t>
      </w:r>
      <w:r w:rsidRPr="007C0C3E">
        <w:rPr>
          <w:rFonts w:eastAsia="DengXian" w:cs="Times New Roman"/>
          <w:color w:val="000000" w:themeColor="text1"/>
        </w:rPr>
        <w:fldChar w:fldCharType="begin"/>
      </w:r>
      <w:r>
        <w:rPr>
          <w:rFonts w:eastAsia="DengXian" w:cs="Times New Roman"/>
          <w:color w:val="000000" w:themeColor="text1"/>
        </w:rPr>
        <w:instrText xml:space="preserve"> ADDIN EN.CITE &lt;EndNote&gt;&lt;Cite&gt;&lt;Author&gt;ABS&lt;/Author&gt;&lt;Year&gt;2010&lt;/Year&gt;&lt;RecNum&gt;222&lt;/RecNum&gt;&lt;DisplayText&gt;&lt;style face="superscript"&gt;1,25&lt;/style&gt;&lt;/DisplayText&gt;&lt;record&gt;&lt;rec-number&gt;222&lt;/rec-number&gt;&lt;foreign-keys&gt;&lt;key app="EN" db-id="st0zxxax1wfadte9s5gpaptza9tfvrzsvaxs" timestamp="1737515707" guid="12dc501c-cef4-4091-b7c0-93446e5fdb28"&gt;222&lt;/key&gt;&lt;/foreign-keys&gt;&lt;ref-type name="Web Page"&gt;12&lt;/ref-type&gt;&lt;contributors&gt;&lt;authors&gt;&lt;author&gt;ABS&lt;/author&gt;&lt;/authors&gt;&lt;/contributors&gt;&lt;titles&gt;&lt;title&gt;Water Use on Australian Farms, 2009-10&lt;/title&gt;&lt;/titles&gt;&lt;keywords&gt;&lt;keyword&gt;Agriculture&lt;/keyword&gt;&lt;keyword&gt;Water use&lt;/keyword&gt;&lt;keyword&gt;Irrigation&lt;/keyword&gt;&lt;keyword&gt;Australia&lt;/keyword&gt;&lt;/keywords&gt;&lt;dates&gt;&lt;year&gt;2010&lt;/year&gt;&lt;/dates&gt;&lt;publisher&gt;Australian Bureau of Statistics&lt;/publisher&gt;&lt;urls&gt;&lt;related-urls&gt;&lt;url&gt;https://www.abs.gov.au/AUSSTATS/abs@.nsf/Lookup/4618.0Main+Features12009-10?OpenDocument&lt;/url&gt;&lt;/related-urls&gt;&lt;/urls&gt;&lt;/record&gt;&lt;/Cite&gt;&lt;Cite&gt;&lt;Author&gt;Navarro&lt;/Author&gt;&lt;Year&gt;2021&lt;/Year&gt;&lt;RecNum&gt;216&lt;/RecNum&gt;&lt;record&gt;&lt;rec-number&gt;216&lt;/rec-number&gt;&lt;foreign-keys&gt;&lt;key app="EN" db-id="st0zxxax1wfadte9s5gpaptza9tfvrzsvaxs" timestamp="1737512257" guid="ab7b90fd-7b66-4506-8db4-03847cae284a"&gt;216&lt;/key&gt;&lt;/foreign-keys&gt;&lt;ref-type name="Journal Article"&gt;17&lt;/ref-type&gt;&lt;contributors&gt;&lt;authors&gt;&lt;author&gt;Navarro, J&lt;/author&gt;&lt;author&gt;Marcos Martinez, R&lt;/author&gt;&lt;/authors&gt;&lt;/contributors&gt;&lt;titles&gt;&lt;title&gt;Estimating long-term profits, fertilizer and pesticide use baselines in Australian agricultural regions, User Guide&lt;/title&gt;&lt;secondary-title&gt;CSIRO&lt;/secondary-title&gt;&lt;/titles&gt;&lt;periodical&gt;&lt;full-title&gt;CSIRO&lt;/full-title&gt;&lt;/periodical&gt;&lt;dates&gt;&lt;year&gt;2021&lt;/year&gt;&lt;/dates&gt;&lt;urls&gt;&lt;/urls&gt;&lt;/record&gt;&lt;/Cite&gt;&lt;/EndNote&gt;</w:instrText>
      </w:r>
      <w:r w:rsidRPr="007C0C3E">
        <w:rPr>
          <w:rFonts w:eastAsia="DengXian" w:cs="Times New Roman"/>
          <w:color w:val="000000" w:themeColor="text1"/>
        </w:rPr>
        <w:fldChar w:fldCharType="separate"/>
      </w:r>
      <w:r w:rsidRPr="007C0C3E">
        <w:rPr>
          <w:rFonts w:eastAsia="DengXian" w:cs="Times New Roman"/>
          <w:noProof/>
          <w:color w:val="000000" w:themeColor="text1"/>
          <w:vertAlign w:val="superscript"/>
        </w:rPr>
        <w:t>1,25</w:t>
      </w:r>
      <w:r w:rsidRPr="007C0C3E">
        <w:rPr>
          <w:rFonts w:eastAsia="DengXian" w:cs="Times New Roman"/>
          <w:color w:val="000000" w:themeColor="text1"/>
        </w:rPr>
        <w:fldChar w:fldCharType="end"/>
      </w:r>
      <w:r w:rsidRPr="007C0C3E">
        <w:rPr>
          <w:rFonts w:eastAsia="DengXian" w:cs="Times New Roman"/>
          <w:color w:val="000000" w:themeColor="text1"/>
        </w:rPr>
        <w:t>.</w:t>
      </w:r>
      <w:r w:rsidRPr="007C0C3E">
        <w:rPr>
          <w:rFonts w:cs="Times New Roman"/>
          <w:color w:val="000000" w:themeColor="text1"/>
        </w:rPr>
        <w:t xml:space="preserve"> </w:t>
      </w:r>
      <w:r w:rsidRPr="007C0C3E">
        <w:rPr>
          <w:rFonts w:eastAsia="DengXian" w:cs="Times New Roman"/>
          <w:color w:val="000000" w:themeColor="text1"/>
        </w:rPr>
        <w:t>Agricultural land uses have a water requirement for irrigation.</w:t>
      </w:r>
      <w:r w:rsidRPr="007C0C3E">
        <w:rPr>
          <w:rFonts w:cs="Times New Roman"/>
          <w:color w:val="000000" w:themeColor="text1"/>
        </w:rPr>
        <w:t xml:space="preserve"> </w:t>
      </w:r>
      <w:r w:rsidRPr="007C0C3E">
        <w:rPr>
          <w:rFonts w:eastAsia="DengXian" w:cs="Times New Roman"/>
          <w:color w:val="000000" w:themeColor="text1"/>
        </w:rPr>
        <w:t xml:space="preserve">For non-agricultural land-uses, only water yield is considered. </w:t>
      </w:r>
      <w:r w:rsidRPr="007C0C3E">
        <w:rPr>
          <w:rFonts w:cs="Times New Roman"/>
          <w:color w:val="000000" w:themeColor="text1"/>
        </w:rPr>
        <w:t xml:space="preserve">For agricultural management, the model incorporates an input coefficient representing its influence on the water </w:t>
      </w:r>
      <w:r w:rsidRPr="007C0C3E">
        <w:rPr>
          <w:rFonts w:eastAsia="DengXian" w:cs="Times New Roman"/>
          <w:color w:val="000000" w:themeColor="text1"/>
        </w:rPr>
        <w:t>requirements</w:t>
      </w:r>
      <w:r w:rsidRPr="007C0C3E">
        <w:rPr>
          <w:rFonts w:cs="Times New Roman"/>
          <w:color w:val="000000" w:themeColor="text1"/>
        </w:rPr>
        <w:t xml:space="preserve"> of the associated agricultural land. The net water yield incorporat</w:t>
      </w:r>
      <w:r w:rsidRPr="007C0C3E">
        <w:rPr>
          <w:rFonts w:eastAsia="DengXian" w:cs="Times New Roman"/>
          <w:color w:val="000000" w:themeColor="text1"/>
        </w:rPr>
        <w:t>es</w:t>
      </w:r>
      <w:r w:rsidRPr="007C0C3E">
        <w:rPr>
          <w:rFonts w:cs="Times New Roman"/>
          <w:color w:val="000000" w:themeColor="text1"/>
        </w:rPr>
        <w:t xml:space="preserve"> water contributions from areas outside the study region, including public and indigenous land, urban areas, plantation forestry, and water bodies. Based on the spatial arrangement of land-use over time, the model calculates water yield by drainage division </w:t>
      </w:r>
      <w:r w:rsidRPr="007C0C3E">
        <w:rPr>
          <w:rFonts w:cs="Times New Roman"/>
          <w:color w:val="000000" w:themeColor="text1"/>
        </w:rPr>
        <w:fldChar w:fldCharType="begin"/>
      </w:r>
      <w:r>
        <w:rPr>
          <w:rFonts w:cs="Times New Roman"/>
          <w:color w:val="000000" w:themeColor="text1"/>
        </w:rPr>
        <w:instrText xml:space="preserve"> ADDIN EN.CITE &lt;EndNote&gt;&lt;Cite&gt;&lt;Author&gt;BM&lt;/Author&gt;&lt;Year&gt;2016&lt;/Year&gt;&lt;RecNum&gt;260&lt;/RecNum&gt;&lt;DisplayText&gt;&lt;style face="superscript"&gt;26&lt;/style&gt;&lt;/DisplayText&gt;&lt;record&gt;&lt;rec-number&gt;260&lt;/rec-number&gt;&lt;foreign-keys&gt;&lt;key app="EN" db-id="st0zxxax1wfadte9s5gpaptza9tfvrzsvaxs" timestamp="1739419414" guid="147793ce-1500-40a5-a221-79b5977be05f"&gt;260&lt;/key&gt;&lt;/foreign-keys&gt;&lt;ref-type name="Report"&gt;27&lt;/ref-type&gt;&lt;contributors&gt;&lt;authors&gt;&lt;author&gt;BM&lt;/author&gt;&lt;/authors&gt;&lt;/contributors&gt;&lt;titles&gt;&lt;title&gt;Australian Hydrological Geospatial Fabric (Geofabric)&lt;/title&gt;&lt;/titles&gt;&lt;dates&gt;&lt;year&gt;2016&lt;/year&gt;&lt;/dates&gt;&lt;pub-location&gt;Australia&lt;/pub-location&gt;&lt;publisher&gt;Bureau of Meteorology&lt;/publisher&gt;&lt;urls&gt;&lt;/urls&gt;&lt;/record&gt;&lt;/Cite&gt;&lt;/EndNote&gt;</w:instrText>
      </w:r>
      <w:r w:rsidRPr="007C0C3E">
        <w:rPr>
          <w:rFonts w:cs="Times New Roman"/>
          <w:color w:val="000000" w:themeColor="text1"/>
        </w:rPr>
        <w:fldChar w:fldCharType="separate"/>
      </w:r>
      <w:r w:rsidRPr="007C0C3E">
        <w:rPr>
          <w:rFonts w:cs="Times New Roman"/>
          <w:noProof/>
          <w:color w:val="000000" w:themeColor="text1"/>
          <w:vertAlign w:val="superscript"/>
        </w:rPr>
        <w:t>26</w:t>
      </w:r>
      <w:r w:rsidRPr="007C0C3E">
        <w:rPr>
          <w:rFonts w:cs="Times New Roman"/>
          <w:color w:val="000000" w:themeColor="text1"/>
        </w:rPr>
        <w:fldChar w:fldCharType="end"/>
      </w:r>
      <w:r w:rsidRPr="007C0C3E">
        <w:rPr>
          <w:rFonts w:cs="Times New Roman"/>
          <w:color w:val="000000" w:themeColor="text1"/>
        </w:rPr>
        <w:t xml:space="preserve">. The net water yield for each catchment </w:t>
      </w:r>
      <w:r w:rsidRPr="007C0C3E">
        <w:rPr>
          <w:rFonts w:ascii="Cambria Math" w:hAnsi="Cambria Math" w:cs="Cambria Math"/>
          <w:color w:val="000000" w:themeColor="text1"/>
        </w:rPr>
        <w:t>𝑏</w:t>
      </w:r>
      <w:r w:rsidRPr="007C0C3E">
        <w:rPr>
          <w:rFonts w:eastAsia="DengXian" w:cs="Times New Roman"/>
          <w:color w:val="000000" w:themeColor="text1"/>
        </w:rPr>
        <w:t xml:space="preserve"> in </w:t>
      </w:r>
      <w:r w:rsidRPr="007C0C3E">
        <w:rPr>
          <w:rFonts w:eastAsia="DengXian" w:cs="Times New Roman"/>
          <w:color w:val="000000" w:themeColor="text1"/>
        </w:rPr>
        <w:lastRenderedPageBreak/>
        <w:t xml:space="preserve">year </w:t>
      </w:r>
      <w:r w:rsidRPr="007C0C3E">
        <w:rPr>
          <w:rFonts w:eastAsia="DengXian" w:cs="Times New Roman"/>
          <w:i/>
          <w:iCs/>
          <w:color w:val="000000" w:themeColor="text1"/>
        </w:rPr>
        <w:t>y</w:t>
      </w:r>
      <w:r w:rsidRPr="007C0C3E">
        <w:rPr>
          <w:rFonts w:cs="Times New Roman"/>
          <w:color w:val="000000" w:themeColor="text1"/>
        </w:rPr>
        <w:t xml:space="preserve"> is calculated</w:t>
      </w:r>
      <w:r w:rsidRPr="007C0C3E">
        <w:rPr>
          <w:rFonts w:eastAsia="DengXian" w:cs="Times New Roman"/>
          <w:color w:val="000000" w:themeColor="text1"/>
        </w:rPr>
        <w:t xml:space="preserve"> as</w:t>
      </w:r>
      <w:r w:rsidR="00FF2621" w:rsidRPr="007C0C3E">
        <w:rPr>
          <w:rFonts w:eastAsia="DengXian"/>
          <w:color w:val="000000" w:themeColor="text1"/>
        </w:rPr>
        <w:t>:</w:t>
      </w:r>
    </w:p>
    <w:tbl>
      <w:tblPr>
        <w:tblStyle w:val="TableGrid1"/>
        <w:tblW w:w="8370" w:type="dxa"/>
        <w:tblLayout w:type="fixed"/>
        <w:tblLook w:val="04A0" w:firstRow="1" w:lastRow="0" w:firstColumn="1" w:lastColumn="0" w:noHBand="0" w:noVBand="1"/>
      </w:tblPr>
      <w:tblGrid>
        <w:gridCol w:w="7660"/>
        <w:gridCol w:w="710"/>
      </w:tblGrid>
      <w:tr w:rsidR="00172691" w14:paraId="7E9145F8" w14:textId="77777777" w:rsidTr="005B5BFB">
        <w:trPr>
          <w:cantSplit/>
          <w:trHeight w:val="300"/>
        </w:trPr>
        <w:tc>
          <w:tcPr>
            <w:tcW w:w="7660" w:type="dxa"/>
            <w:tcBorders>
              <w:top w:val="nil"/>
              <w:left w:val="nil"/>
              <w:bottom w:val="nil"/>
              <w:right w:val="nil"/>
            </w:tcBorders>
          </w:tcPr>
          <w:p w14:paraId="4628F431" w14:textId="77777777" w:rsidR="00172691" w:rsidRDefault="0066677A" w:rsidP="005B5BFB">
            <w:pPr>
              <w:spacing w:after="163"/>
              <w:ind w:firstLineChars="0" w:firstLine="0"/>
              <w:jc w:val="center"/>
              <w:rPr>
                <w:rFonts w:eastAsia="DengXian"/>
                <w:color w:val="000000" w:themeColor="text1"/>
                <w:szCs w:val="21"/>
              </w:rPr>
            </w:pPr>
            <m:oMathPara>
              <m:oMathParaPr>
                <m:jc m:val="center"/>
              </m:oMathParaPr>
              <m:oMath>
                <m:eqArr>
                  <m:eqArrPr>
                    <m:ctrlPr>
                      <w:rPr>
                        <w:rFonts w:ascii="Cambria Math" w:hAnsi="Cambria Math"/>
                      </w:rPr>
                    </m:ctrlPr>
                  </m:eqArrPr>
                  <m:e>
                    <m:sSub>
                      <m:sSubPr>
                        <m:ctrlPr>
                          <w:rPr>
                            <w:rFonts w:ascii="Cambria Math" w:hAnsi="Cambria Math"/>
                          </w:rPr>
                        </m:ctrlPr>
                      </m:sSubPr>
                      <m:e>
                        <m:r>
                          <w:rPr>
                            <w:rFonts w:ascii="Cambria Math" w:hAnsi="Cambria Math"/>
                          </w:rPr>
                          <m:t>WN</m:t>
                        </m:r>
                      </m:e>
                      <m:sub>
                        <m:r>
                          <w:rPr>
                            <w:rFonts w:ascii="Cambria Math" w:hAnsi="Cambria Math"/>
                          </w:rPr>
                          <m:t>bt</m:t>
                        </m:r>
                      </m:sub>
                    </m:sSub>
                    <m:r>
                      <w:rPr>
                        <w:rFonts w:ascii="Cambria Math" w:hAnsi="Cambria Math"/>
                      </w:rPr>
                      <m:t>=</m:t>
                    </m:r>
                    <m:nary>
                      <m:naryPr>
                        <m:chr m:val="∑"/>
                        <m:supHide m:val="1"/>
                        <m:ctrlPr>
                          <w:rPr>
                            <w:rFonts w:ascii="Cambria Math" w:hAnsi="Cambria Math"/>
                          </w:rPr>
                        </m:ctrlPr>
                      </m:naryPr>
                      <m:sub>
                        <m:r>
                          <w:rPr>
                            <w:rFonts w:ascii="Cambria Math" w:hAnsi="Cambria Math"/>
                          </w:rPr>
                          <m:t>r</m:t>
                        </m:r>
                        <m:r>
                          <w:rPr>
                            <w:rFonts w:ascii="Cambria Math" w:hAnsi="Cambria Math"/>
                          </w:rPr>
                          <m:t>∈</m:t>
                        </m:r>
                        <m:r>
                          <w:rPr>
                            <w:rFonts w:ascii="Cambria Math" w:hAnsi="Cambria Math"/>
                          </w:rPr>
                          <m:t>b</m:t>
                        </m:r>
                        <m:r>
                          <w:rPr>
                            <w:rFonts w:ascii="Cambria Math" w:hAnsi="Cambria Math"/>
                          </w:rPr>
                          <m:t>,</m:t>
                        </m:r>
                        <m:r>
                          <w:rPr>
                            <w:rFonts w:ascii="Cambria Math" w:hAnsi="Cambria Math"/>
                          </w:rPr>
                          <m:t>j</m:t>
                        </m:r>
                      </m:sub>
                      <m:sup/>
                      <m:e>
                        <m:sSub>
                          <m:sSubPr>
                            <m:ctrlPr>
                              <w:rPr>
                                <w:rFonts w:ascii="Cambria Math" w:hAnsi="Cambria Math"/>
                              </w:rPr>
                            </m:ctrlPr>
                          </m:sSubPr>
                          <m:e>
                            <m:r>
                              <w:rPr>
                                <w:rFonts w:ascii="Cambria Math" w:hAnsi="Cambria Math"/>
                              </w:rPr>
                              <m:t>X</m:t>
                            </m:r>
                          </m:e>
                          <m:sub>
                            <m:r>
                              <w:rPr>
                                <w:rFonts w:ascii="Cambria Math" w:hAnsi="Cambria Math"/>
                              </w:rPr>
                              <m:t>rjt</m:t>
                            </m:r>
                          </m:sub>
                        </m:sSub>
                        <m:sSub>
                          <m:sSubPr>
                            <m:ctrlPr>
                              <w:rPr>
                                <w:rFonts w:ascii="Cambria Math" w:hAnsi="Cambria Math"/>
                              </w:rPr>
                            </m:ctrlPr>
                          </m:sSubPr>
                          <m:e>
                            <m:r>
                              <w:rPr>
                                <w:rFonts w:ascii="Cambria Math" w:hAnsi="Cambria Math"/>
                              </w:rPr>
                              <m:t>A</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WY</m:t>
                            </m:r>
                          </m:e>
                          <m:sub>
                            <m:r>
                              <w:rPr>
                                <w:rFonts w:ascii="Cambria Math" w:hAnsi="Cambria Math"/>
                              </w:rPr>
                              <m:t>rj</m:t>
                            </m:r>
                          </m:sub>
                        </m:sSub>
                        <m:r>
                          <w:rPr>
                            <w:rFonts w:ascii="Cambria Math" w:hAnsi="Cambria Math"/>
                          </w:rPr>
                          <m:t>-</m:t>
                        </m:r>
                        <m:sSub>
                          <m:sSubPr>
                            <m:ctrlPr>
                              <w:rPr>
                                <w:rFonts w:ascii="Cambria Math" w:hAnsi="Cambria Math"/>
                              </w:rPr>
                            </m:ctrlPr>
                          </m:sSubPr>
                          <m:e>
                            <m:r>
                              <w:rPr>
                                <w:rFonts w:ascii="Cambria Math" w:hAnsi="Cambria Math"/>
                              </w:rPr>
                              <m:t>WR</m:t>
                            </m:r>
                          </m:e>
                          <m:sub>
                            <m:r>
                              <w:rPr>
                                <w:rFonts w:ascii="Cambria Math" w:hAnsi="Cambria Math"/>
                              </w:rPr>
                              <m:t>rj</m:t>
                            </m:r>
                          </m:sub>
                        </m:sSub>
                        <m:r>
                          <w:rPr>
                            <w:rFonts w:ascii="Cambria Math" w:hAnsi="Cambria Math"/>
                          </w:rPr>
                          <m:t>)</m:t>
                        </m:r>
                      </m:e>
                    </m:nary>
                    <m:r>
                      <w:rPr>
                        <w:rFonts w:ascii="Cambria Math" w:hAnsi="Cambria Math"/>
                      </w:rPr>
                      <m:t>+</m:t>
                    </m:r>
                    <m:nary>
                      <m:naryPr>
                        <m:chr m:val="∑"/>
                        <m:supHide m:val="1"/>
                        <m:ctrlPr>
                          <w:rPr>
                            <w:rFonts w:ascii="Cambria Math" w:hAnsi="Cambria Math"/>
                          </w:rPr>
                        </m:ctrlPr>
                      </m:naryPr>
                      <m:sub>
                        <m:r>
                          <w:rPr>
                            <w:rFonts w:ascii="Cambria Math" w:hAnsi="Cambria Math"/>
                          </w:rPr>
                          <m:t>r</m:t>
                        </m:r>
                        <m:r>
                          <w:rPr>
                            <w:rFonts w:ascii="Cambria Math" w:hAnsi="Cambria Math"/>
                          </w:rPr>
                          <m:t>∈</m:t>
                        </m:r>
                        <m:r>
                          <w:rPr>
                            <w:rFonts w:ascii="Cambria Math" w:hAnsi="Cambria Math"/>
                          </w:rPr>
                          <m:t>b</m:t>
                        </m:r>
                        <m:r>
                          <w:rPr>
                            <w:rFonts w:ascii="Cambria Math" w:hAnsi="Cambria Math"/>
                          </w:rPr>
                          <m:t>,</m:t>
                        </m:r>
                        <m:r>
                          <w:rPr>
                            <w:rFonts w:ascii="Cambria Math" w:hAnsi="Cambria Math"/>
                          </w:rPr>
                          <m:t>k</m:t>
                        </m:r>
                      </m:sub>
                      <m:sup/>
                      <m:e>
                        <m:sSub>
                          <m:sSubPr>
                            <m:ctrlPr>
                              <w:rPr>
                                <w:rFonts w:ascii="Cambria Math" w:hAnsi="Cambria Math"/>
                              </w:rPr>
                            </m:ctrlPr>
                          </m:sSubPr>
                          <m:e>
                            <m:r>
                              <w:rPr>
                                <w:rFonts w:ascii="Cambria Math" w:hAnsi="Cambria Math"/>
                              </w:rPr>
                              <m:t>WY</m:t>
                            </m:r>
                          </m:e>
                          <m:sub>
                            <m:r>
                              <w:rPr>
                                <w:rFonts w:ascii="Cambria Math" w:hAnsi="Cambria Math"/>
                              </w:rPr>
                              <m:t>rk</m:t>
                            </m:r>
                          </m:sub>
                        </m:sSub>
                        <m:sSub>
                          <m:sSubPr>
                            <m:ctrlPr>
                              <w:rPr>
                                <w:rFonts w:ascii="Cambria Math" w:hAnsi="Cambria Math"/>
                              </w:rPr>
                            </m:ctrlPr>
                          </m:sSubPr>
                          <m:e>
                            <m:r>
                              <w:rPr>
                                <w:rFonts w:ascii="Cambria Math" w:hAnsi="Cambria Math"/>
                              </w:rPr>
                              <m:t>X</m:t>
                            </m:r>
                          </m:e>
                          <m:sub>
                            <m:r>
                              <w:rPr>
                                <w:rFonts w:ascii="Cambria Math" w:hAnsi="Cambria Math"/>
                              </w:rPr>
                              <m:t>rkt</m:t>
                            </m:r>
                          </m:sub>
                        </m:sSub>
                        <m:sSub>
                          <m:sSubPr>
                            <m:ctrlPr>
                              <w:rPr>
                                <w:rFonts w:ascii="Cambria Math" w:hAnsi="Cambria Math"/>
                              </w:rPr>
                            </m:ctrlPr>
                          </m:sSubPr>
                          <m:e>
                            <m:r>
                              <w:rPr>
                                <w:rFonts w:ascii="Cambria Math" w:hAnsi="Cambria Math"/>
                              </w:rPr>
                              <m:t>A</m:t>
                            </m:r>
                          </m:e>
                          <m:sub>
                            <m:r>
                              <w:rPr>
                                <w:rFonts w:ascii="Cambria Math" w:hAnsi="Cambria Math"/>
                              </w:rPr>
                              <m:t>r</m:t>
                            </m:r>
                          </m:sub>
                        </m:sSub>
                      </m:e>
                    </m:nary>
                  </m:e>
                  <m:e>
                    <m:r>
                      <w:rPr>
                        <w:rFonts w:ascii="Cambria Math" w:hAnsi="Cambria Math"/>
                      </w:rPr>
                      <m:t>+</m:t>
                    </m:r>
                    <m:nary>
                      <m:naryPr>
                        <m:chr m:val="∑"/>
                        <m:supHide m:val="1"/>
                        <m:ctrlPr>
                          <w:rPr>
                            <w:rFonts w:ascii="Cambria Math" w:hAnsi="Cambria Math"/>
                          </w:rPr>
                        </m:ctrlPr>
                      </m:naryPr>
                      <m:sub>
                        <m:r>
                          <w:rPr>
                            <w:rFonts w:ascii="Cambria Math" w:hAnsi="Cambria Math"/>
                          </w:rPr>
                          <m:t>r</m:t>
                        </m:r>
                        <m:r>
                          <w:rPr>
                            <w:rFonts w:ascii="Cambria Math" w:hAnsi="Cambria Math"/>
                          </w:rPr>
                          <m:t>∈</m:t>
                        </m:r>
                        <m:r>
                          <w:rPr>
                            <w:rFonts w:ascii="Cambria Math" w:hAnsi="Cambria Math"/>
                          </w:rPr>
                          <m:t>b</m:t>
                        </m:r>
                        <m:r>
                          <w:rPr>
                            <w:rFonts w:ascii="Cambria Math" w:hAnsi="Cambria Math"/>
                          </w:rPr>
                          <m:t>,</m:t>
                        </m:r>
                        <m:r>
                          <w:rPr>
                            <w:rFonts w:ascii="Cambria Math" w:hAnsi="Cambria Math"/>
                          </w:rPr>
                          <m:t>j</m:t>
                        </m:r>
                        <m:r>
                          <w:rPr>
                            <w:rFonts w:ascii="Cambria Math" w:hAnsi="Cambria Math"/>
                          </w:rPr>
                          <m:t>,</m:t>
                        </m:r>
                        <m:r>
                          <w:rPr>
                            <w:rFonts w:ascii="Cambria Math" w:hAnsi="Cambria Math"/>
                          </w:rPr>
                          <m:t>m</m:t>
                        </m:r>
                      </m:sub>
                      <m:sup/>
                      <m:e>
                        <m:sSub>
                          <m:sSubPr>
                            <m:ctrlPr>
                              <w:rPr>
                                <w:rFonts w:ascii="Cambria Math" w:hAnsi="Cambria Math"/>
                              </w:rPr>
                            </m:ctrlPr>
                          </m:sSubPr>
                          <m:e>
                            <m:r>
                              <w:rPr>
                                <w:rFonts w:ascii="Cambria Math" w:hAnsi="Cambria Math"/>
                              </w:rPr>
                              <m:t>X</m:t>
                            </m:r>
                          </m:e>
                          <m:sub>
                            <m:r>
                              <w:rPr>
                                <w:rFonts w:ascii="Cambria Math" w:hAnsi="Cambria Math"/>
                              </w:rPr>
                              <m:t>rjt</m:t>
                            </m:r>
                          </m:sub>
                        </m:sSub>
                        <m:sSub>
                          <m:sSubPr>
                            <m:ctrlPr>
                              <w:rPr>
                                <w:rFonts w:ascii="Cambria Math" w:hAnsi="Cambria Math"/>
                              </w:rPr>
                            </m:ctrlPr>
                          </m:sSubPr>
                          <m:e>
                            <m:r>
                              <w:rPr>
                                <w:rFonts w:ascii="Cambria Math" w:hAnsi="Cambria Math"/>
                              </w:rPr>
                              <m:t>WR</m:t>
                            </m:r>
                          </m:e>
                          <m:sub>
                            <m:r>
                              <w:rPr>
                                <w:rFonts w:ascii="Cambria Math" w:hAnsi="Cambria Math"/>
                              </w:rPr>
                              <m:t>rj</m:t>
                            </m:r>
                          </m:sub>
                        </m:sSub>
                        <m:sSub>
                          <m:sSubPr>
                            <m:ctrlPr>
                              <w:rPr>
                                <w:rFonts w:ascii="Cambria Math" w:hAnsi="Cambria Math"/>
                              </w:rPr>
                            </m:ctrlPr>
                          </m:sSubPr>
                          <m:e>
                            <m:r>
                              <w:rPr>
                                <w:rFonts w:ascii="Cambria Math" w:hAnsi="Cambria Math"/>
                              </w:rPr>
                              <m:t>MW</m:t>
                            </m:r>
                          </m:e>
                          <m:sub>
                            <m:r>
                              <w:rPr>
                                <w:rFonts w:ascii="Cambria Math" w:hAnsi="Cambria Math"/>
                              </w:rPr>
                              <m:t>jm</m:t>
                            </m:r>
                          </m:sub>
                        </m:sSub>
                        <m:sSub>
                          <m:sSubPr>
                            <m:ctrlPr>
                              <w:rPr>
                                <w:rFonts w:ascii="Cambria Math" w:hAnsi="Cambria Math"/>
                              </w:rPr>
                            </m:ctrlPr>
                          </m:sSubPr>
                          <m:e>
                            <m:r>
                              <w:rPr>
                                <w:rFonts w:ascii="Cambria Math" w:hAnsi="Cambria Math"/>
                              </w:rPr>
                              <m:t>A</m:t>
                            </m:r>
                          </m:e>
                          <m:sub>
                            <m:r>
                              <w:rPr>
                                <w:rFonts w:ascii="Cambria Math" w:hAnsi="Cambria Math"/>
                              </w:rPr>
                              <m:t>r</m:t>
                            </m:r>
                          </m:sub>
                        </m:sSub>
                      </m:e>
                    </m:nary>
                    <m:r>
                      <w:rPr>
                        <w:rFonts w:ascii="Cambria Math" w:hAnsi="Cambria Math"/>
                      </w:rPr>
                      <m:t>+</m:t>
                    </m:r>
                    <m:sSub>
                      <m:sSubPr>
                        <m:ctrlPr>
                          <w:rPr>
                            <w:rFonts w:ascii="Cambria Math" w:hAnsi="Cambria Math"/>
                          </w:rPr>
                        </m:ctrlPr>
                      </m:sSubPr>
                      <m:e>
                        <m:r>
                          <w:rPr>
                            <w:rFonts w:ascii="Cambria Math" w:hAnsi="Cambria Math"/>
                          </w:rPr>
                          <m:t>WP</m:t>
                        </m:r>
                      </m:e>
                      <m:sub>
                        <m:r>
                          <w:rPr>
                            <w:rFonts w:ascii="Cambria Math" w:hAnsi="Cambria Math"/>
                          </w:rPr>
                          <m:t>b</m:t>
                        </m:r>
                      </m:sub>
                    </m:sSub>
                  </m:e>
                </m:eqArr>
              </m:oMath>
            </m:oMathPara>
          </w:p>
        </w:tc>
        <w:tc>
          <w:tcPr>
            <w:tcW w:w="710" w:type="dxa"/>
            <w:tcBorders>
              <w:top w:val="nil"/>
              <w:left w:val="nil"/>
              <w:bottom w:val="nil"/>
              <w:right w:val="nil"/>
            </w:tcBorders>
            <w:vAlign w:val="center"/>
          </w:tcPr>
          <w:p w14:paraId="16776CAF" w14:textId="77777777" w:rsidR="00172691" w:rsidRPr="000F1CD9" w:rsidRDefault="00172691" w:rsidP="005B5BFB">
            <w:pPr>
              <w:spacing w:before="156" w:after="163"/>
              <w:ind w:firstLineChars="0" w:firstLine="0"/>
              <w:jc w:val="right"/>
              <w:rPr>
                <w:rFonts w:ascii="Arial" w:eastAsia="DengXian" w:hAnsi="Arial" w:cs="Arial"/>
                <w:color w:val="000000" w:themeColor="text1"/>
                <w:szCs w:val="21"/>
              </w:rPr>
            </w:pPr>
            <w:r w:rsidRPr="000F1CD9">
              <w:rPr>
                <w:rFonts w:ascii="Arial" w:eastAsia="宋体" w:hAnsi="Arial" w:cs="Arial"/>
                <w:szCs w:val="21"/>
              </w:rPr>
              <w:t>(</w:t>
            </w:r>
            <w:r w:rsidRPr="000F1CD9">
              <w:rPr>
                <w:rFonts w:ascii="Arial" w:hAnsi="Arial" w:cs="Arial"/>
              </w:rPr>
              <w:fldChar w:fldCharType="begin"/>
            </w:r>
            <w:r w:rsidRPr="000F1CD9">
              <w:rPr>
                <w:rFonts w:ascii="Arial" w:eastAsia="宋体" w:hAnsi="Arial" w:cs="Arial"/>
                <w:szCs w:val="21"/>
              </w:rPr>
              <w:instrText>LISTNUM  NumberDefault \l 0</w:instrText>
            </w:r>
            <w:r w:rsidRPr="000F1CD9">
              <w:rPr>
                <w:rFonts w:ascii="Arial" w:eastAsia="宋体" w:hAnsi="Arial" w:cs="Arial"/>
                <w:szCs w:val="21"/>
              </w:rPr>
              <w:fldChar w:fldCharType="separate"/>
            </w:r>
            <w:r w:rsidRPr="000F1CD9">
              <w:rPr>
                <w:rFonts w:ascii="Arial" w:eastAsia="宋体" w:hAnsi="Arial" w:cs="Arial"/>
                <w:szCs w:val="21"/>
              </w:rPr>
              <w:fldChar w:fldCharType="end"/>
            </w:r>
          </w:p>
        </w:tc>
      </w:tr>
    </w:tbl>
    <w:p w14:paraId="2636377A" w14:textId="77777777" w:rsidR="002D7335" w:rsidRDefault="00FF2621" w:rsidP="000F1CD9">
      <w:pPr>
        <w:ind w:firstLineChars="0" w:firstLine="0"/>
        <w:rPr>
          <w:rFonts w:eastAsia="DengXian"/>
        </w:rPr>
      </w:pPr>
      <w:r>
        <w:rPr>
          <w:rFonts w:eastAsia="DengXian"/>
          <w:color w:val="000000" w:themeColor="text1"/>
        </w:rPr>
        <w:t xml:space="preserve">where </w:t>
      </w:r>
      <w:r>
        <w:rPr>
          <w:rFonts w:eastAsia="DengXian"/>
          <w:i/>
          <w:iCs/>
          <w:color w:val="000000" w:themeColor="text1"/>
        </w:rPr>
        <w:t>WN</w:t>
      </w:r>
      <w:r>
        <w:rPr>
          <w:rFonts w:eastAsia="DengXian"/>
          <w:i/>
          <w:iCs/>
          <w:color w:val="000000" w:themeColor="text1"/>
          <w:vertAlign w:val="subscript"/>
        </w:rPr>
        <w:t>bt</w:t>
      </w:r>
      <w:r>
        <w:rPr>
          <w:rFonts w:eastAsia="DengXian"/>
          <w:color w:val="000000" w:themeColor="text1"/>
        </w:rPr>
        <w:t xml:space="preserve"> represents the total net water yield in catchment </w:t>
      </w:r>
      <w:r>
        <w:rPr>
          <w:rFonts w:eastAsia="DengXian"/>
          <w:i/>
          <w:iCs/>
          <w:color w:val="000000" w:themeColor="text1"/>
        </w:rPr>
        <w:t>b</w:t>
      </w:r>
      <w:r>
        <w:rPr>
          <w:rFonts w:eastAsia="DengXian"/>
          <w:color w:val="000000" w:themeColor="text1"/>
        </w:rPr>
        <w:t xml:space="preserve"> in year </w:t>
      </w:r>
      <w:r>
        <w:rPr>
          <w:rFonts w:eastAsia="DengXian"/>
          <w:i/>
          <w:iCs/>
          <w:color w:val="000000" w:themeColor="text1"/>
        </w:rPr>
        <w:t>t</w:t>
      </w:r>
      <w:r>
        <w:rPr>
          <w:rFonts w:eastAsia="DengXian"/>
          <w:color w:val="000000" w:themeColor="text1"/>
        </w:rPr>
        <w:t xml:space="preserve">, </w:t>
      </w:r>
      <w:r>
        <w:rPr>
          <w:rFonts w:eastAsia="DengXian"/>
          <w:i/>
          <w:iCs/>
          <w:color w:val="000000" w:themeColor="text1"/>
        </w:rPr>
        <w:t>WY</w:t>
      </w:r>
      <w:r>
        <w:rPr>
          <w:rFonts w:eastAsia="DengXian"/>
          <w:i/>
          <w:iCs/>
          <w:color w:val="000000" w:themeColor="text1"/>
          <w:vertAlign w:val="subscript"/>
        </w:rPr>
        <w:t>rj</w:t>
      </w:r>
      <w:r>
        <w:rPr>
          <w:rFonts w:eastAsia="DengXian"/>
          <w:color w:val="000000" w:themeColor="text1"/>
        </w:rPr>
        <w:t xml:space="preserve"> represents the water yield of grid cell </w:t>
      </w:r>
      <w:r>
        <w:rPr>
          <w:rFonts w:eastAsia="DengXian"/>
          <w:i/>
          <w:iCs/>
          <w:color w:val="000000" w:themeColor="text1"/>
        </w:rPr>
        <w:t>r</w:t>
      </w:r>
      <w:r>
        <w:rPr>
          <w:rFonts w:eastAsia="DengXian"/>
          <w:color w:val="000000" w:themeColor="text1"/>
        </w:rPr>
        <w:t xml:space="preserve"> for agricultural land-use </w:t>
      </w:r>
      <w:r>
        <w:rPr>
          <w:rFonts w:eastAsia="DengXian"/>
          <w:i/>
          <w:iCs/>
          <w:color w:val="000000" w:themeColor="text1"/>
        </w:rPr>
        <w:t>j</w:t>
      </w:r>
      <w:r>
        <w:rPr>
          <w:rFonts w:eastAsia="DengXian"/>
          <w:color w:val="000000" w:themeColor="text1"/>
        </w:rPr>
        <w:t xml:space="preserve">, </w:t>
      </w:r>
      <w:r>
        <w:rPr>
          <w:rFonts w:eastAsia="DengXian"/>
          <w:i/>
          <w:iCs/>
          <w:color w:val="000000" w:themeColor="text1"/>
        </w:rPr>
        <w:t>WR</w:t>
      </w:r>
      <w:r>
        <w:rPr>
          <w:rFonts w:eastAsia="DengXian"/>
          <w:i/>
          <w:iCs/>
          <w:color w:val="000000" w:themeColor="text1"/>
          <w:vertAlign w:val="subscript"/>
        </w:rPr>
        <w:t>rj</w:t>
      </w:r>
      <w:r>
        <w:rPr>
          <w:rFonts w:eastAsia="DengXian"/>
          <w:color w:val="000000" w:themeColor="text1"/>
        </w:rPr>
        <w:t xml:space="preserve"> represents the water requirement of grid cell </w:t>
      </w:r>
      <w:r>
        <w:rPr>
          <w:rFonts w:eastAsia="DengXian"/>
          <w:i/>
          <w:iCs/>
          <w:color w:val="000000" w:themeColor="text1"/>
        </w:rPr>
        <w:t>r</w:t>
      </w:r>
      <w:r>
        <w:rPr>
          <w:rFonts w:eastAsia="DengXian"/>
          <w:color w:val="000000" w:themeColor="text1"/>
        </w:rPr>
        <w:t xml:space="preserve"> for agricultural land-use </w:t>
      </w:r>
      <w:r>
        <w:rPr>
          <w:rFonts w:eastAsia="DengXian"/>
          <w:i/>
          <w:iCs/>
          <w:color w:val="000000" w:themeColor="text1"/>
        </w:rPr>
        <w:t>j</w:t>
      </w:r>
      <w:r>
        <w:rPr>
          <w:rFonts w:eastAsia="DengXian"/>
          <w:color w:val="000000" w:themeColor="text1"/>
        </w:rPr>
        <w:t xml:space="preserve">, </w:t>
      </w:r>
      <w:r>
        <w:rPr>
          <w:rFonts w:eastAsia="DengXian"/>
          <w:i/>
          <w:iCs/>
          <w:color w:val="000000" w:themeColor="text1"/>
        </w:rPr>
        <w:t>WY</w:t>
      </w:r>
      <w:r>
        <w:rPr>
          <w:rFonts w:eastAsia="DengXian"/>
          <w:i/>
          <w:iCs/>
          <w:color w:val="000000" w:themeColor="text1"/>
          <w:vertAlign w:val="subscript"/>
        </w:rPr>
        <w:t>rk</w:t>
      </w:r>
      <w:r>
        <w:rPr>
          <w:rFonts w:eastAsia="DengXian"/>
          <w:color w:val="000000" w:themeColor="text1"/>
        </w:rPr>
        <w:t xml:space="preserve"> represents the water yield of grid cell </w:t>
      </w:r>
      <w:r>
        <w:rPr>
          <w:rFonts w:eastAsia="DengXian"/>
          <w:i/>
          <w:iCs/>
          <w:color w:val="000000" w:themeColor="text1"/>
        </w:rPr>
        <w:t>r</w:t>
      </w:r>
      <w:r>
        <w:rPr>
          <w:rFonts w:eastAsia="DengXian"/>
          <w:color w:val="000000" w:themeColor="text1"/>
        </w:rPr>
        <w:t xml:space="preserve"> for non-agricultural land-use </w:t>
      </w:r>
      <w:r>
        <w:rPr>
          <w:rFonts w:eastAsia="DengXian"/>
          <w:i/>
          <w:iCs/>
          <w:color w:val="000000" w:themeColor="text1"/>
        </w:rPr>
        <w:t>k</w:t>
      </w:r>
      <w:r>
        <w:rPr>
          <w:rFonts w:eastAsia="DengXian"/>
          <w:color w:val="000000" w:themeColor="text1"/>
        </w:rPr>
        <w:t xml:space="preserve">, </w:t>
      </w:r>
      <w:r>
        <w:rPr>
          <w:rFonts w:eastAsia="DengXian"/>
          <w:i/>
          <w:iCs/>
          <w:color w:val="000000" w:themeColor="text1"/>
        </w:rPr>
        <w:t>A</w:t>
      </w:r>
      <w:r>
        <w:rPr>
          <w:rFonts w:eastAsia="DengXian"/>
          <w:i/>
          <w:iCs/>
          <w:color w:val="000000" w:themeColor="text1"/>
          <w:vertAlign w:val="subscript"/>
        </w:rPr>
        <w:t>r</w:t>
      </w:r>
      <w:r>
        <w:rPr>
          <w:rFonts w:eastAsia="DengXian"/>
          <w:color w:val="000000" w:themeColor="text1"/>
        </w:rPr>
        <w:t xml:space="preserve"> represents the area of cell </w:t>
      </w:r>
      <w:r>
        <w:rPr>
          <w:rFonts w:eastAsia="DengXian"/>
          <w:i/>
          <w:iCs/>
          <w:color w:val="000000" w:themeColor="text1"/>
        </w:rPr>
        <w:t>r</w:t>
      </w:r>
      <w:r>
        <w:rPr>
          <w:rFonts w:eastAsia="DengXian"/>
          <w:color w:val="000000" w:themeColor="text1"/>
        </w:rPr>
        <w:t xml:space="preserve">, </w:t>
      </w:r>
      <w:r>
        <w:rPr>
          <w:rFonts w:eastAsia="DengXian"/>
          <w:i/>
          <w:iCs/>
          <w:color w:val="000000" w:themeColor="text1"/>
        </w:rPr>
        <w:t>MW</w:t>
      </w:r>
      <w:r>
        <w:rPr>
          <w:rFonts w:eastAsia="DengXian"/>
          <w:i/>
          <w:iCs/>
          <w:color w:val="000000" w:themeColor="text1"/>
          <w:vertAlign w:val="subscript"/>
        </w:rPr>
        <w:t>jm</w:t>
      </w:r>
      <w:r>
        <w:rPr>
          <w:rFonts w:eastAsia="DengXian"/>
          <w:color w:val="000000" w:themeColor="text1"/>
        </w:rPr>
        <w:t xml:space="preserve"> represents the impact of agricultural management </w:t>
      </w:r>
      <w:r>
        <w:rPr>
          <w:rFonts w:eastAsia="DengXian"/>
          <w:i/>
          <w:iCs/>
          <w:color w:val="000000" w:themeColor="text1"/>
        </w:rPr>
        <w:t>m</w:t>
      </w:r>
      <w:r>
        <w:rPr>
          <w:rFonts w:eastAsia="DengXian"/>
          <w:color w:val="000000" w:themeColor="text1"/>
        </w:rPr>
        <w:t xml:space="preserve"> on the water requirement of agricultural land-use </w:t>
      </w:r>
      <w:r>
        <w:rPr>
          <w:rFonts w:eastAsia="DengXian"/>
          <w:i/>
          <w:iCs/>
          <w:color w:val="000000" w:themeColor="text1"/>
        </w:rPr>
        <w:t>j</w:t>
      </w:r>
      <w:r>
        <w:rPr>
          <w:rFonts w:eastAsia="DengXian"/>
          <w:color w:val="000000" w:themeColor="text1"/>
        </w:rPr>
        <w:t xml:space="preserve">, and </w:t>
      </w:r>
      <w:r>
        <w:rPr>
          <w:rFonts w:eastAsia="DengXian"/>
          <w:i/>
          <w:iCs/>
          <w:color w:val="000000" w:themeColor="text1"/>
        </w:rPr>
        <w:t>WP</w:t>
      </w:r>
      <w:r>
        <w:rPr>
          <w:rFonts w:eastAsia="DengXian"/>
          <w:i/>
          <w:iCs/>
          <w:color w:val="000000" w:themeColor="text1"/>
          <w:vertAlign w:val="subscript"/>
        </w:rPr>
        <w:t>b</w:t>
      </w:r>
      <w:r>
        <w:rPr>
          <w:rFonts w:eastAsia="DengXian"/>
          <w:color w:val="000000" w:themeColor="text1"/>
        </w:rPr>
        <w:t xml:space="preserve"> represents the water yield from public and indigenous land, urban land, plantation forestry, and water bodies, derived from historical climate data.</w:t>
      </w:r>
    </w:p>
    <w:p w14:paraId="1E99E9CC" w14:textId="77777777" w:rsidR="00172691" w:rsidRDefault="00172691" w:rsidP="00172691">
      <w:pPr>
        <w:pStyle w:val="3"/>
        <w:rPr>
          <w:rFonts w:eastAsia="宋体"/>
          <w:color w:val="000000" w:themeColor="text1"/>
        </w:rPr>
      </w:pPr>
      <w:r>
        <w:rPr>
          <w:rFonts w:eastAsia="宋体"/>
          <w:color w:val="000000" w:themeColor="text1"/>
        </w:rPr>
        <w:t>Net economic returns</w:t>
      </w:r>
      <w:r>
        <w:rPr>
          <w:rFonts w:eastAsia="宋体" w:hint="eastAsia"/>
          <w:color w:val="000000" w:themeColor="text1"/>
        </w:rPr>
        <w:t xml:space="preserve"> </w:t>
      </w:r>
      <w:r>
        <w:rPr>
          <w:rFonts w:eastAsia="宋体"/>
          <w:color w:val="000000" w:themeColor="text1"/>
        </w:rPr>
        <w:t>modelling</w:t>
      </w:r>
    </w:p>
    <w:p w14:paraId="04085407" w14:textId="4BE76E54" w:rsidR="002A1696" w:rsidRDefault="00C30874" w:rsidP="008F31D0">
      <w:pPr>
        <w:ind w:firstLine="420"/>
        <w:rPr>
          <w:rFonts w:eastAsiaTheme="minorEastAsia"/>
        </w:rPr>
      </w:pPr>
      <w:r>
        <w:t>The objective function of LUTO2 is to maximise</w:t>
      </w:r>
      <w:r>
        <w:rPr>
          <w:rFonts w:hint="eastAsia"/>
        </w:rPr>
        <w:t xml:space="preserve"> </w:t>
      </w:r>
      <w:r>
        <w:t>the net economic return</w:t>
      </w:r>
      <w:r w:rsidR="007C0C3E">
        <w:rPr>
          <w:rFonts w:hint="eastAsia"/>
        </w:rPr>
        <w:t>s</w:t>
      </w:r>
      <w:r>
        <w:t xml:space="preserve"> (NER). NER in this context includes returns from agricultural commodities, costs from agricultural production, agricultural management, and non-agricultural land-uses and includes the cost of transition between land-uses. Agricultural commodity prices (AU$ tonne</w:t>
      </w:r>
      <w:r>
        <w:rPr>
          <w:rFonts w:eastAsia="DengXian"/>
          <w:vertAlign w:val="superscript"/>
        </w:rPr>
        <w:t>-1</w:t>
      </w:r>
      <w:r>
        <w:rPr>
          <w:rFonts w:eastAsia="DengXian"/>
        </w:rPr>
        <w:t xml:space="preserve">) were sourced from </w:t>
      </w:r>
      <w:r>
        <w:rPr>
          <w:rFonts w:eastAsia="DengXian"/>
        </w:rPr>
        <w:fldChar w:fldCharType="begin"/>
      </w:r>
      <w:r>
        <w:rPr>
          <w:rFonts w:eastAsia="DengXian"/>
        </w:rPr>
        <w:instrText xml:space="preserve"> ADDIN EN.CITE &lt;EndNote&gt;&lt;Cite AuthorYear="1"&gt;&lt;Author&gt;Navarro&lt;/Author&gt;&lt;Year&gt;2021&lt;/Year&gt;&lt;RecNum&gt;216&lt;/RecNum&gt;&lt;DisplayText&gt;Navarro and Marcos Martinez &lt;style face="superscript"&gt;1&lt;/style&gt;&lt;/DisplayText&gt;&lt;record&gt;&lt;rec-number&gt;216&lt;/rec-number&gt;&lt;foreign-keys&gt;&lt;key app="EN" db-id="st0zxxax1wfadte9s5gpaptza9tfvrzsvaxs" timestamp="1737512257" guid="ab7b90fd-7b66-4506-8db4-03847cae284a"&gt;216&lt;/key&gt;&lt;/foreign-keys&gt;&lt;ref-type name="Journal Article"&gt;17&lt;/ref-type&gt;&lt;contributors&gt;&lt;authors&gt;&lt;author&gt;Navarro, J&lt;/author&gt;&lt;author&gt;Marcos Martinez, R&lt;/author&gt;&lt;/authors&gt;&lt;/contributors&gt;&lt;titles&gt;&lt;title&gt;Estimating long-term profits, fertilizer and pesticide use baselines in Australian agricultural regions, User Guide&lt;/title&gt;&lt;secondary-title&gt;CSIRO&lt;/secondary-title&gt;&lt;/titles&gt;&lt;periodical&gt;&lt;full-title&gt;CSIRO&lt;/full-title&gt;&lt;/periodical&gt;&lt;dates&gt;&lt;year&gt;2021&lt;/year&gt;&lt;/dates&gt;&lt;urls&gt;&lt;/urls&gt;&lt;/record&gt;&lt;/Cite&gt;&lt;/EndNote&gt;</w:instrText>
      </w:r>
      <w:r>
        <w:rPr>
          <w:rFonts w:eastAsia="DengXian"/>
        </w:rPr>
        <w:fldChar w:fldCharType="separate"/>
      </w:r>
      <w:r>
        <w:rPr>
          <w:rFonts w:eastAsia="DengXian"/>
          <w:noProof/>
        </w:rPr>
        <w:t xml:space="preserve">Navarro and Marcos Martinez </w:t>
      </w:r>
      <w:r>
        <w:rPr>
          <w:rFonts w:eastAsia="DengXian"/>
          <w:noProof/>
          <w:vertAlign w:val="superscript"/>
        </w:rPr>
        <w:t>1</w:t>
      </w:r>
      <w:r>
        <w:rPr>
          <w:rFonts w:eastAsia="DengXian"/>
        </w:rPr>
        <w:fldChar w:fldCharType="end"/>
      </w:r>
      <w:r>
        <w:rPr>
          <w:rFonts w:eastAsia="DengXian"/>
        </w:rPr>
        <w:t>. Annual agricultural costs include a range of variable costs such as quantity-dependent costs (AU$ tonne</w:t>
      </w:r>
      <w:r>
        <w:rPr>
          <w:rFonts w:eastAsia="DengXian"/>
          <w:vertAlign w:val="superscript"/>
        </w:rPr>
        <w:t>-1</w:t>
      </w:r>
      <w:r>
        <w:rPr>
          <w:rFonts w:eastAsia="DengXian"/>
        </w:rPr>
        <w:t>) and area-dependent costs (AU$ ha</w:t>
      </w:r>
      <w:r>
        <w:rPr>
          <w:rFonts w:eastAsia="DengXian"/>
          <w:vertAlign w:val="superscript"/>
        </w:rPr>
        <w:t>-1</w:t>
      </w:r>
      <w:r>
        <w:rPr>
          <w:rFonts w:eastAsia="DengXian"/>
        </w:rPr>
        <w:t>); fixed costs for depreciation, operating, and labour (AU$ ha</w:t>
      </w:r>
      <w:r>
        <w:rPr>
          <w:rFonts w:eastAsia="DengXian"/>
          <w:vertAlign w:val="superscript"/>
        </w:rPr>
        <w:t>-1</w:t>
      </w:r>
      <w:r>
        <w:rPr>
          <w:rFonts w:eastAsia="DengXian"/>
        </w:rPr>
        <w:t>); and water delivery (AU$ ML</w:t>
      </w:r>
      <w:r>
        <w:rPr>
          <w:rFonts w:eastAsia="DengXian"/>
          <w:vertAlign w:val="superscript"/>
        </w:rPr>
        <w:t>-1</w:t>
      </w:r>
      <w:r>
        <w:rPr>
          <w:rFonts w:eastAsia="DengXian"/>
        </w:rPr>
        <w:t>).</w:t>
      </w:r>
      <w:r>
        <w:t xml:space="preserve"> </w:t>
      </w:r>
      <w:r>
        <w:rPr>
          <w:rFonts w:eastAsia="DengXian"/>
        </w:rPr>
        <w:t>Annual costs for agricultural management and non-agricultural land-uses were estimated based on a combination of literature review and expert consultation. Transition costs (AU$ ha</w:t>
      </w:r>
      <w:r>
        <w:rPr>
          <w:rFonts w:eastAsia="DengXian"/>
          <w:vertAlign w:val="superscript"/>
        </w:rPr>
        <w:t>-1</w:t>
      </w:r>
      <w:r>
        <w:rPr>
          <w:rFonts w:eastAsia="DengXian"/>
        </w:rPr>
        <w:t xml:space="preserve">) represent the expenses incurred when converting between land uses and include expenditure on fencing, irrigation setup and removal, water licensing, land clearing, and other necessary modifications </w:t>
      </w:r>
      <w:r>
        <w:fldChar w:fldCharType="begin">
          <w:fldData xml:space="preserve">PEVuZE5vdGU+PENpdGU+PEF1dGhvcj5GVzwvQXV0aG9yPjxZZWFyPjIwMTU8L1llYXI+PFJlY051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</w:fldData>
        </w:fldChar>
      </w:r>
      <w:r w:rsidR="007C0C3E">
        <w:instrText xml:space="preserve"> ADDIN EN.CITE </w:instrText>
      </w:r>
      <w:r w:rsidR="007C0C3E">
        <w:fldChar w:fldCharType="begin">
          <w:fldData xml:space="preserve">PEVuZE5vdGU+PENpdGU+PEF1dGhvcj5GVzwvQXV0aG9yPjxZZWFyPjIwMTU8L1llYXI+PFJlY051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</w:fldData>
        </w:fldChar>
      </w:r>
      <w:r w:rsidR="007C0C3E">
        <w:instrText xml:space="preserve"> ADDIN EN.CITE.DATA </w:instrText>
      </w:r>
      <w:r w:rsidR="007C0C3E">
        <w:fldChar w:fldCharType="end"/>
      </w:r>
      <w:r>
        <w:fldChar w:fldCharType="separate"/>
      </w:r>
      <w:r w:rsidR="007C0C3E" w:rsidRPr="007C0C3E">
        <w:rPr>
          <w:noProof/>
          <w:vertAlign w:val="superscript"/>
        </w:rPr>
        <w:t>27-29</w:t>
      </w:r>
      <w:r>
        <w:fldChar w:fldCharType="end"/>
      </w:r>
      <w:r>
        <w:rPr>
          <w:rFonts w:eastAsia="DengXian"/>
        </w:rPr>
        <w:t xml:space="preserve">. Establishment of non-agricultural land uses such as Environmental plantings were derived from </w:t>
      </w:r>
      <w:r>
        <w:rPr>
          <w:rFonts w:eastAsia="DengXian"/>
        </w:rPr>
        <w:fldChar w:fldCharType="begin"/>
      </w:r>
      <w:r w:rsidR="007C0C3E">
        <w:rPr>
          <w:rFonts w:eastAsia="DengXian"/>
        </w:rPr>
        <w:instrText xml:space="preserve"> ADDIN EN.CITE &lt;EndNote&gt;&lt;Cite AuthorYear="1"&gt;&lt;Author&gt;Summers&lt;/Author&gt;&lt;Year&gt;2015&lt;/Year&gt;&lt;RecNum&gt;361&lt;/RecNum&gt;&lt;DisplayText&gt;Summers, et al. &lt;style face="superscript"&gt;30&lt;/style&gt;&lt;/DisplayText&gt;&lt;record&gt;&lt;rec-number&gt;361&lt;/rec-number&gt;&lt;foreign-keys&gt;&lt;key app="EN" db-id="st0zxxax1wfadte9s5gpaptza9tfvrzsvaxs" timestamp="1741941186" guid="0a0db2da-c0bc-4c2b-b62d-da45923274b2"&gt;361&lt;/key&gt;&lt;/foreign-keys&gt;&lt;ref-type name="Journal Article"&gt;17&lt;/ref-type&gt;&lt;contributors&gt;&lt;authors&gt;&lt;author&gt;Summers, David M.&lt;/author&gt;&lt;author&gt;Bryan, Brett A.&lt;/author&gt;&lt;author&gt;Nolan, Martin&lt;/author&gt;&lt;author&gt;Hobbs, Trevor J.&lt;/author&gt;&lt;/authors&gt;&lt;/contributors&gt;&lt;titles&gt;&lt;title&gt;The costs of reforestation: A spatial model of the costs of establishing environmental and carbon plantings&lt;/title&gt;&lt;secondary-title&gt;Land Use Policy&lt;/secondary-title&gt;&lt;/titles&gt;&lt;periodical&gt;&lt;full-title&gt;Land Use Policy&lt;/full-title&gt;&lt;/periodical&gt;&lt;pages&gt;110-121&lt;/pages&gt;&lt;volume&gt;44&lt;/volume&gt;&lt;keywords&gt;&lt;keyword&gt;Cost of establishment&lt;/keyword&gt;&lt;keyword&gt;Afforestation&lt;/keyword&gt;&lt;keyword&gt;Climate change&lt;/keyword&gt;&lt;keyword&gt;Policy&lt;/keyword&gt;&lt;keyword&gt;Economic model&lt;/keyword&gt;&lt;keyword&gt;Spatial&lt;/keyword&gt;&lt;/keywords&gt;&lt;dates&gt;&lt;year&gt;2015&lt;/year&gt;&lt;pub-dates&gt;&lt;date&gt;2015/03/01/&lt;/date&gt;&lt;/pub-dates&gt;&lt;/dates&gt;&lt;isbn&gt;0264-8377&lt;/isbn&gt;&lt;urls&gt;&lt;related-urls&gt;&lt;url&gt;https://www.sciencedirect.com/science/article/pii/S0264837714002737&lt;/url&gt;&lt;/related-urls&gt;&lt;/urls&gt;&lt;electronic-resource-num&gt;https://doi.org/10.1016/j.landusepol.2014.12.002&lt;/electronic-resource-num&gt;&lt;/record&gt;&lt;/Cite&gt;&lt;/EndNote&gt;</w:instrText>
      </w:r>
      <w:r>
        <w:rPr>
          <w:rFonts w:eastAsia="DengXian"/>
        </w:rPr>
        <w:fldChar w:fldCharType="separate"/>
      </w:r>
      <w:r w:rsidR="007C0C3E">
        <w:rPr>
          <w:rFonts w:eastAsia="DengXian"/>
          <w:noProof/>
        </w:rPr>
        <w:t xml:space="preserve">Summers, et al. </w:t>
      </w:r>
      <w:r w:rsidR="007C0C3E" w:rsidRPr="007C0C3E">
        <w:rPr>
          <w:rFonts w:eastAsia="DengXian"/>
          <w:noProof/>
          <w:vertAlign w:val="superscript"/>
        </w:rPr>
        <w:t>30</w:t>
      </w:r>
      <w:r>
        <w:rPr>
          <w:rFonts w:eastAsia="DengXian"/>
        </w:rPr>
        <w:fldChar w:fldCharType="end"/>
      </w:r>
      <w:r>
        <w:rPr>
          <w:rFonts w:eastAsia="DengXian"/>
        </w:rPr>
        <w:t xml:space="preserve">. NER to land use and management in year </w:t>
      </w:r>
      <w:r>
        <w:rPr>
          <w:rFonts w:eastAsia="DengXian"/>
          <w:i/>
        </w:rPr>
        <w:t>t</w:t>
      </w:r>
      <w:r>
        <w:rPr>
          <w:rFonts w:eastAsia="DengXian"/>
        </w:rPr>
        <w:t xml:space="preserve"> is calculated as</w:t>
      </w:r>
      <w:r>
        <w:rPr>
          <w:rFonts w:eastAsia="DengXian"/>
          <w:sz w:val="24"/>
        </w:rPr>
        <w:t>:</w:t>
      </w:r>
    </w:p>
    <w:tbl>
      <w:tblPr>
        <w:tblStyle w:val="TableGrid1"/>
        <w:tblW w:w="8306" w:type="dxa"/>
        <w:jc w:val="center"/>
        <w:tblLayout w:type="fixed"/>
        <w:tblLook w:val="04A0" w:firstRow="1" w:lastRow="0" w:firstColumn="1" w:lastColumn="0" w:noHBand="0" w:noVBand="1"/>
      </w:tblPr>
      <w:tblGrid>
        <w:gridCol w:w="7654"/>
        <w:gridCol w:w="652"/>
      </w:tblGrid>
      <w:tr w:rsidR="002A1696" w14:paraId="04085438" w14:textId="77777777">
        <w:trPr>
          <w:cantSplit/>
          <w:trHeight w:val="1120"/>
          <w:jc w:val="center"/>
        </w:trPr>
        <w:tc>
          <w:tcPr>
            <w:tcW w:w="7654" w:type="dxa"/>
            <w:tcBorders>
              <w:top w:val="nil"/>
              <w:left w:val="nil"/>
              <w:bottom w:val="nil"/>
              <w:right w:val="nil"/>
            </w:tcBorders>
          </w:tcPr>
          <w:p w14:paraId="04085436" w14:textId="0989B6FE" w:rsidR="002A1696" w:rsidRPr="00D55CC1" w:rsidRDefault="00C30874">
            <w:pPr>
              <w:spacing w:before="156" w:after="163"/>
              <w:ind w:firstLineChars="0" w:firstLine="0"/>
              <w:jc w:val="center"/>
              <w:rPr>
                <w:rFonts w:eastAsia="DengXian"/>
                <w:color w:val="000000" w:themeColor="text1"/>
                <w:szCs w:val="21"/>
              </w:rPr>
            </w:pPr>
            <m:oMath>
              <m:r>
                <w:rPr>
                  <w:rFonts w:ascii="Cambria Math" w:hAnsi="Cambria Math"/>
                </w:rPr>
                <m:t>NE</m:t>
              </m:r>
              <m:sSub>
                <m:sSubPr>
                  <m:ctrlPr>
                    <w:rPr>
                      <w:rFonts w:ascii="Cambria Math" w:hAnsi="Cambria Math"/>
                    </w:rPr>
                  </m:ctrlPr>
                </m:sSubPr>
                <m:e>
                  <m:r>
                    <w:rPr>
                      <w:rFonts w:ascii="Cambria Math" w:hAnsi="Cambria Math"/>
                    </w:rPr>
                    <m:t>R</m:t>
                  </m:r>
                </m:e>
                <m:sub>
                  <m:r>
                    <w:rPr>
                      <w:rFonts w:ascii="Cambria Math" w:hAnsi="Cambria Math"/>
                    </w:rPr>
                    <m:t>t</m:t>
                  </m:r>
                </m:sub>
              </m:sSub>
              <m:r>
                <m:rPr>
                  <m:lit/>
                  <m:nor/>
                </m:rPr>
                <m:t>=</m:t>
              </m:r>
              <m:nary>
                <m:naryPr>
                  <m:chr m:val="∑"/>
                  <m:supHide m:val="1"/>
                  <m:ctrlPr>
                    <w:rPr>
                      <w:rFonts w:ascii="Cambria Math" w:hAnsi="Cambria Math"/>
                    </w:rPr>
                  </m:ctrlPr>
                </m:naryPr>
                <m:sub>
                  <m:r>
                    <w:rPr>
                      <w:rFonts w:ascii="Cambria Math" w:hAnsi="Cambria Math"/>
                    </w:rPr>
                    <m:t>c∈CF</m:t>
                  </m:r>
                </m:sub>
                <m:sup/>
                <m:e>
                  <m:r>
                    <w:rPr>
                      <w:rFonts w:ascii="Cambria Math" w:hAnsi="Cambria Math"/>
                    </w:rPr>
                    <m:t>(</m:t>
                  </m:r>
                  <m:sSub>
                    <m:sSubPr>
                      <m:ctrlPr>
                        <w:rPr>
                          <w:rFonts w:ascii="Cambria Math" w:hAnsi="Cambria Math"/>
                        </w:rPr>
                      </m:ctrlPr>
                    </m:sSubPr>
                    <m:e>
                      <m:r>
                        <w:rPr>
                          <w:rFonts w:ascii="Cambria Math" w:hAnsi="Cambria Math"/>
                        </w:rPr>
                        <m:t>AF</m:t>
                      </m:r>
                    </m:e>
                    <m:sub>
                      <m:r>
                        <w:rPr>
                          <w:rFonts w:ascii="Cambria Math" w:hAnsi="Cambria Math"/>
                        </w:rPr>
                        <m:t>c</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c</m:t>
                      </m:r>
                    </m:sub>
                  </m:sSub>
                  <m:r>
                    <w:rPr>
                      <w:rFonts w:ascii="Cambria Math" w:hAnsi="Cambria Math"/>
                    </w:rPr>
                    <m:t>)</m:t>
                  </m:r>
                </m:e>
              </m:nary>
              <m:r>
                <m:rPr>
                  <m:lit/>
                  <m:nor/>
                </m:rPr>
                <m:t>-</m:t>
              </m:r>
              <m:nary>
                <m:naryPr>
                  <m:chr m:val="∑"/>
                  <m:supHide m:val="1"/>
                  <m:ctrlPr>
                    <w:rPr>
                      <w:rFonts w:ascii="Cambria Math" w:hAnsi="Cambria Math"/>
                    </w:rPr>
                  </m:ctrlPr>
                </m:naryPr>
                <m:sub>
                  <m:r>
                    <w:rPr>
                      <w:rFonts w:ascii="Cambria Math" w:hAnsi="Cambria Math"/>
                    </w:rPr>
                    <m:t>r,j</m:t>
                  </m:r>
                </m:sub>
                <m:sup/>
                <m:e>
                  <m:sSub>
                    <m:sSubPr>
                      <m:ctrlPr>
                        <w:rPr>
                          <w:rFonts w:ascii="Cambria Math" w:hAnsi="Cambria Math"/>
                        </w:rPr>
                      </m:ctrlPr>
                    </m:sSubPr>
                    <m:e>
                      <m:r>
                        <w:rPr>
                          <w:rFonts w:ascii="Cambria Math" w:hAnsi="Cambria Math"/>
                        </w:rPr>
                        <m:t>X</m:t>
                      </m:r>
                    </m:e>
                    <m:sub>
                      <m:r>
                        <w:rPr>
                          <w:rFonts w:ascii="Cambria Math" w:hAnsi="Cambria Math"/>
                        </w:rPr>
                        <m:t>rjt</m:t>
                      </m:r>
                    </m:sub>
                  </m:sSub>
                  <m:sSub>
                    <m:sSubPr>
                      <m:ctrlPr>
                        <w:rPr>
                          <w:rFonts w:ascii="Cambria Math" w:hAnsi="Cambria Math"/>
                        </w:rPr>
                      </m:ctrlPr>
                    </m:sSubPr>
                    <m:e>
                      <m:r>
                        <w:rPr>
                          <w:rFonts w:ascii="Cambria Math" w:hAnsi="Cambria Math"/>
                        </w:rPr>
                        <m:t>C</m:t>
                      </m:r>
                    </m:e>
                    <m:sub>
                      <m:r>
                        <w:rPr>
                          <w:rFonts w:ascii="Cambria Math" w:hAnsi="Cambria Math"/>
                        </w:rPr>
                        <m:t>j</m:t>
                      </m:r>
                    </m:sub>
                  </m:sSub>
                </m:e>
              </m:nary>
              <m:sSub>
                <m:sSubPr>
                  <m:ctrlPr>
                    <w:rPr>
                      <w:rFonts w:ascii="Cambria Math" w:hAnsi="Cambria Math"/>
                    </w:rPr>
                  </m:ctrlPr>
                </m:sSubPr>
                <m:e>
                  <m:r>
                    <w:rPr>
                      <w:rFonts w:ascii="Cambria Math" w:hAnsi="Cambria Math"/>
                    </w:rPr>
                    <m:t>A</m:t>
                  </m:r>
                </m:e>
                <m:sub>
                  <m:r>
                    <w:rPr>
                      <w:rFonts w:ascii="Cambria Math" w:hAnsi="Cambria Math"/>
                    </w:rPr>
                    <m:t>r</m:t>
                  </m:r>
                </m:sub>
              </m:sSub>
              <m:r>
                <m:rPr>
                  <m:lit/>
                  <m:nor/>
                </m:rPr>
                <m:t>-</m:t>
              </m:r>
              <m:nary>
                <m:naryPr>
                  <m:chr m:val="∑"/>
                  <m:supHide m:val="1"/>
                  <m:ctrlPr>
                    <w:rPr>
                      <w:rFonts w:ascii="Cambria Math" w:hAnsi="Cambria Math"/>
                    </w:rPr>
                  </m:ctrlPr>
                </m:naryPr>
                <m:sub>
                  <m:r>
                    <w:rPr>
                      <w:rFonts w:ascii="Cambria Math" w:hAnsi="Cambria Math"/>
                    </w:rPr>
                    <m:t>r,k</m:t>
                  </m:r>
                </m:sub>
                <m:sup/>
                <m:e>
                  <m:sSub>
                    <m:sSubPr>
                      <m:ctrlPr>
                        <w:rPr>
                          <w:rFonts w:ascii="Cambria Math" w:hAnsi="Cambria Math"/>
                        </w:rPr>
                      </m:ctrlPr>
                    </m:sSubPr>
                    <m:e>
                      <m:r>
                        <w:rPr>
                          <w:rFonts w:ascii="Cambria Math" w:hAnsi="Cambria Math"/>
                        </w:rPr>
                        <m:t>X</m:t>
                      </m:r>
                    </m:e>
                    <m:sub>
                      <m:r>
                        <w:rPr>
                          <w:rFonts w:ascii="Cambria Math" w:hAnsi="Cambria Math"/>
                        </w:rPr>
                        <m:t>rkt</m:t>
                      </m:r>
                    </m:sub>
                  </m:sSub>
                  <m:sSub>
                    <m:sSubPr>
                      <m:ctrlPr>
                        <w:rPr>
                          <w:rFonts w:ascii="Cambria Math" w:hAnsi="Cambria Math"/>
                        </w:rPr>
                      </m:ctrlPr>
                    </m:sSubPr>
                    <m:e>
                      <m:r>
                        <w:rPr>
                          <w:rFonts w:ascii="Cambria Math" w:hAnsi="Cambria Math"/>
                        </w:rPr>
                        <m:t>C</m:t>
                      </m:r>
                    </m:e>
                    <m:sub>
                      <m:r>
                        <w:rPr>
                          <w:rFonts w:ascii="Cambria Math" w:hAnsi="Cambria Math"/>
                        </w:rPr>
                        <m:t>k</m:t>
                      </m:r>
                    </m:sub>
                  </m:sSub>
                  <m:sSub>
                    <m:sSubPr>
                      <m:ctrlPr>
                        <w:rPr>
                          <w:rFonts w:ascii="Cambria Math" w:hAnsi="Cambria Math"/>
                        </w:rPr>
                      </m:ctrlPr>
                    </m:sSubPr>
                    <m:e>
                      <m:r>
                        <w:rPr>
                          <w:rFonts w:ascii="Cambria Math" w:hAnsi="Cambria Math"/>
                        </w:rPr>
                        <m:t>A</m:t>
                      </m:r>
                    </m:e>
                    <m:sub>
                      <m:r>
                        <w:rPr>
                          <w:rFonts w:ascii="Cambria Math" w:hAnsi="Cambria Math"/>
                        </w:rPr>
                        <m:t>r</m:t>
                      </m:r>
                    </m:sub>
                  </m:sSub>
                </m:e>
              </m:nary>
              <m:r>
                <m:rPr>
                  <m:lit/>
                  <m:nor/>
                </m:rPr>
                <m:t>-</m:t>
              </m:r>
              <m:nary>
                <m:naryPr>
                  <m:chr m:val="∑"/>
                  <m:supHide m:val="1"/>
                  <m:ctrlPr>
                    <w:rPr>
                      <w:rFonts w:ascii="Cambria Math" w:hAnsi="Cambria Math"/>
                    </w:rPr>
                  </m:ctrlPr>
                </m:naryPr>
                <m:sub>
                  <m:r>
                    <w:rPr>
                      <w:rFonts w:ascii="Cambria Math" w:hAnsi="Cambria Math"/>
                    </w:rPr>
                    <m:t>r,j,m</m:t>
                  </m:r>
                </m:sub>
                <m:sup/>
                <m:e>
                  <m:sSub>
                    <m:sSubPr>
                      <m:ctrlPr>
                        <w:rPr>
                          <w:rFonts w:ascii="Cambria Math" w:hAnsi="Cambria Math"/>
                        </w:rPr>
                      </m:ctrlPr>
                    </m:sSubPr>
                    <m:e>
                      <m:r>
                        <w:rPr>
                          <w:rFonts w:ascii="Cambria Math" w:hAnsi="Cambria Math"/>
                        </w:rPr>
                        <m:t>X</m:t>
                      </m:r>
                    </m:e>
                    <m:sub>
                      <m:r>
                        <w:rPr>
                          <w:rFonts w:ascii="Cambria Math" w:hAnsi="Cambria Math"/>
                        </w:rPr>
                        <m:t>rjt</m:t>
                      </m:r>
                    </m:sub>
                  </m:sSub>
                  <m:r>
                    <w:rPr>
                      <w:rFonts w:ascii="Cambria Math" w:hAnsi="Cambria Math"/>
                    </w:rPr>
                    <m:t>M</m:t>
                  </m:r>
                  <m:sSub>
                    <m:sSubPr>
                      <m:ctrlPr>
                        <w:rPr>
                          <w:rFonts w:ascii="Cambria Math" w:hAnsi="Cambria Math"/>
                        </w:rPr>
                      </m:ctrlPr>
                    </m:sSubPr>
                    <m:e>
                      <m:r>
                        <w:rPr>
                          <w:rFonts w:ascii="Cambria Math" w:hAnsi="Cambria Math"/>
                        </w:rPr>
                        <m:t>C</m:t>
                      </m:r>
                    </m:e>
                    <m:sub>
                      <m:r>
                        <w:rPr>
                          <w:rFonts w:ascii="Cambria Math" w:hAnsi="Cambria Math"/>
                        </w:rPr>
                        <m:t>m</m:t>
                      </m:r>
                    </m:sub>
                  </m:sSub>
                  <m:sSub>
                    <m:sSubPr>
                      <m:ctrlPr>
                        <w:rPr>
                          <w:rFonts w:ascii="Cambria Math" w:hAnsi="Cambria Math"/>
                        </w:rPr>
                      </m:ctrlPr>
                    </m:sSubPr>
                    <m:e>
                      <m:r>
                        <w:rPr>
                          <w:rFonts w:ascii="Cambria Math" w:hAnsi="Cambria Math"/>
                        </w:rPr>
                        <m:t>A</m:t>
                      </m:r>
                    </m:e>
                    <m:sub>
                      <m:r>
                        <w:rPr>
                          <w:rFonts w:ascii="Cambria Math" w:hAnsi="Cambria Math"/>
                        </w:rPr>
                        <m:t>r</m:t>
                      </m:r>
                    </m:sub>
                  </m:sSub>
                </m:e>
              </m:nary>
              <m:r>
                <m:rPr>
                  <m:lit/>
                  <m:nor/>
                </m:rPr>
                <m:t>-</m:t>
              </m:r>
              <m:nary>
                <m:naryPr>
                  <m:chr m:val="∑"/>
                  <m:supHide m:val="1"/>
                  <m:ctrlPr>
                    <w:rPr>
                      <w:rFonts w:ascii="Cambria Math" w:hAnsi="Cambria Math"/>
                    </w:rPr>
                  </m:ctrlPr>
                </m:naryPr>
                <m:sub>
                  <m:r>
                    <w:rPr>
                      <w:rFonts w:ascii="Cambria Math" w:hAnsi="Cambria Math"/>
                    </w:rPr>
                    <m:t>r,j,k</m:t>
                  </m:r>
                </m:sub>
                <m:sup/>
                <m:e>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rt(j→j')</m:t>
                      </m:r>
                    </m:sub>
                  </m:sSub>
                  <m:sSub>
                    <m:sSubPr>
                      <m:ctrlPr>
                        <w:rPr>
                          <w:rFonts w:ascii="Cambria Math" w:hAnsi="Cambria Math"/>
                        </w:rPr>
                      </m:ctrlPr>
                    </m:sSubPr>
                    <m:e>
                      <m:r>
                        <w:rPr>
                          <w:rFonts w:ascii="Cambria Math" w:hAnsi="Cambria Math"/>
                        </w:rPr>
                        <m:t>C</m:t>
                      </m:r>
                    </m:e>
                    <m:sub>
                      <m:r>
                        <w:rPr>
                          <w:rFonts w:ascii="Cambria Math" w:hAnsi="Cambria Math"/>
                        </w:rPr>
                        <m:t>(j→j')</m:t>
                      </m:r>
                    </m:sub>
                  </m:sSub>
                  <m:r>
                    <m:rPr>
                      <m:lit/>
                      <m:nor/>
                    </m:rPr>
                    <m:t>+</m:t>
                  </m:r>
                  <m:sSub>
                    <m:sSubPr>
                      <m:ctrlPr>
                        <w:rPr>
                          <w:rFonts w:ascii="Cambria Math" w:hAnsi="Cambria Math"/>
                        </w:rPr>
                      </m:ctrlPr>
                    </m:sSubPr>
                    <m:e>
                      <m:r>
                        <w:rPr>
                          <w:rFonts w:ascii="Cambria Math" w:hAnsi="Cambria Math"/>
                        </w:rPr>
                        <m:t>X</m:t>
                      </m:r>
                    </m:e>
                    <m:sub>
                      <m:r>
                        <w:rPr>
                          <w:rFonts w:ascii="Cambria Math" w:hAnsi="Cambria Math"/>
                        </w:rPr>
                        <m:t>rt(j→k)</m:t>
                      </m:r>
                    </m:sub>
                  </m:sSub>
                  <m:sSub>
                    <m:sSubPr>
                      <m:ctrlPr>
                        <w:rPr>
                          <w:rFonts w:ascii="Cambria Math" w:hAnsi="Cambria Math"/>
                        </w:rPr>
                      </m:ctrlPr>
                    </m:sSubPr>
                    <m:e>
                      <m:r>
                        <w:rPr>
                          <w:rFonts w:ascii="Cambria Math" w:hAnsi="Cambria Math"/>
                        </w:rPr>
                        <m:t>C</m:t>
                      </m:r>
                    </m:e>
                    <m:sub>
                      <m:r>
                        <w:rPr>
                          <w:rFonts w:ascii="Cambria Math" w:hAnsi="Cambria Math"/>
                        </w:rPr>
                        <m:t>(j→k)</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r</m:t>
                      </m:r>
                    </m:sub>
                  </m:sSub>
                  <m:r>
                    <w:rPr>
                      <w:rFonts w:ascii="Cambria Math" w:hAnsi="Cambria Math"/>
                    </w:rPr>
                    <m:t>]</m:t>
                  </m:r>
                </m:e>
              </m:nary>
            </m:oMath>
            <w:r>
              <w:rPr>
                <w:rFonts w:eastAsia="DengXian"/>
                <w:color w:val="000000" w:themeColor="text1"/>
                <w:szCs w:val="21"/>
              </w:rPr>
              <w:t xml:space="preserve"> </w:t>
            </w:r>
          </w:p>
        </w:tc>
        <w:tc>
          <w:tcPr>
            <w:tcW w:w="652" w:type="dxa"/>
            <w:tcBorders>
              <w:top w:val="nil"/>
              <w:left w:val="nil"/>
              <w:bottom w:val="nil"/>
              <w:right w:val="nil"/>
            </w:tcBorders>
            <w:vAlign w:val="center"/>
          </w:tcPr>
          <w:p w14:paraId="04085437" w14:textId="77777777" w:rsidR="002A1696" w:rsidRDefault="00C30874">
            <w:pPr>
              <w:spacing w:before="156" w:after="163"/>
              <w:ind w:firstLineChars="0" w:firstLine="0"/>
              <w:jc w:val="right"/>
              <w:rPr>
                <w:rFonts w:eastAsia="DengXian"/>
                <w:color w:val="000000" w:themeColor="text1"/>
                <w:szCs w:val="21"/>
              </w:rPr>
            </w:pPr>
            <w:r>
              <w:rPr>
                <w:rFonts w:ascii="Arial" w:hAnsi="Arial" w:cs="Arial"/>
                <w:szCs w:val="21"/>
              </w:rPr>
              <w:t>(</w:t>
            </w:r>
            <w:r>
              <w:rPr>
                <w:rFonts w:ascii="Arial" w:hAnsi="Arial" w:cs="Arial"/>
              </w:rPr>
              <w:fldChar w:fldCharType="begin"/>
            </w:r>
            <w:r>
              <w:rPr>
                <w:rFonts w:ascii="Arial" w:hAnsi="Arial" w:cs="Arial"/>
                <w:szCs w:val="21"/>
              </w:rPr>
              <w:instrText>LISTNUM  NumberDefault \l 0</w:instrText>
            </w:r>
            <w:r>
              <w:rPr>
                <w:rFonts w:ascii="Arial" w:hAnsi="Arial" w:cs="Arial"/>
                <w:szCs w:val="21"/>
              </w:rPr>
              <w:fldChar w:fldCharType="separate"/>
            </w:r>
            <w:r>
              <w:rPr>
                <w:rFonts w:ascii="Arial" w:hAnsi="Arial" w:cs="Arial"/>
                <w:szCs w:val="21"/>
              </w:rPr>
              <w:fldChar w:fldCharType="end"/>
            </w:r>
          </w:p>
        </w:tc>
      </w:tr>
    </w:tbl>
    <w:p w14:paraId="04085439" w14:textId="64A1DEBF" w:rsidR="002A1696" w:rsidRDefault="00C30874">
      <w:pPr>
        <w:ind w:firstLineChars="0" w:firstLine="0"/>
        <w:rPr>
          <w:rFonts w:eastAsia="宋体"/>
          <w:color w:val="000000" w:themeColor="text1"/>
        </w:rPr>
      </w:pPr>
      <w:r>
        <w:rPr>
          <w:rFonts w:eastAsia="DengXian"/>
          <w:color w:val="000000" w:themeColor="text1"/>
        </w:rPr>
        <w:t xml:space="preserve">where </w:t>
      </w:r>
      <m:oMath>
        <m:sSub>
          <m:sSubPr>
            <m:ctrlPr>
              <w:rPr>
                <w:rFonts w:ascii="Cambria Math" w:hAnsi="Cambria Math"/>
              </w:rPr>
            </m:ctrlPr>
          </m:sSubPr>
          <m:e>
            <m:r>
              <w:rPr>
                <w:rFonts w:ascii="Cambria Math" w:hAnsi="Cambria Math"/>
              </w:rPr>
              <m:t>NER</m:t>
            </m:r>
          </m:e>
          <m:sub>
            <m:r>
              <w:rPr>
                <w:rFonts w:ascii="Cambria Math" w:hAnsi="Cambria Math"/>
              </w:rPr>
              <m:t>t</m:t>
            </m:r>
          </m:sub>
        </m:sSub>
      </m:oMath>
      <w:r>
        <w:rPr>
          <w:rFonts w:eastAsia="DengXian"/>
          <w:color w:val="000000" w:themeColor="text1"/>
        </w:rPr>
        <w:t xml:space="preserve"> represents the </w:t>
      </w:r>
      <w:r>
        <w:rPr>
          <w:rFonts w:eastAsia="DengXian"/>
        </w:rPr>
        <w:t>net economic return</w:t>
      </w:r>
      <w:r>
        <w:rPr>
          <w:rFonts w:eastAsia="DengXian" w:hint="eastAsia"/>
        </w:rPr>
        <w:t>s</w:t>
      </w:r>
      <w:r>
        <w:rPr>
          <w:rFonts w:eastAsia="DengXian" w:hint="eastAsia"/>
          <w:color w:val="000000" w:themeColor="text1"/>
        </w:rPr>
        <w:t xml:space="preserve"> </w:t>
      </w:r>
      <w:r>
        <w:rPr>
          <w:rFonts w:eastAsia="DengXian"/>
          <w:color w:val="000000" w:themeColor="text1"/>
        </w:rPr>
        <w:t>in</w:t>
      </w:r>
      <w:r>
        <w:rPr>
          <w:rFonts w:eastAsia="DengXian"/>
          <w:i/>
          <w:iCs/>
          <w:color w:val="000000" w:themeColor="text1"/>
        </w:rPr>
        <w:t xml:space="preserve"> </w:t>
      </w:r>
      <w:r>
        <w:rPr>
          <w:rFonts w:eastAsia="DengXian"/>
          <w:color w:val="000000" w:themeColor="text1"/>
        </w:rPr>
        <w:t xml:space="preserve">year </w:t>
      </w:r>
      <w:r>
        <w:rPr>
          <w:rFonts w:eastAsia="DengXian"/>
          <w:i/>
          <w:iCs/>
          <w:color w:val="000000" w:themeColor="text1"/>
        </w:rPr>
        <w:t>t</w:t>
      </w:r>
      <w:r>
        <w:rPr>
          <w:rFonts w:eastAsia="DengXian"/>
          <w:color w:val="000000" w:themeColor="text1"/>
        </w:rPr>
        <w:t>,</w:t>
      </w:r>
      <w:r>
        <w:rPr>
          <w:rFonts w:ascii="Cambria Math" w:hAnsi="Cambria Math"/>
          <w:i/>
          <w:color w:val="000000" w:themeColor="text1"/>
        </w:rPr>
        <w:t xml:space="preserve"> </w:t>
      </w:r>
      <m:oMath>
        <m:sSub>
          <m:sSubPr>
            <m:ctrlPr>
              <w:rPr>
                <w:rFonts w:ascii="Cambria Math" w:hAnsi="Cambria Math"/>
              </w:rPr>
            </m:ctrlPr>
          </m:sSubPr>
          <m:e>
            <m:r>
              <w:rPr>
                <w:rFonts w:ascii="Cambria Math" w:hAnsi="Cambria Math"/>
              </w:rPr>
              <m:t>AF</m:t>
            </m:r>
          </m:e>
          <m:sub>
            <m:r>
              <w:rPr>
                <w:rFonts w:ascii="Cambria Math" w:hAnsi="Cambria Math"/>
              </w:rPr>
              <m:t>c</m:t>
            </m:r>
          </m:sub>
        </m:sSub>
      </m:oMath>
      <w:r>
        <w:rPr>
          <w:rFonts w:eastAsia="DengXian"/>
          <w:color w:val="000000" w:themeColor="text1"/>
        </w:rPr>
        <w:t xml:space="preserve"> represents the agri-food production of agricultural commodity </w:t>
      </w:r>
      <w:r>
        <w:rPr>
          <w:rFonts w:eastAsia="DengXian"/>
          <w:i/>
          <w:iCs/>
          <w:color w:val="000000" w:themeColor="text1"/>
        </w:rPr>
        <w:t>c,</w:t>
      </w:r>
      <w:r>
        <w:rPr>
          <w:color w:val="000000" w:themeColor="text1"/>
        </w:rPr>
        <w:t xml:space="preserve"> </w:t>
      </w:r>
      <w:r>
        <w:rPr>
          <w:rFonts w:eastAsia="DengXian"/>
          <w:i/>
          <w:iCs/>
          <w:color w:val="000000" w:themeColor="text1"/>
        </w:rPr>
        <w:t xml:space="preserve">c ∈ AC </w:t>
      </w:r>
      <w:r w:rsidRPr="00F8143D">
        <w:rPr>
          <w:rFonts w:eastAsia="DengXian"/>
          <w:color w:val="000000" w:themeColor="text1"/>
        </w:rPr>
        <w:t>represents 28 agri-food commodities</w:t>
      </w:r>
      <w:r>
        <w:rPr>
          <w:rFonts w:eastAsia="DengXian"/>
          <w:color w:val="000000" w:themeColor="text1"/>
        </w:rPr>
        <w:t xml:space="preserve">. </w:t>
      </w:r>
      <w:r>
        <w:rPr>
          <w:rFonts w:ascii="Cambria Math" w:hAnsi="Cambria Math"/>
          <w:i/>
          <w:color w:val="000000" w:themeColor="text1"/>
        </w:rPr>
        <w:t xml:space="preserve"> </w:t>
      </w:r>
      <m:oMath>
        <m:sSub>
          <m:sSubPr>
            <m:ctrlPr>
              <w:rPr>
                <w:rFonts w:ascii="Cambria Math" w:hAnsi="Cambria Math"/>
              </w:rPr>
            </m:ctrlPr>
          </m:sSubPr>
          <m:e>
            <m:r>
              <w:rPr>
                <w:rFonts w:ascii="Cambria Math" w:hAnsi="Cambria Math"/>
              </w:rPr>
              <m:t>AF</m:t>
            </m:r>
          </m:e>
          <m:sub>
            <m:r>
              <w:rPr>
                <w:rFonts w:ascii="Cambria Math" w:hAnsi="Cambria Math"/>
              </w:rPr>
              <m:t>j</m:t>
            </m:r>
          </m:sub>
        </m:sSub>
      </m:oMath>
      <w:r>
        <w:rPr>
          <w:color w:val="000000" w:themeColor="text1"/>
        </w:rPr>
        <w:t xml:space="preserve"> associated with each agricultural land-use type </w:t>
      </w:r>
      <w:r>
        <w:rPr>
          <w:i/>
          <w:iCs/>
          <w:color w:val="000000" w:themeColor="text1"/>
        </w:rPr>
        <w:t>j</w:t>
      </w:r>
      <w:r>
        <w:rPr>
          <w:rFonts w:eastAsia="DengXian"/>
          <w:color w:val="000000" w:themeColor="text1"/>
        </w:rPr>
        <w:t>,</w:t>
      </w:r>
      <w:r>
        <w:rPr>
          <w:rFonts w:ascii="Cambria Math" w:hAnsi="Cambria Math"/>
          <w:i/>
          <w:color w:val="000000" w:themeColor="text1"/>
        </w:rPr>
        <w:t xml:space="preserve"> </w:t>
      </w:r>
      <m:oMath>
        <m:sSub>
          <m:sSubPr>
            <m:ctrlPr>
              <w:rPr>
                <w:rFonts w:ascii="Cambria Math" w:hAnsi="Cambria Math"/>
              </w:rPr>
            </m:ctrlPr>
          </m:sSubPr>
          <m:e>
            <m:r>
              <w:rPr>
                <w:rFonts w:ascii="Cambria Math" w:hAnsi="Cambria Math"/>
              </w:rPr>
              <m:t>P</m:t>
            </m:r>
          </m:e>
          <m:sub>
            <m:r>
              <w:rPr>
                <w:rFonts w:ascii="Cambria Math" w:hAnsi="Cambria Math"/>
              </w:rPr>
              <m:t>c</m:t>
            </m:r>
          </m:sub>
        </m:sSub>
      </m:oMath>
      <w:r>
        <w:rPr>
          <w:rFonts w:eastAsia="DengXian"/>
          <w:color w:val="000000" w:themeColor="text1"/>
        </w:rPr>
        <w:t xml:space="preserve"> represents the price of agricultural commodity </w:t>
      </w:r>
      <w:r>
        <w:rPr>
          <w:rFonts w:eastAsia="DengXian"/>
          <w:i/>
          <w:iCs/>
          <w:color w:val="000000" w:themeColor="text1"/>
        </w:rPr>
        <w:t>c</w:t>
      </w:r>
      <w:r>
        <w:rPr>
          <w:rFonts w:eastAsia="DengXian"/>
          <w:color w:val="000000" w:themeColor="text1"/>
        </w:rPr>
        <w:t>,</w:t>
      </w:r>
      <w:r>
        <w:rPr>
          <w:rFonts w:ascii="Cambria Math" w:hAnsi="Cambria Math"/>
          <w:i/>
          <w:color w:val="000000" w:themeColor="text1"/>
        </w:rPr>
        <w:t xml:space="preserve"> </w:t>
      </w:r>
      <m:oMath>
        <m:sSub>
          <m:sSubPr>
            <m:ctrlPr>
              <w:rPr>
                <w:rFonts w:ascii="Cambria Math" w:hAnsi="Cambria Math"/>
              </w:rPr>
            </m:ctrlPr>
          </m:sSubPr>
          <m:e>
            <m:r>
              <w:rPr>
                <w:rFonts w:ascii="Cambria Math" w:hAnsi="Cambria Math"/>
              </w:rPr>
              <m:t>C</m:t>
            </m:r>
          </m:e>
          <m:sub>
            <m:r>
              <w:rPr>
                <w:rFonts w:ascii="Cambria Math" w:hAnsi="Cambria Math"/>
              </w:rPr>
              <m:t>j</m:t>
            </m:r>
          </m:sub>
        </m:sSub>
      </m:oMath>
      <w:r>
        <w:rPr>
          <w:rFonts w:eastAsia="DengXian"/>
          <w:color w:val="000000" w:themeColor="text1"/>
        </w:rPr>
        <w:t xml:space="preserve"> represents the cost of agricultural land-use </w:t>
      </w:r>
      <w:r>
        <w:rPr>
          <w:rFonts w:eastAsia="DengXian"/>
          <w:i/>
          <w:iCs/>
          <w:color w:val="000000" w:themeColor="text1"/>
        </w:rPr>
        <w:t>j</w:t>
      </w:r>
      <w:r>
        <w:rPr>
          <w:rFonts w:eastAsia="DengXian"/>
          <w:color w:val="000000" w:themeColor="text1"/>
        </w:rPr>
        <w:t>,</w:t>
      </w:r>
      <w:r>
        <w:rPr>
          <w:rFonts w:ascii="Cambria Math" w:hAnsi="Cambria Math"/>
          <w:i/>
          <w:color w:val="000000" w:themeColor="text1"/>
        </w:rPr>
        <w:t xml:space="preserve"> </w:t>
      </w:r>
      <m:oMath>
        <m:sSub>
          <m:sSubPr>
            <m:ctrlPr>
              <w:rPr>
                <w:rFonts w:ascii="Cambria Math" w:hAnsi="Cambria Math"/>
              </w:rPr>
            </m:ctrlPr>
          </m:sSubPr>
          <m:e>
            <m:r>
              <w:rPr>
                <w:rFonts w:ascii="Cambria Math" w:hAnsi="Cambria Math"/>
              </w:rPr>
              <m:t>C</m:t>
            </m:r>
          </m:e>
          <m:sub>
            <m:r>
              <w:rPr>
                <w:rFonts w:ascii="Cambria Math" w:hAnsi="Cambria Math"/>
              </w:rPr>
              <m:t>k</m:t>
            </m:r>
          </m:sub>
        </m:sSub>
      </m:oMath>
      <w:r>
        <w:rPr>
          <w:rFonts w:eastAsia="DengXian"/>
          <w:color w:val="000000" w:themeColor="text1"/>
        </w:rPr>
        <w:t xml:space="preserve"> represents the cost of non-agricultural land-use </w:t>
      </w:r>
      <w:r>
        <w:rPr>
          <w:rFonts w:eastAsia="DengXian"/>
          <w:i/>
          <w:iCs/>
          <w:color w:val="000000" w:themeColor="text1"/>
        </w:rPr>
        <w:t>k</w:t>
      </w:r>
      <w:r>
        <w:rPr>
          <w:rFonts w:eastAsia="DengXian"/>
          <w:color w:val="000000" w:themeColor="text1"/>
        </w:rPr>
        <w:t>,</w:t>
      </w:r>
      <w:r>
        <w:rPr>
          <w:rFonts w:ascii="Cambria Math" w:hAnsi="Cambria Math"/>
          <w:i/>
          <w:color w:val="000000" w:themeColor="text1"/>
        </w:rPr>
        <w:t xml:space="preserve"> </w:t>
      </w:r>
      <m:oMath>
        <m:sSub>
          <m:sSubPr>
            <m:ctrlPr>
              <w:rPr>
                <w:rFonts w:ascii="Cambria Math" w:hAnsi="Cambria Math"/>
              </w:rPr>
            </m:ctrlPr>
          </m:sSubPr>
          <m:e>
            <m:r>
              <w:rPr>
                <w:rFonts w:ascii="Cambria Math" w:hAnsi="Cambria Math"/>
              </w:rPr>
              <m:t>C</m:t>
            </m:r>
          </m:e>
          <m:sub>
            <m:r>
              <w:rPr>
                <w:rFonts w:ascii="Cambria Math" w:hAnsi="Cambria Math"/>
              </w:rPr>
              <m:t>m</m:t>
            </m:r>
          </m:sub>
        </m:sSub>
      </m:oMath>
      <w:r>
        <w:rPr>
          <w:rFonts w:eastAsia="DengXian"/>
          <w:color w:val="000000" w:themeColor="text1"/>
        </w:rPr>
        <w:t xml:space="preserve"> represents the cost of agricultural management </w:t>
      </w:r>
      <w:r>
        <w:rPr>
          <w:rFonts w:eastAsia="DengXian"/>
          <w:i/>
          <w:iCs/>
          <w:color w:val="000000" w:themeColor="text1"/>
        </w:rPr>
        <w:t>m</w:t>
      </w:r>
      <w:r>
        <w:rPr>
          <w:rFonts w:eastAsia="DengXian"/>
          <w:color w:val="000000" w:themeColor="text1"/>
        </w:rPr>
        <w:t xml:space="preserve">, </w:t>
      </w:r>
      <m:oMath>
        <m:sSub>
          <m:sSubPr>
            <m:ctrlPr>
              <w:rPr>
                <w:rFonts w:ascii="Cambria Math" w:hAnsi="Cambria Math"/>
              </w:rPr>
            </m:ctrlPr>
          </m:sSubPr>
          <m:e>
            <m:r>
              <w:rPr>
                <w:rFonts w:ascii="Cambria Math" w:hAnsi="Cambria Math"/>
              </w:rPr>
              <m:t>C</m:t>
            </m:r>
          </m:e>
          <m:sub>
            <m:r>
              <w:rPr>
                <w:rFonts w:ascii="Cambria Math" w:hAnsi="Cambria Math"/>
              </w:rPr>
              <m:t>(j→j‘)</m:t>
            </m:r>
          </m:sub>
        </m:sSub>
      </m:oMath>
      <w:r>
        <w:rPr>
          <w:rFonts w:eastAsia="DengXian"/>
          <w:color w:val="000000" w:themeColor="text1"/>
        </w:rPr>
        <w:t xml:space="preserve"> </w:t>
      </w:r>
      <w:r>
        <w:rPr>
          <w:color w:val="000000" w:themeColor="text1"/>
        </w:rPr>
        <w:t xml:space="preserve">represents </w:t>
      </w:r>
      <w:r>
        <w:rPr>
          <w:rFonts w:eastAsia="DengXian"/>
          <w:color w:val="000000" w:themeColor="text1"/>
        </w:rPr>
        <w:t>the cost of transition from agricultural land-use</w:t>
      </w:r>
      <w:r>
        <w:rPr>
          <w:rFonts w:eastAsia="DengXian"/>
          <w:i/>
          <w:iCs/>
          <w:color w:val="000000" w:themeColor="text1"/>
        </w:rPr>
        <w:t xml:space="preserve"> j</w:t>
      </w:r>
      <w:r>
        <w:rPr>
          <w:rFonts w:eastAsia="DengXian"/>
          <w:color w:val="000000" w:themeColor="text1"/>
        </w:rPr>
        <w:t xml:space="preserve"> to </w:t>
      </w:r>
      <w:r>
        <w:rPr>
          <w:rFonts w:eastAsia="DengXian"/>
          <w:i/>
          <w:iCs/>
          <w:color w:val="000000" w:themeColor="text1"/>
        </w:rPr>
        <w:t>j’</w:t>
      </w:r>
      <w:r>
        <w:rPr>
          <w:rFonts w:eastAsia="DengXian"/>
          <w:color w:val="000000" w:themeColor="text1"/>
        </w:rPr>
        <w:t>,</w:t>
      </w:r>
      <w:r>
        <w:rPr>
          <w:rFonts w:eastAsia="DengXian"/>
          <w:i/>
          <w:iCs/>
          <w:color w:val="000000" w:themeColor="text1"/>
        </w:rPr>
        <w:t xml:space="preserve"> </w:t>
      </w:r>
      <m:oMath>
        <m:sSub>
          <m:sSubPr>
            <m:ctrlPr>
              <w:rPr>
                <w:rFonts w:ascii="Cambria Math" w:hAnsi="Cambria Math"/>
              </w:rPr>
            </m:ctrlPr>
          </m:sSubPr>
          <m:e>
            <m:r>
              <w:rPr>
                <w:rFonts w:ascii="Cambria Math" w:hAnsi="Cambria Math"/>
              </w:rPr>
              <m:t>C</m:t>
            </m:r>
          </m:e>
          <m:sub>
            <m:r>
              <w:rPr>
                <w:rFonts w:ascii="Cambria Math" w:hAnsi="Cambria Math"/>
              </w:rPr>
              <m:t>(j→k)</m:t>
            </m:r>
          </m:sub>
        </m:sSub>
      </m:oMath>
      <w:r>
        <w:rPr>
          <w:color w:val="000000" w:themeColor="text1"/>
        </w:rPr>
        <w:t xml:space="preserve">represents </w:t>
      </w:r>
      <w:r>
        <w:rPr>
          <w:rFonts w:eastAsia="DengXian"/>
          <w:color w:val="000000" w:themeColor="text1"/>
        </w:rPr>
        <w:t>the cost of transition from agricultural land-use</w:t>
      </w:r>
      <w:r>
        <w:rPr>
          <w:rFonts w:eastAsia="DengXian"/>
          <w:i/>
          <w:iCs/>
          <w:color w:val="000000" w:themeColor="text1"/>
        </w:rPr>
        <w:t xml:space="preserve"> j</w:t>
      </w:r>
      <w:r>
        <w:rPr>
          <w:rFonts w:eastAsia="DengXian"/>
          <w:color w:val="000000" w:themeColor="text1"/>
        </w:rPr>
        <w:t xml:space="preserve"> to non-agricultural land-use </w:t>
      </w:r>
      <w:r>
        <w:rPr>
          <w:rFonts w:eastAsia="DengXian"/>
          <w:i/>
          <w:iCs/>
          <w:color w:val="000000" w:themeColor="text1"/>
        </w:rPr>
        <w:t>k</w:t>
      </w:r>
      <w:r>
        <w:rPr>
          <w:rFonts w:eastAsia="DengXian"/>
          <w:color w:val="000000" w:themeColor="text1"/>
        </w:rPr>
        <w:t>.</w:t>
      </w:r>
    </w:p>
    <w:p w14:paraId="0408543A" w14:textId="77777777" w:rsidR="002A1696" w:rsidRDefault="00C30874">
      <w:pPr>
        <w:pStyle w:val="2"/>
        <w:rPr>
          <w:rFonts w:eastAsia="等线 Light"/>
          <w:color w:val="000000" w:themeColor="text1"/>
        </w:rPr>
      </w:pPr>
      <w:r>
        <w:rPr>
          <w:rFonts w:eastAsia="等线 Light"/>
          <w:color w:val="000000" w:themeColor="text1"/>
        </w:rPr>
        <w:t>Optimisation</w:t>
      </w:r>
    </w:p>
    <w:p w14:paraId="0408543B" w14:textId="77777777" w:rsidR="002A1696" w:rsidRDefault="00C30874">
      <w:pPr>
        <w:pStyle w:val="3"/>
        <w:rPr>
          <w:rFonts w:eastAsia="宋体"/>
          <w:color w:val="000000" w:themeColor="text1"/>
        </w:rPr>
      </w:pPr>
      <w:r>
        <w:rPr>
          <w:rFonts w:eastAsia="宋体"/>
          <w:color w:val="000000" w:themeColor="text1"/>
        </w:rPr>
        <w:t xml:space="preserve">Constraints on </w:t>
      </w:r>
      <w:r>
        <w:rPr>
          <w:rFonts w:eastAsia="宋体" w:hint="eastAsia"/>
          <w:color w:val="000000" w:themeColor="text1"/>
        </w:rPr>
        <w:t>l</w:t>
      </w:r>
      <w:r>
        <w:rPr>
          <w:rFonts w:eastAsia="宋体"/>
          <w:color w:val="000000" w:themeColor="text1"/>
        </w:rPr>
        <w:t>and-</w:t>
      </w:r>
      <w:r>
        <w:rPr>
          <w:rFonts w:eastAsia="宋体" w:hint="eastAsia"/>
          <w:color w:val="000000" w:themeColor="text1"/>
        </w:rPr>
        <w:t>u</w:t>
      </w:r>
      <w:r>
        <w:rPr>
          <w:rFonts w:eastAsia="宋体"/>
          <w:color w:val="000000" w:themeColor="text1"/>
        </w:rPr>
        <w:t xml:space="preserve">se and agricultural management </w:t>
      </w:r>
      <w:r>
        <w:rPr>
          <w:rFonts w:eastAsia="宋体" w:hint="eastAsia"/>
          <w:color w:val="000000" w:themeColor="text1"/>
        </w:rPr>
        <w:t>a</w:t>
      </w:r>
      <w:r>
        <w:rPr>
          <w:rFonts w:eastAsia="宋体"/>
          <w:color w:val="000000" w:themeColor="text1"/>
        </w:rPr>
        <w:t>llocation</w:t>
      </w:r>
    </w:p>
    <w:p w14:paraId="0408543C" w14:textId="45F21057" w:rsidR="002A1696" w:rsidRPr="004C0FAB" w:rsidRDefault="00C30874" w:rsidP="004C0FAB">
      <w:pPr>
        <w:ind w:firstLine="420"/>
        <w:rPr>
          <w:rFonts w:eastAsia="DengXian"/>
        </w:rPr>
      </w:pPr>
      <w:r>
        <w:rPr>
          <w:rFonts w:eastAsia="DengXian"/>
        </w:rPr>
        <w:t>The LUTO2 solver allocates agricultural land-use and management as well as non-agricultural land-use solutions to grid cells to optimise multiple objectives while meeting a series of constraints.  Constraints are applied to regulate permissible land-use changes via a land-use transition exclusion matrix</w:t>
      </w:r>
      <w:r>
        <w:rPr>
          <w:rFonts w:eastAsia="DengXian" w:hint="eastAsia"/>
        </w:rPr>
        <w:t>.</w:t>
      </w:r>
      <w:r>
        <w:rPr>
          <w:rFonts w:eastAsia="DengXian"/>
        </w:rPr>
        <w:t xml:space="preserve"> The primary restriction is that only agricultural commodities present within an SA2 in 2010 </w:t>
      </w:r>
      <w:r>
        <w:rPr>
          <w:rFonts w:eastAsia="DengXian"/>
        </w:rPr>
        <w:lastRenderedPageBreak/>
        <w:t xml:space="preserve">are permitted to occur within that SA2, ensuring consistency with observed land-use patterns </w:t>
      </w:r>
      <w:r>
        <w:rPr>
          <w:rFonts w:eastAsia="DengXian"/>
        </w:rPr>
        <w:fldChar w:fldCharType="begin"/>
      </w:r>
      <w:r w:rsidR="00AE3698">
        <w:rPr>
          <w:rFonts w:eastAsia="DengXian"/>
        </w:rPr>
        <w:instrText xml:space="preserve"> ADDIN EN.CITE &lt;EndNote&gt;&lt;Cite&gt;&lt;Author&gt;ABS&lt;/Author&gt;&lt;Year&gt;2024&lt;/Year&gt;&lt;RecNum&gt;354&lt;/RecNum&gt;&lt;DisplayText&gt;&lt;style face="superscript"&gt;31&lt;/style&gt;&lt;/DisplayText&gt;&lt;record&gt;&lt;rec-number&gt;354&lt;/rec-number&gt;&lt;foreign-keys&gt;&lt;key app="EN" db-id="st0zxxax1wfadte9s5gpaptza9tfvrzsvaxs" timestamp="1741922849" guid="905f141e-c4aa-4574-bbf2-48c421604ec2"&gt;354&lt;/key&gt;&lt;/foreign-keys&gt;&lt;ref-type name="Journal Article"&gt;17&lt;/ref-type&gt;&lt;contributors&gt;&lt;authors&gt;&lt;author&gt;ABS&lt;/author&gt;&lt;/authors&gt;&lt;/contributors&gt;&lt;titles&gt;&lt;title&gt;SA2 Land and Environment (Data by Region) Nov 2024&lt;/title&gt;&lt;/titles&gt;&lt;dates&gt;&lt;year&gt;2024&lt;/year&gt;&lt;/dates&gt;&lt;pub-location&gt;Australia&lt;/pub-location&gt;&lt;publisher&gt;Australian Bureau of Statistics&lt;/publisher&gt;&lt;urls&gt;&lt;related-urls&gt;&lt;url&gt;https://digital.atlas.gov.au/datasets/sa2-land-and-environment-data-by-region-nov-2024&lt;/url&gt;&lt;/related-urls&gt;&lt;/urls&gt;&lt;/record&gt;&lt;/Cite&gt;&lt;/EndNote&gt;</w:instrText>
      </w:r>
      <w:r>
        <w:rPr>
          <w:rFonts w:eastAsia="DengXian"/>
        </w:rPr>
        <w:fldChar w:fldCharType="separate"/>
      </w:r>
      <w:r w:rsidR="007C0C3E" w:rsidRPr="007C0C3E">
        <w:rPr>
          <w:rFonts w:eastAsia="DengXian"/>
          <w:noProof/>
          <w:vertAlign w:val="superscript"/>
        </w:rPr>
        <w:t>31</w:t>
      </w:r>
      <w:r>
        <w:rPr>
          <w:rFonts w:eastAsia="DengXian"/>
        </w:rPr>
        <w:fldChar w:fldCharType="end"/>
      </w:r>
      <w:r>
        <w:rPr>
          <w:rFonts w:eastAsia="DengXian"/>
        </w:rPr>
        <w:t>. No modified land, including livestock grazing on modified land, is allowed to convert to any type of natural land. Agricultural management can only be applied to specific agricultural land-use types (Table S4)</w:t>
      </w:r>
      <w:r>
        <w:rPr>
          <w:rFonts w:eastAsia="DengXian" w:hint="eastAsia"/>
        </w:rPr>
        <w:t>.</w:t>
      </w:r>
    </w:p>
    <w:p w14:paraId="0408543D" w14:textId="0068DD52" w:rsidR="002A1696" w:rsidRDefault="00C30874">
      <w:pPr>
        <w:ind w:firstLine="420"/>
        <w:rPr>
          <w:rFonts w:eastAsia="DengXian"/>
          <w:color w:val="000000" w:themeColor="text1"/>
        </w:rPr>
      </w:pPr>
      <w:r>
        <w:rPr>
          <w:rFonts w:eastAsia="DengXian"/>
          <w:color w:val="000000" w:themeColor="text1"/>
        </w:rPr>
        <w:t xml:space="preserve">The optimisation does not choose the land-use proportion of each cell directly. Instead, the decision variables are the year-on-year transition proportions between land uses, following the quantities </w:t>
      </w:r>
      <w:r>
        <w:rPr>
          <w:rFonts w:eastAsia="DengXian"/>
          <w:i/>
          <w:iCs/>
          <w:color w:val="000000" w:themeColor="text1"/>
        </w:rPr>
        <w:t>X</w:t>
      </w:r>
      <w:r>
        <w:rPr>
          <w:rFonts w:eastAsia="DengXian"/>
          <w:i/>
          <w:iCs/>
          <w:color w:val="000000" w:themeColor="text1"/>
          <w:vertAlign w:val="subscript"/>
        </w:rPr>
        <w:t>rt(j→j')</w:t>
      </w:r>
      <w:r>
        <w:rPr>
          <w:rFonts w:eastAsia="DengXian"/>
          <w:color w:val="000000" w:themeColor="text1"/>
        </w:rPr>
        <w:t xml:space="preserve"> and </w:t>
      </w:r>
      <w:r>
        <w:rPr>
          <w:rFonts w:eastAsia="DengXian"/>
          <w:i/>
          <w:iCs/>
          <w:color w:val="000000" w:themeColor="text1"/>
        </w:rPr>
        <w:t>X</w:t>
      </w:r>
      <w:r>
        <w:rPr>
          <w:rFonts w:eastAsia="DengXian"/>
          <w:i/>
          <w:iCs/>
          <w:color w:val="000000" w:themeColor="text1"/>
          <w:vertAlign w:val="subscript"/>
        </w:rPr>
        <w:t>rt(j→k)</w:t>
      </w:r>
      <w:r>
        <w:rPr>
          <w:rFonts w:eastAsia="DengXian"/>
          <w:color w:val="000000" w:themeColor="text1"/>
        </w:rPr>
        <w:t xml:space="preserve"> used in the </w:t>
      </w:r>
      <w:r w:rsidR="00655CAC">
        <w:rPr>
          <w:rFonts w:eastAsia="DengXian" w:hint="eastAsia"/>
          <w:color w:val="000000" w:themeColor="text1"/>
        </w:rPr>
        <w:t>GHG</w:t>
      </w:r>
      <w:r>
        <w:rPr>
          <w:rFonts w:eastAsia="DengXian"/>
          <w:color w:val="000000" w:themeColor="text1"/>
        </w:rPr>
        <w:t xml:space="preserve"> and </w:t>
      </w:r>
      <w:r w:rsidR="002E176C">
        <w:rPr>
          <w:rFonts w:eastAsia="DengXian"/>
          <w:color w:val="000000" w:themeColor="text1"/>
        </w:rPr>
        <w:t>NER</w:t>
      </w:r>
      <w:r>
        <w:rPr>
          <w:rFonts w:eastAsia="DengXian"/>
          <w:color w:val="000000" w:themeColor="text1"/>
        </w:rPr>
        <w:t xml:space="preserve"> equations above and extending them to every ordered pair of land uses.</w:t>
      </w:r>
      <w:r w:rsidR="0073342A" w:rsidRPr="0073342A">
        <w:t xml:space="preserve"> </w:t>
      </w:r>
      <w:r w:rsidR="0073342A" w:rsidRPr="0073342A">
        <w:rPr>
          <w:rFonts w:eastAsia="DengXian"/>
          <w:color w:val="000000" w:themeColor="text1"/>
        </w:rPr>
        <w:t>This formulation also enables transition costs to be calculated explicitly for each land-use conversion, rather than inferred from changes in land-use proportions between consecutive years.</w:t>
      </w:r>
      <w:r>
        <w:rPr>
          <w:rFonts w:eastAsia="DengXian"/>
          <w:color w:val="000000" w:themeColor="text1"/>
        </w:rPr>
        <w:t xml:space="preserve"> We write </w:t>
      </w:r>
      <w:r>
        <w:rPr>
          <w:rFonts w:eastAsia="DengXian"/>
          <w:i/>
          <w:iCs/>
          <w:color w:val="000000" w:themeColor="text1"/>
        </w:rPr>
        <w:t>X</w:t>
      </w:r>
      <w:r>
        <w:rPr>
          <w:rFonts w:eastAsia="DengXian"/>
          <w:i/>
          <w:iCs/>
          <w:color w:val="000000" w:themeColor="text1"/>
          <w:vertAlign w:val="subscript"/>
        </w:rPr>
        <w:t>rt(u→u')</w:t>
      </w:r>
      <w:r>
        <w:rPr>
          <w:rFonts w:eastAsia="DengXian"/>
          <w:color w:val="000000" w:themeColor="text1"/>
        </w:rPr>
        <w:t xml:space="preserve"> for the proportion of cell </w:t>
      </w:r>
      <w:r>
        <w:rPr>
          <w:rFonts w:eastAsia="DengXian"/>
          <w:i/>
          <w:iCs/>
          <w:color w:val="000000" w:themeColor="text1"/>
        </w:rPr>
        <w:t>r</w:t>
      </w:r>
      <w:r>
        <w:rPr>
          <w:rFonts w:eastAsia="DengXian"/>
          <w:color w:val="000000" w:themeColor="text1"/>
        </w:rPr>
        <w:t xml:space="preserve"> that converts from land use </w:t>
      </w:r>
      <w:r>
        <w:rPr>
          <w:rFonts w:eastAsia="DengXian"/>
          <w:i/>
          <w:iCs/>
          <w:color w:val="000000" w:themeColor="text1"/>
        </w:rPr>
        <w:t>u</w:t>
      </w:r>
      <w:r>
        <w:rPr>
          <w:rFonts w:eastAsia="DengXian"/>
          <w:color w:val="000000" w:themeColor="text1"/>
        </w:rPr>
        <w:t xml:space="preserve"> to land use </w:t>
      </w:r>
      <w:r>
        <w:rPr>
          <w:rFonts w:eastAsia="DengXian"/>
          <w:i/>
          <w:iCs/>
          <w:color w:val="000000" w:themeColor="text1"/>
        </w:rPr>
        <w:t>u'</w:t>
      </w:r>
      <w:r>
        <w:rPr>
          <w:rFonts w:eastAsia="DengXian"/>
          <w:color w:val="000000" w:themeColor="text1"/>
        </w:rPr>
        <w:t xml:space="preserve"> during year </w:t>
      </w:r>
      <w:r>
        <w:rPr>
          <w:rFonts w:eastAsia="DengXian"/>
          <w:i/>
          <w:iCs/>
          <w:color w:val="000000" w:themeColor="text1"/>
        </w:rPr>
        <w:t>t</w:t>
      </w:r>
      <w:r>
        <w:rPr>
          <w:rFonts w:eastAsia="DengXian"/>
          <w:color w:val="000000" w:themeColor="text1"/>
        </w:rPr>
        <w:t xml:space="preserve">, where </w:t>
      </w:r>
      <w:r>
        <w:rPr>
          <w:rFonts w:eastAsia="DengXian"/>
          <w:i/>
          <w:iCs/>
          <w:color w:val="000000" w:themeColor="text1"/>
        </w:rPr>
        <w:t>u</w:t>
      </w:r>
      <w:r>
        <w:rPr>
          <w:rFonts w:eastAsia="DengXian"/>
          <w:color w:val="000000" w:themeColor="text1"/>
        </w:rPr>
        <w:t xml:space="preserve"> and </w:t>
      </w:r>
      <w:r>
        <w:rPr>
          <w:rFonts w:eastAsia="DengXian"/>
          <w:i/>
          <w:iCs/>
          <w:color w:val="000000" w:themeColor="text1"/>
        </w:rPr>
        <w:t>u'</w:t>
      </w:r>
      <w:r>
        <w:rPr>
          <w:rFonts w:eastAsia="DengXian"/>
          <w:color w:val="000000" w:themeColor="text1"/>
        </w:rPr>
        <w:t xml:space="preserve"> range over the agricultural land uses </w:t>
      </w:r>
      <w:r>
        <w:rPr>
          <w:rFonts w:eastAsia="DengXian"/>
          <w:i/>
          <w:iCs/>
          <w:color w:val="000000" w:themeColor="text1"/>
        </w:rPr>
        <w:t>j</w:t>
      </w:r>
      <w:r>
        <w:rPr>
          <w:rFonts w:eastAsia="DengXian"/>
          <w:color w:val="000000" w:themeColor="text1"/>
        </w:rPr>
        <w:t xml:space="preserve"> and the non-agricultural land uses </w:t>
      </w:r>
      <w:r>
        <w:rPr>
          <w:rFonts w:eastAsia="DengXian"/>
          <w:i/>
          <w:iCs/>
          <w:color w:val="000000" w:themeColor="text1"/>
        </w:rPr>
        <w:t>k</w:t>
      </w:r>
      <w:r>
        <w:rPr>
          <w:rFonts w:eastAsia="DengXian"/>
          <w:color w:val="000000" w:themeColor="text1"/>
        </w:rPr>
        <w:t xml:space="preserve">. The proportion of a cell under land use </w:t>
      </w:r>
      <w:r>
        <w:rPr>
          <w:rFonts w:eastAsia="DengXian"/>
          <w:i/>
          <w:iCs/>
          <w:color w:val="000000" w:themeColor="text1"/>
        </w:rPr>
        <w:t>u</w:t>
      </w:r>
      <w:r>
        <w:rPr>
          <w:rFonts w:eastAsia="DengXian"/>
          <w:color w:val="000000" w:themeColor="text1"/>
        </w:rPr>
        <w:t xml:space="preserve"> in year </w:t>
      </w:r>
      <w:r>
        <w:rPr>
          <w:rFonts w:eastAsia="DengXian"/>
          <w:i/>
          <w:iCs/>
          <w:color w:val="000000" w:themeColor="text1"/>
        </w:rPr>
        <w:t>t</w:t>
      </w:r>
      <w:r>
        <w:rPr>
          <w:rFonts w:eastAsia="DengXian"/>
          <w:color w:val="000000" w:themeColor="text1"/>
        </w:rPr>
        <w:t xml:space="preserve"> is written </w:t>
      </w:r>
      <w:r>
        <w:rPr>
          <w:rFonts w:eastAsia="DengXian"/>
          <w:i/>
          <w:iCs/>
          <w:color w:val="000000" w:themeColor="text1"/>
        </w:rPr>
        <w:t>X</w:t>
      </w:r>
      <w:r>
        <w:rPr>
          <w:rFonts w:eastAsia="DengXian"/>
          <w:i/>
          <w:iCs/>
          <w:color w:val="000000" w:themeColor="text1"/>
          <w:vertAlign w:val="subscript"/>
        </w:rPr>
        <w:t>rut</w:t>
      </w:r>
      <w:r>
        <w:rPr>
          <w:rFonts w:eastAsia="DengXian"/>
          <w:color w:val="000000" w:themeColor="text1"/>
        </w:rPr>
        <w:t>, given by:</w:t>
      </w:r>
    </w:p>
    <w:tbl>
      <w:tblPr>
        <w:tblStyle w:val="TableGrid1"/>
        <w:tblW w:w="8370" w:type="dxa"/>
        <w:tblLayout w:type="fixed"/>
        <w:tblLook w:val="04A0" w:firstRow="1" w:lastRow="0" w:firstColumn="1" w:lastColumn="0" w:noHBand="0" w:noVBand="1"/>
      </w:tblPr>
      <w:tblGrid>
        <w:gridCol w:w="7660"/>
        <w:gridCol w:w="710"/>
      </w:tblGrid>
      <w:tr w:rsidR="00172691" w:rsidRPr="00F034CB" w14:paraId="4E2BA8F8" w14:textId="77777777" w:rsidTr="005B5BFB">
        <w:trPr>
          <w:cantSplit/>
          <w:trHeight w:val="300"/>
        </w:trPr>
        <w:tc>
          <w:tcPr>
            <w:tcW w:w="7660" w:type="dxa"/>
            <w:tcBorders>
              <w:top w:val="nil"/>
              <w:left w:val="nil"/>
              <w:bottom w:val="nil"/>
              <w:right w:val="nil"/>
            </w:tcBorders>
          </w:tcPr>
          <w:p w14:paraId="530909A2" w14:textId="77777777" w:rsidR="00172691" w:rsidRDefault="0066677A" w:rsidP="005B5BFB">
            <w:pPr>
              <w:spacing w:after="163"/>
              <w:ind w:firstLineChars="0" w:firstLine="0"/>
              <w:jc w:val="center"/>
              <w:rPr>
                <w:rFonts w:eastAsia="DengXian"/>
                <w:color w:val="000000" w:themeColor="text1"/>
                <w:szCs w:val="21"/>
              </w:rPr>
            </w:pPr>
            <m:oMathPara>
              <m:oMathParaPr>
                <m:jc m:val="center"/>
              </m:oMathParaPr>
              <m:oMath>
                <m:sSub>
                  <m:sSubPr>
                    <m:ctrlPr>
                      <w:rPr>
                        <w:rFonts w:ascii="Cambria Math" w:hAnsi="Cambria Math"/>
                      </w:rPr>
                    </m:ctrlPr>
                  </m:sSubPr>
                  <m:e>
                    <m:r>
                      <w:rPr>
                        <w:rFonts w:ascii="Cambria Math" w:hAnsi="Cambria Math"/>
                      </w:rPr>
                      <m:t>X</m:t>
                    </m:r>
                  </m:e>
                  <m:sub>
                    <m:r>
                      <w:rPr>
                        <w:rFonts w:ascii="Cambria Math" w:hAnsi="Cambria Math"/>
                      </w:rPr>
                      <m:t>rut</m:t>
                    </m:r>
                  </m:sub>
                </m:sSub>
                <m: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w:rPr>
                                <w:rFonts w:ascii="Cambria Math" w:hAnsi="Cambria Math"/>
                              </w:rPr>
                              <m:t>X</m:t>
                            </m:r>
                          </m:e>
                          <m:sub>
                            <m:r>
                              <w:rPr>
                                <w:rFonts w:ascii="Cambria Math" w:hAnsi="Cambria Math"/>
                              </w:rPr>
                              <m:t>rjt</m:t>
                            </m:r>
                          </m:sub>
                        </m:sSub>
                        <m:r>
                          <w:rPr>
                            <w:rFonts w:ascii="Cambria Math" w:hAnsi="Cambria Math"/>
                          </w:rPr>
                          <m:t>,</m:t>
                        </m:r>
                        <m:r>
                          <w:rPr>
                            <w:rFonts w:ascii="Cambria Math" w:hAnsi="Cambria Math"/>
                            <w:i/>
                          </w:rPr>
                          <m:t> </m:t>
                        </m:r>
                        <m:r>
                          <w:rPr>
                            <w:rFonts w:ascii="Cambria Math" w:hAnsi="Cambria Math"/>
                          </w:rPr>
                          <m:t>u</m:t>
                        </m:r>
                        <m:r>
                          <w:rPr>
                            <w:rFonts w:ascii="Cambria Math" w:hAnsi="Cambria Math"/>
                          </w:rPr>
                          <m:t>∈</m:t>
                        </m:r>
                        <m:r>
                          <w:rPr>
                            <w:rFonts w:ascii="Cambria Math" w:hAnsi="Cambria Math"/>
                          </w:rPr>
                          <m:t>J</m:t>
                        </m:r>
                      </m:e>
                      <m:e>
                        <m:sSub>
                          <m:sSubPr>
                            <m:ctrlPr>
                              <w:rPr>
                                <w:rFonts w:ascii="Cambria Math" w:hAnsi="Cambria Math"/>
                              </w:rPr>
                            </m:ctrlPr>
                          </m:sSubPr>
                          <m:e>
                            <m:r>
                              <w:rPr>
                                <w:rFonts w:ascii="Cambria Math" w:hAnsi="Cambria Math"/>
                              </w:rPr>
                              <m:t>X</m:t>
                            </m:r>
                          </m:e>
                          <m:sub>
                            <m:r>
                              <w:rPr>
                                <w:rFonts w:ascii="Cambria Math" w:hAnsi="Cambria Math"/>
                              </w:rPr>
                              <m:t>rkt</m:t>
                            </m:r>
                          </m:sub>
                        </m:sSub>
                        <m:r>
                          <w:rPr>
                            <w:rFonts w:ascii="Cambria Math" w:hAnsi="Cambria Math"/>
                          </w:rPr>
                          <m:t>,</m:t>
                        </m:r>
                        <m:r>
                          <w:rPr>
                            <w:rFonts w:ascii="Cambria Math" w:hAnsi="Cambria Math"/>
                            <w:i/>
                          </w:rPr>
                          <m:t> </m:t>
                        </m:r>
                        <m:r>
                          <w:rPr>
                            <w:rFonts w:ascii="Cambria Math" w:hAnsi="Cambria Math"/>
                          </w:rPr>
                          <m:t>u</m:t>
                        </m:r>
                        <m:r>
                          <w:rPr>
                            <w:rFonts w:ascii="Cambria Math" w:hAnsi="Cambria Math"/>
                          </w:rPr>
                          <m:t>∈</m:t>
                        </m:r>
                        <m:r>
                          <w:rPr>
                            <w:rFonts w:ascii="Cambria Math" w:hAnsi="Cambria Math"/>
                          </w:rPr>
                          <m:t>K</m:t>
                        </m:r>
                      </m:e>
                    </m:eqArr>
                  </m:e>
                </m:d>
              </m:oMath>
            </m:oMathPara>
          </w:p>
        </w:tc>
        <w:tc>
          <w:tcPr>
            <w:tcW w:w="710" w:type="dxa"/>
            <w:tcBorders>
              <w:top w:val="nil"/>
              <w:left w:val="nil"/>
              <w:bottom w:val="nil"/>
              <w:right w:val="nil"/>
            </w:tcBorders>
            <w:vAlign w:val="center"/>
          </w:tcPr>
          <w:p w14:paraId="334DE3DF" w14:textId="77777777" w:rsidR="00172691" w:rsidRPr="00F034CB" w:rsidRDefault="00172691" w:rsidP="005B5BFB">
            <w:pPr>
              <w:spacing w:before="156" w:after="163"/>
              <w:ind w:firstLineChars="0" w:firstLine="0"/>
              <w:jc w:val="right"/>
              <w:rPr>
                <w:rFonts w:ascii="Arial" w:eastAsia="DengXian" w:hAnsi="Arial" w:cs="Arial"/>
                <w:color w:val="000000" w:themeColor="text1"/>
                <w:szCs w:val="21"/>
              </w:rPr>
            </w:pPr>
            <w:r w:rsidRPr="00F034CB">
              <w:rPr>
                <w:rFonts w:ascii="Arial" w:eastAsia="宋体" w:hAnsi="Arial" w:cs="Arial"/>
                <w:szCs w:val="21"/>
              </w:rPr>
              <w:t>(</w:t>
            </w:r>
            <w:r w:rsidRPr="00F034CB">
              <w:rPr>
                <w:rFonts w:ascii="Arial" w:hAnsi="Arial" w:cs="Arial"/>
              </w:rPr>
              <w:fldChar w:fldCharType="begin"/>
            </w:r>
            <w:r w:rsidRPr="00F034CB">
              <w:rPr>
                <w:rFonts w:ascii="Arial" w:eastAsia="宋体" w:hAnsi="Arial" w:cs="Arial"/>
                <w:szCs w:val="21"/>
              </w:rPr>
              <w:instrText>LISTNUM  NumberDefault \l 0</w:instrText>
            </w:r>
            <w:r w:rsidRPr="00F034CB">
              <w:rPr>
                <w:rFonts w:ascii="Arial" w:eastAsia="宋体" w:hAnsi="Arial" w:cs="Arial"/>
                <w:szCs w:val="21"/>
              </w:rPr>
              <w:fldChar w:fldCharType="separate"/>
            </w:r>
            <w:r w:rsidRPr="00F034CB">
              <w:rPr>
                <w:rFonts w:ascii="Arial" w:eastAsia="宋体" w:hAnsi="Arial" w:cs="Arial"/>
                <w:szCs w:val="21"/>
              </w:rPr>
              <w:fldChar w:fldCharType="end"/>
            </w:r>
          </w:p>
        </w:tc>
      </w:tr>
    </w:tbl>
    <w:p w14:paraId="555943D6" w14:textId="77777777" w:rsidR="00FD5C30" w:rsidRDefault="0006279B">
      <w:pPr>
        <w:ind w:firstLine="420"/>
        <w:rPr>
          <w:rFonts w:eastAsia="DengXian"/>
          <w:color w:val="000000" w:themeColor="text1"/>
        </w:rPr>
      </w:pPr>
      <w:r>
        <w:rPr>
          <w:rFonts w:eastAsia="DengXian"/>
          <w:color w:val="000000" w:themeColor="text1"/>
        </w:rPr>
        <w:t xml:space="preserve">The composition of each cell in the following year is recovered from these transitions through a node balance. For every land use, the proportion in year </w:t>
      </w:r>
      <w:r>
        <w:rPr>
          <w:rFonts w:eastAsia="DengXian"/>
          <w:i/>
          <w:iCs/>
          <w:color w:val="000000" w:themeColor="text1"/>
        </w:rPr>
        <w:t>t</w:t>
      </w:r>
      <w:r>
        <w:rPr>
          <w:rFonts w:eastAsia="DengXian"/>
          <w:color w:val="000000" w:themeColor="text1"/>
        </w:rPr>
        <w:t xml:space="preserve">+1 equals its proportion in year </w:t>
      </w:r>
      <w:r>
        <w:rPr>
          <w:rFonts w:eastAsia="DengXian"/>
          <w:i/>
          <w:iCs/>
          <w:color w:val="000000" w:themeColor="text1"/>
        </w:rPr>
        <w:t>t</w:t>
      </w:r>
      <w:r>
        <w:rPr>
          <w:rFonts w:eastAsia="DengXian"/>
          <w:color w:val="000000" w:themeColor="text1"/>
        </w:rPr>
        <w:t xml:space="preserve"> plus the proportions converting into it minus the proportions converting out of it, so that a state in which no land moves corresponds to all transitions being zero. The node balance is written as:</w:t>
      </w:r>
    </w:p>
    <w:tbl>
      <w:tblPr>
        <w:tblStyle w:val="TableGrid1"/>
        <w:tblW w:w="8370" w:type="dxa"/>
        <w:tblLayout w:type="fixed"/>
        <w:tblLook w:val="04A0" w:firstRow="1" w:lastRow="0" w:firstColumn="1" w:lastColumn="0" w:noHBand="0" w:noVBand="1"/>
      </w:tblPr>
      <w:tblGrid>
        <w:gridCol w:w="7660"/>
        <w:gridCol w:w="710"/>
      </w:tblGrid>
      <w:tr w:rsidR="00172691" w14:paraId="2417FE53" w14:textId="77777777" w:rsidTr="005B5BFB">
        <w:trPr>
          <w:cantSplit/>
          <w:trHeight w:val="300"/>
        </w:trPr>
        <w:tc>
          <w:tcPr>
            <w:tcW w:w="7660" w:type="dxa"/>
            <w:tcBorders>
              <w:top w:val="nil"/>
              <w:left w:val="nil"/>
              <w:bottom w:val="nil"/>
              <w:right w:val="nil"/>
            </w:tcBorders>
          </w:tcPr>
          <w:p w14:paraId="21C204FC" w14:textId="77777777" w:rsidR="00172691" w:rsidRDefault="0066677A" w:rsidP="005B5BFB">
            <w:pPr>
              <w:spacing w:after="163"/>
              <w:ind w:firstLineChars="0" w:firstLine="0"/>
              <w:jc w:val="center"/>
              <w:rPr>
                <w:rFonts w:eastAsia="DengXian"/>
                <w:color w:val="000000" w:themeColor="text1"/>
                <w:szCs w:val="21"/>
              </w:rPr>
            </w:pPr>
            <m:oMathPara>
              <m:oMathParaPr>
                <m:jc m:val="center"/>
              </m:oMathParaPr>
              <m:oMath>
                <m:sSub>
                  <m:sSubPr>
                    <m:ctrlPr>
                      <w:rPr>
                        <w:rFonts w:ascii="Cambria Math" w:hAnsi="Cambria Math"/>
                      </w:rPr>
                    </m:ctrlPr>
                  </m:sSubPr>
                  <m:e>
                    <m:r>
                      <w:rPr>
                        <w:rFonts w:ascii="Cambria Math" w:hAnsi="Cambria Math"/>
                      </w:rPr>
                      <m:t>X</m:t>
                    </m:r>
                  </m:e>
                  <m:sub>
                    <m:r>
                      <w:rPr>
                        <w:rFonts w:ascii="Cambria Math" w:hAnsi="Cambria Math"/>
                      </w:rPr>
                      <m:t>ru</m:t>
                    </m:r>
                    <m:r>
                      <w:rPr>
                        <w:rFonts w:ascii="Cambria Math" w:hAnsi="Cambria Math"/>
                      </w:rPr>
                      <m:t>(</m:t>
                    </m:r>
                    <m:r>
                      <w:rPr>
                        <w:rFonts w:ascii="Cambria Math" w:hAnsi="Cambria Math"/>
                      </w:rPr>
                      <m:t>t</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rut</m:t>
                    </m:r>
                  </m:sub>
                </m:sSub>
                <m:r>
                  <w:rPr>
                    <w:rFonts w:ascii="Cambria Math" w:hAnsi="Cambria Math"/>
                  </w:rPr>
                  <m:t>+</m:t>
                </m:r>
                <m:nary>
                  <m:naryPr>
                    <m:chr m:val="∑"/>
                    <m:supHide m:val="1"/>
                    <m:ctrlPr>
                      <w:rPr>
                        <w:rFonts w:ascii="Cambria Math" w:hAnsi="Cambria Math"/>
                      </w:rPr>
                    </m:ctrlPr>
                  </m:naryPr>
                  <m:sub>
                    <m:r>
                      <w:rPr>
                        <w:rFonts w:ascii="Cambria Math" w:hAnsi="Cambria Math"/>
                      </w:rPr>
                      <m:t>u</m:t>
                    </m:r>
                    <m:r>
                      <w:rPr>
                        <w:rFonts w:ascii="Cambria Math" w:hAnsi="Cambria Math"/>
                      </w:rPr>
                      <m:t>'</m:t>
                    </m:r>
                  </m:sub>
                  <m:sup/>
                  <m:e>
                    <m:sSub>
                      <m:sSubPr>
                        <m:ctrlPr>
                          <w:rPr>
                            <w:rFonts w:ascii="Cambria Math" w:hAnsi="Cambria Math"/>
                          </w:rPr>
                        </m:ctrlPr>
                      </m:sSubPr>
                      <m:e>
                        <m:r>
                          <w:rPr>
                            <w:rFonts w:ascii="Cambria Math" w:hAnsi="Cambria Math"/>
                          </w:rPr>
                          <m:t>X</m:t>
                        </m:r>
                      </m:e>
                      <m:sub>
                        <m:r>
                          <w:rPr>
                            <w:rFonts w:ascii="Cambria Math" w:hAnsi="Cambria Math"/>
                          </w:rPr>
                          <m:t>rt</m:t>
                        </m:r>
                        <m:r>
                          <w:rPr>
                            <w:rFonts w:ascii="Cambria Math" w:hAnsi="Cambria Math"/>
                          </w:rPr>
                          <m:t>(</m:t>
                        </m:r>
                        <m:r>
                          <w:rPr>
                            <w:rFonts w:ascii="Cambria Math" w:hAnsi="Cambria Math"/>
                          </w:rPr>
                          <m:t>u</m:t>
                        </m:r>
                        <m:r>
                          <w:rPr>
                            <w:rFonts w:ascii="Cambria Math" w:hAnsi="Cambria Math"/>
                          </w:rPr>
                          <m:t>'→</m:t>
                        </m:r>
                        <m:r>
                          <w:rPr>
                            <w:rFonts w:ascii="Cambria Math" w:hAnsi="Cambria Math"/>
                          </w:rPr>
                          <m:t>u</m:t>
                        </m:r>
                        <m:r>
                          <w:rPr>
                            <w:rFonts w:ascii="Cambria Math" w:hAnsi="Cambria Math"/>
                          </w:rPr>
                          <m:t>)</m:t>
                        </m:r>
                      </m:sub>
                    </m:sSub>
                  </m:e>
                </m:nary>
                <m:r>
                  <w:rPr>
                    <w:rFonts w:ascii="Cambria Math" w:hAnsi="Cambria Math"/>
                  </w:rPr>
                  <m:t>-</m:t>
                </m:r>
                <m:nary>
                  <m:naryPr>
                    <m:chr m:val="∑"/>
                    <m:supHide m:val="1"/>
                    <m:ctrlPr>
                      <w:rPr>
                        <w:rFonts w:ascii="Cambria Math" w:hAnsi="Cambria Math"/>
                      </w:rPr>
                    </m:ctrlPr>
                  </m:naryPr>
                  <m:sub>
                    <m:r>
                      <w:rPr>
                        <w:rFonts w:ascii="Cambria Math" w:hAnsi="Cambria Math"/>
                      </w:rPr>
                      <m:t>u</m:t>
                    </m:r>
                    <m:r>
                      <w:rPr>
                        <w:rFonts w:ascii="Cambria Math" w:hAnsi="Cambria Math"/>
                      </w:rPr>
                      <m:t>'</m:t>
                    </m:r>
                  </m:sub>
                  <m:sup/>
                  <m:e>
                    <m:sSub>
                      <m:sSubPr>
                        <m:ctrlPr>
                          <w:rPr>
                            <w:rFonts w:ascii="Cambria Math" w:hAnsi="Cambria Math"/>
                          </w:rPr>
                        </m:ctrlPr>
                      </m:sSubPr>
                      <m:e>
                        <m:r>
                          <w:rPr>
                            <w:rFonts w:ascii="Cambria Math" w:hAnsi="Cambria Math"/>
                          </w:rPr>
                          <m:t>X</m:t>
                        </m:r>
                      </m:e>
                      <m:sub>
                        <m:r>
                          <w:rPr>
                            <w:rFonts w:ascii="Cambria Math" w:hAnsi="Cambria Math"/>
                          </w:rPr>
                          <m:t>rt</m:t>
                        </m:r>
                        <m:r>
                          <w:rPr>
                            <w:rFonts w:ascii="Cambria Math" w:hAnsi="Cambria Math"/>
                          </w:rPr>
                          <m:t>(</m:t>
                        </m:r>
                        <m:r>
                          <w:rPr>
                            <w:rFonts w:ascii="Cambria Math" w:hAnsi="Cambria Math"/>
                          </w:rPr>
                          <m:t>u</m:t>
                        </m:r>
                        <m:r>
                          <w:rPr>
                            <w:rFonts w:ascii="Cambria Math" w:hAnsi="Cambria Math"/>
                          </w:rPr>
                          <m:t>→</m:t>
                        </m:r>
                        <m:r>
                          <w:rPr>
                            <w:rFonts w:ascii="Cambria Math" w:hAnsi="Cambria Math"/>
                          </w:rPr>
                          <m:t>u</m:t>
                        </m:r>
                        <m:r>
                          <w:rPr>
                            <w:rFonts w:ascii="Cambria Math" w:hAnsi="Cambria Math"/>
                          </w:rPr>
                          <m:t>')</m:t>
                        </m:r>
                      </m:sub>
                    </m:sSub>
                  </m:e>
                </m:nary>
              </m:oMath>
            </m:oMathPara>
          </w:p>
        </w:tc>
        <w:tc>
          <w:tcPr>
            <w:tcW w:w="710" w:type="dxa"/>
            <w:tcBorders>
              <w:top w:val="nil"/>
              <w:left w:val="nil"/>
              <w:bottom w:val="nil"/>
              <w:right w:val="nil"/>
            </w:tcBorders>
            <w:vAlign w:val="center"/>
          </w:tcPr>
          <w:p w14:paraId="6AC86001" w14:textId="77777777" w:rsidR="00172691" w:rsidRPr="00F034CB" w:rsidRDefault="00172691" w:rsidP="005B5BFB">
            <w:pPr>
              <w:spacing w:before="156" w:after="163"/>
              <w:ind w:firstLineChars="0" w:firstLine="0"/>
              <w:jc w:val="right"/>
              <w:rPr>
                <w:rFonts w:ascii="Arial" w:eastAsia="DengXian" w:hAnsi="Arial" w:cs="Arial"/>
                <w:color w:val="000000" w:themeColor="text1"/>
                <w:szCs w:val="21"/>
              </w:rPr>
            </w:pPr>
            <w:r w:rsidRPr="00F034CB">
              <w:rPr>
                <w:rFonts w:ascii="Arial" w:eastAsia="宋体" w:hAnsi="Arial" w:cs="Arial"/>
                <w:szCs w:val="21"/>
              </w:rPr>
              <w:t>(</w:t>
            </w:r>
            <w:r w:rsidRPr="00F034CB">
              <w:rPr>
                <w:rFonts w:ascii="Arial" w:hAnsi="Arial" w:cs="Arial"/>
              </w:rPr>
              <w:fldChar w:fldCharType="begin"/>
            </w:r>
            <w:r w:rsidRPr="00F034CB">
              <w:rPr>
                <w:rFonts w:ascii="Arial" w:eastAsia="宋体" w:hAnsi="Arial" w:cs="Arial"/>
                <w:szCs w:val="21"/>
              </w:rPr>
              <w:instrText>LISTNUM  NumberDefault \l 0</w:instrText>
            </w:r>
            <w:r w:rsidRPr="00F034CB">
              <w:rPr>
                <w:rFonts w:ascii="Arial" w:eastAsia="宋体" w:hAnsi="Arial" w:cs="Arial"/>
                <w:szCs w:val="21"/>
              </w:rPr>
              <w:fldChar w:fldCharType="separate"/>
            </w:r>
            <w:r w:rsidRPr="00F034CB">
              <w:rPr>
                <w:rFonts w:ascii="Arial" w:eastAsia="宋体" w:hAnsi="Arial" w:cs="Arial"/>
                <w:szCs w:val="21"/>
              </w:rPr>
              <w:fldChar w:fldCharType="end"/>
            </w:r>
          </w:p>
        </w:tc>
      </w:tr>
    </w:tbl>
    <w:p w14:paraId="478488A6" w14:textId="7DD42371" w:rsidR="002D7335" w:rsidRPr="00BF6773" w:rsidRDefault="00FF2621" w:rsidP="00BF6773">
      <w:pPr>
        <w:ind w:firstLine="420"/>
        <w:rPr>
          <w:rFonts w:eastAsia="DengXian"/>
          <w:color w:val="000000" w:themeColor="text1"/>
        </w:rPr>
      </w:pPr>
      <w:r>
        <w:rPr>
          <w:rFonts w:eastAsia="DengXian"/>
          <w:color w:val="000000" w:themeColor="text1"/>
        </w:rPr>
        <w:t xml:space="preserve">Because land can be released only once it is held, the proportion that a land use transfers to all other uses during year </w:t>
      </w:r>
      <w:r w:rsidRPr="00BF6773">
        <w:rPr>
          <w:rFonts w:eastAsia="DengXian"/>
          <w:color w:val="000000" w:themeColor="text1"/>
        </w:rPr>
        <w:t>t</w:t>
      </w:r>
      <w:r>
        <w:rPr>
          <w:rFonts w:eastAsia="DengXian"/>
          <w:color w:val="000000" w:themeColor="text1"/>
        </w:rPr>
        <w:t xml:space="preserve"> cannot exceed the proportion it occupies in year </w:t>
      </w:r>
      <w:r w:rsidRPr="00BF6773">
        <w:rPr>
          <w:rFonts w:eastAsia="DengXian"/>
          <w:color w:val="000000" w:themeColor="text1"/>
        </w:rPr>
        <w:t>t</w:t>
      </w:r>
      <w:r>
        <w:rPr>
          <w:rFonts w:eastAsia="DengXian"/>
          <w:color w:val="000000" w:themeColor="text1"/>
        </w:rPr>
        <w:t>. The source-release limit is written as:</w:t>
      </w:r>
    </w:p>
    <w:tbl>
      <w:tblPr>
        <w:tblStyle w:val="TableGrid1"/>
        <w:tblW w:w="8370" w:type="dxa"/>
        <w:tblLayout w:type="fixed"/>
        <w:tblLook w:val="04A0" w:firstRow="1" w:lastRow="0" w:firstColumn="1" w:lastColumn="0" w:noHBand="0" w:noVBand="1"/>
      </w:tblPr>
      <w:tblGrid>
        <w:gridCol w:w="7660"/>
        <w:gridCol w:w="710"/>
      </w:tblGrid>
      <w:tr w:rsidR="00172691" w14:paraId="6AB24E1F" w14:textId="77777777" w:rsidTr="005B5BFB">
        <w:trPr>
          <w:cantSplit/>
          <w:trHeight w:val="300"/>
        </w:trPr>
        <w:tc>
          <w:tcPr>
            <w:tcW w:w="7660" w:type="dxa"/>
            <w:tcBorders>
              <w:top w:val="nil"/>
              <w:left w:val="nil"/>
              <w:bottom w:val="nil"/>
              <w:right w:val="nil"/>
            </w:tcBorders>
          </w:tcPr>
          <w:p w14:paraId="427B219F" w14:textId="77777777" w:rsidR="00172691" w:rsidRDefault="0066677A" w:rsidP="005B5BFB">
            <w:pPr>
              <w:spacing w:after="163"/>
              <w:ind w:firstLineChars="0" w:firstLine="0"/>
              <w:jc w:val="center"/>
              <w:rPr>
                <w:rFonts w:eastAsia="DengXian"/>
                <w:color w:val="000000" w:themeColor="text1"/>
                <w:szCs w:val="21"/>
              </w:rPr>
            </w:pPr>
            <m:oMathPara>
              <m:oMathParaPr>
                <m:jc m:val="center"/>
              </m:oMathParaPr>
              <m:oMath>
                <m:nary>
                  <m:naryPr>
                    <m:chr m:val="∑"/>
                    <m:supHide m:val="1"/>
                    <m:ctrlPr>
                      <w:rPr>
                        <w:rFonts w:ascii="Cambria Math" w:hAnsi="Cambria Math"/>
                      </w:rPr>
                    </m:ctrlPr>
                  </m:naryPr>
                  <m:sub>
                    <m:r>
                      <w:rPr>
                        <w:rFonts w:ascii="Cambria Math" w:hAnsi="Cambria Math"/>
                      </w:rPr>
                      <m:t>u</m:t>
                    </m:r>
                    <m:r>
                      <w:rPr>
                        <w:rFonts w:ascii="Cambria Math" w:hAnsi="Cambria Math"/>
                      </w:rPr>
                      <m:t>'</m:t>
                    </m:r>
                  </m:sub>
                  <m:sup/>
                  <m:e>
                    <m:sSub>
                      <m:sSubPr>
                        <m:ctrlPr>
                          <w:rPr>
                            <w:rFonts w:ascii="Cambria Math" w:hAnsi="Cambria Math"/>
                          </w:rPr>
                        </m:ctrlPr>
                      </m:sSubPr>
                      <m:e>
                        <m:r>
                          <w:rPr>
                            <w:rFonts w:ascii="Cambria Math" w:hAnsi="Cambria Math"/>
                          </w:rPr>
                          <m:t>X</m:t>
                        </m:r>
                      </m:e>
                      <m:sub>
                        <m:r>
                          <w:rPr>
                            <w:rFonts w:ascii="Cambria Math" w:hAnsi="Cambria Math"/>
                          </w:rPr>
                          <m:t>rt</m:t>
                        </m:r>
                        <m:r>
                          <w:rPr>
                            <w:rFonts w:ascii="Cambria Math" w:hAnsi="Cambria Math"/>
                          </w:rPr>
                          <m:t>(</m:t>
                        </m:r>
                        <m:r>
                          <w:rPr>
                            <w:rFonts w:ascii="Cambria Math" w:hAnsi="Cambria Math"/>
                          </w:rPr>
                          <m:t>u</m:t>
                        </m:r>
                        <m:r>
                          <w:rPr>
                            <w:rFonts w:ascii="Cambria Math" w:hAnsi="Cambria Math"/>
                          </w:rPr>
                          <m:t>→</m:t>
                        </m:r>
                        <m:r>
                          <w:rPr>
                            <w:rFonts w:ascii="Cambria Math" w:hAnsi="Cambria Math"/>
                          </w:rPr>
                          <m:t>u</m:t>
                        </m:r>
                        <m:r>
                          <w:rPr>
                            <w:rFonts w:ascii="Cambria Math" w:hAnsi="Cambria Math"/>
                          </w:rPr>
                          <m:t>')</m:t>
                        </m:r>
                      </m:sub>
                    </m:sSub>
                  </m:e>
                </m:nary>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rut</m:t>
                    </m:r>
                  </m:sub>
                </m:sSub>
              </m:oMath>
            </m:oMathPara>
          </w:p>
        </w:tc>
        <w:tc>
          <w:tcPr>
            <w:tcW w:w="710" w:type="dxa"/>
            <w:tcBorders>
              <w:top w:val="nil"/>
              <w:left w:val="nil"/>
              <w:bottom w:val="nil"/>
              <w:right w:val="nil"/>
            </w:tcBorders>
            <w:vAlign w:val="center"/>
          </w:tcPr>
          <w:p w14:paraId="58BD2146" w14:textId="77777777" w:rsidR="00172691" w:rsidRPr="00F034CB" w:rsidRDefault="00172691" w:rsidP="005B5BFB">
            <w:pPr>
              <w:spacing w:before="156" w:after="163"/>
              <w:ind w:firstLineChars="0" w:firstLine="0"/>
              <w:jc w:val="right"/>
              <w:rPr>
                <w:rFonts w:ascii="Arial" w:eastAsia="DengXian" w:hAnsi="Arial" w:cs="Arial"/>
                <w:color w:val="000000" w:themeColor="text1"/>
                <w:szCs w:val="21"/>
              </w:rPr>
            </w:pPr>
            <w:r w:rsidRPr="00F034CB">
              <w:rPr>
                <w:rFonts w:ascii="Arial" w:eastAsia="宋体" w:hAnsi="Arial" w:cs="Arial"/>
                <w:szCs w:val="21"/>
              </w:rPr>
              <w:t>(</w:t>
            </w:r>
            <w:r w:rsidRPr="00F034CB">
              <w:rPr>
                <w:rFonts w:ascii="Arial" w:hAnsi="Arial" w:cs="Arial"/>
              </w:rPr>
              <w:fldChar w:fldCharType="begin"/>
            </w:r>
            <w:r w:rsidRPr="00F034CB">
              <w:rPr>
                <w:rFonts w:ascii="Arial" w:eastAsia="宋体" w:hAnsi="Arial" w:cs="Arial"/>
                <w:szCs w:val="21"/>
              </w:rPr>
              <w:instrText>LISTNUM  NumberDefault \l 0</w:instrText>
            </w:r>
            <w:r w:rsidRPr="00F034CB">
              <w:rPr>
                <w:rFonts w:ascii="Arial" w:eastAsia="宋体" w:hAnsi="Arial" w:cs="Arial"/>
                <w:szCs w:val="21"/>
              </w:rPr>
              <w:fldChar w:fldCharType="separate"/>
            </w:r>
            <w:r w:rsidRPr="00F034CB">
              <w:rPr>
                <w:rFonts w:ascii="Arial" w:eastAsia="宋体" w:hAnsi="Arial" w:cs="Arial"/>
                <w:szCs w:val="21"/>
              </w:rPr>
              <w:fldChar w:fldCharType="end"/>
            </w:r>
          </w:p>
        </w:tc>
      </w:tr>
    </w:tbl>
    <w:p w14:paraId="556BF758" w14:textId="780C1747" w:rsidR="002D7335" w:rsidRDefault="00FF2621">
      <w:pPr>
        <w:ind w:firstLine="420"/>
        <w:rPr>
          <w:rFonts w:eastAsia="DengXian"/>
        </w:rPr>
      </w:pPr>
      <w:r>
        <w:rPr>
          <w:rFonts w:eastAsia="DengXian"/>
          <w:color w:val="000000" w:themeColor="text1"/>
        </w:rPr>
        <w:t xml:space="preserve">The source-release limit prevents a land use from transferring more land than it holds and rules out land that has just been received from being transferred again within the same year. The total proportion allocated within each cell is also conserved. The agricultural and non-agricultural proportions of a cell sum to its initial land-use proportion </w:t>
      </w:r>
      <w:r>
        <w:rPr>
          <w:rFonts w:eastAsia="DengXian"/>
          <w:i/>
          <w:iCs/>
          <w:color w:val="000000" w:themeColor="text1"/>
        </w:rPr>
        <w:t>a</w:t>
      </w:r>
      <w:r>
        <w:rPr>
          <w:rFonts w:eastAsia="DengXian"/>
          <w:i/>
          <w:iCs/>
          <w:color w:val="000000" w:themeColor="text1"/>
          <w:vertAlign w:val="subscript"/>
        </w:rPr>
        <w:t>r</w:t>
      </w:r>
      <w:r>
        <w:rPr>
          <w:rFonts w:eastAsia="DengXian"/>
          <w:color w:val="000000" w:themeColor="text1"/>
        </w:rPr>
        <w:t>, because a cell may be only partly available for land-use change under the spatial resampling. This conservation constraint is written as:</w:t>
      </w:r>
    </w:p>
    <w:tbl>
      <w:tblPr>
        <w:tblStyle w:val="TableGrid1"/>
        <w:tblW w:w="8220" w:type="dxa"/>
        <w:tblLayout w:type="fixed"/>
        <w:tblLook w:val="04A0" w:firstRow="1" w:lastRow="0" w:firstColumn="1" w:lastColumn="0" w:noHBand="0" w:noVBand="1"/>
      </w:tblPr>
      <w:tblGrid>
        <w:gridCol w:w="7652"/>
        <w:gridCol w:w="568"/>
      </w:tblGrid>
      <w:tr w:rsidR="002A1696" w14:paraId="04085440" w14:textId="77777777">
        <w:trPr>
          <w:cantSplit/>
          <w:trHeight w:val="300"/>
        </w:trPr>
        <w:tc>
          <w:tcPr>
            <w:tcW w:w="7652" w:type="dxa"/>
            <w:tcBorders>
              <w:top w:val="nil"/>
              <w:left w:val="nil"/>
              <w:bottom w:val="nil"/>
              <w:right w:val="nil"/>
            </w:tcBorders>
          </w:tcPr>
          <w:p w14:paraId="0408543E" w14:textId="18ECE3B0" w:rsidR="002A1696" w:rsidRDefault="0066677A">
            <w:pPr>
              <w:spacing w:after="156" w:line="360" w:lineRule="auto"/>
              <w:ind w:firstLine="420"/>
              <w:jc w:val="center"/>
              <w:rPr>
                <w:rFonts w:eastAsia="DengXian"/>
                <w:color w:val="000000" w:themeColor="text1"/>
                <w:szCs w:val="21"/>
              </w:rPr>
            </w:pPr>
            <m:oMathPara>
              <m:oMathParaPr>
                <m:jc m:val="center"/>
              </m:oMathParaPr>
              <m:oMath>
                <m:nary>
                  <m:naryPr>
                    <m:chr m:val="∑"/>
                    <m:supHide m:val="1"/>
                    <m:ctrlPr>
                      <w:rPr>
                        <w:rFonts w:ascii="Cambria Math" w:hAnsi="Cambria Math"/>
                      </w:rPr>
                    </m:ctrlPr>
                  </m:naryPr>
                  <m:sub>
                    <m:r>
                      <w:rPr>
                        <w:rFonts w:ascii="Cambria Math" w:hAnsi="Cambria Math"/>
                      </w:rPr>
                      <m:t>j</m:t>
                    </m:r>
                    <m:r>
                      <w:rPr>
                        <w:rFonts w:ascii="Cambria Math" w:hAnsi="Cambria Math"/>
                      </w:rPr>
                      <m:t>∈</m:t>
                    </m:r>
                    <m:r>
                      <w:rPr>
                        <w:rFonts w:ascii="Cambria Math" w:hAnsi="Cambria Math"/>
                      </w:rPr>
                      <m:t>J</m:t>
                    </m:r>
                  </m:sub>
                  <m:sup/>
                  <m:e>
                    <m:sSub>
                      <m:sSubPr>
                        <m:ctrlPr>
                          <w:rPr>
                            <w:rFonts w:ascii="Cambria Math" w:hAnsi="Cambria Math"/>
                          </w:rPr>
                        </m:ctrlPr>
                      </m:sSubPr>
                      <m:e>
                        <m:r>
                          <w:rPr>
                            <w:rFonts w:ascii="Cambria Math" w:hAnsi="Cambria Math"/>
                          </w:rPr>
                          <m:t>X</m:t>
                        </m:r>
                      </m:e>
                      <m:sub>
                        <m:r>
                          <w:rPr>
                            <w:rFonts w:ascii="Cambria Math" w:hAnsi="Cambria Math"/>
                          </w:rPr>
                          <m:t>rjt</m:t>
                        </m:r>
                      </m:sub>
                    </m:sSub>
                  </m:e>
                </m:nary>
                <m:r>
                  <w:rPr>
                    <w:rFonts w:ascii="Cambria Math" w:hAnsi="Cambria Math"/>
                  </w:rPr>
                  <m:t>+</m:t>
                </m:r>
                <m:nary>
                  <m:naryPr>
                    <m:chr m:val="∑"/>
                    <m:supHide m:val="1"/>
                    <m:ctrlPr>
                      <w:rPr>
                        <w:rFonts w:ascii="Cambria Math" w:hAnsi="Cambria Math"/>
                      </w:rPr>
                    </m:ctrlPr>
                  </m:naryPr>
                  <m:sub>
                    <m:r>
                      <w:rPr>
                        <w:rFonts w:ascii="Cambria Math" w:hAnsi="Cambria Math"/>
                      </w:rPr>
                      <m:t>k</m:t>
                    </m:r>
                    <m:r>
                      <w:rPr>
                        <w:rFonts w:ascii="Cambria Math" w:hAnsi="Cambria Math"/>
                      </w:rPr>
                      <m:t>∈</m:t>
                    </m:r>
                    <m:r>
                      <w:rPr>
                        <w:rFonts w:ascii="Cambria Math" w:hAnsi="Cambria Math"/>
                      </w:rPr>
                      <m:t>K</m:t>
                    </m:r>
                  </m:sub>
                  <m:sup/>
                  <m:e>
                    <m:sSub>
                      <m:sSubPr>
                        <m:ctrlPr>
                          <w:rPr>
                            <w:rFonts w:ascii="Cambria Math" w:hAnsi="Cambria Math"/>
                          </w:rPr>
                        </m:ctrlPr>
                      </m:sSubPr>
                      <m:e>
                        <m:r>
                          <w:rPr>
                            <w:rFonts w:ascii="Cambria Math" w:hAnsi="Cambria Math"/>
                          </w:rPr>
                          <m:t>X</m:t>
                        </m:r>
                      </m:e>
                      <m:sub>
                        <m:r>
                          <w:rPr>
                            <w:rFonts w:ascii="Cambria Math" w:hAnsi="Cambria Math"/>
                          </w:rPr>
                          <m:t>rkt</m:t>
                        </m:r>
                      </m:sub>
                    </m:sSub>
                  </m:e>
                </m:nary>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r</m:t>
                    </m:r>
                  </m:sub>
                </m:sSub>
              </m:oMath>
            </m:oMathPara>
          </w:p>
        </w:tc>
        <w:tc>
          <w:tcPr>
            <w:tcW w:w="568" w:type="dxa"/>
            <w:tcBorders>
              <w:top w:val="nil"/>
              <w:left w:val="nil"/>
              <w:bottom w:val="nil"/>
              <w:right w:val="nil"/>
            </w:tcBorders>
            <w:vAlign w:val="center"/>
          </w:tcPr>
          <w:p w14:paraId="0408543F" w14:textId="77777777" w:rsidR="002A1696" w:rsidRDefault="00C30874">
            <w:pPr>
              <w:spacing w:before="156" w:after="163"/>
              <w:ind w:firstLineChars="0" w:firstLine="0"/>
              <w:jc w:val="right"/>
              <w:rPr>
                <w:rFonts w:eastAsia="DengXian"/>
                <w:color w:val="000000" w:themeColor="text1"/>
                <w:szCs w:val="21"/>
              </w:rPr>
            </w:pPr>
            <w:r>
              <w:rPr>
                <w:rFonts w:ascii="Arial" w:hAnsi="Arial" w:cs="Arial"/>
                <w:szCs w:val="21"/>
              </w:rPr>
              <w:t>(</w:t>
            </w:r>
            <w:r>
              <w:rPr>
                <w:rFonts w:ascii="Arial" w:hAnsi="Arial" w:cs="Arial"/>
              </w:rPr>
              <w:fldChar w:fldCharType="begin"/>
            </w:r>
            <w:r>
              <w:rPr>
                <w:rFonts w:ascii="Arial" w:hAnsi="Arial" w:cs="Arial"/>
                <w:szCs w:val="21"/>
              </w:rPr>
              <w:instrText>LISTNUM  NumberDefault \l 0</w:instrText>
            </w:r>
            <w:r>
              <w:rPr>
                <w:rFonts w:ascii="Arial" w:hAnsi="Arial" w:cs="Arial"/>
                <w:szCs w:val="21"/>
              </w:rPr>
              <w:fldChar w:fldCharType="separate"/>
            </w:r>
            <w:r>
              <w:rPr>
                <w:rFonts w:ascii="Arial" w:hAnsi="Arial" w:cs="Arial"/>
                <w:szCs w:val="21"/>
              </w:rPr>
              <w:fldChar w:fldCharType="end"/>
            </w:r>
          </w:p>
        </w:tc>
      </w:tr>
    </w:tbl>
    <w:p w14:paraId="04085441" w14:textId="36B4AC16" w:rsidR="002A1696" w:rsidRDefault="00C30874" w:rsidP="00380588">
      <w:pPr>
        <w:ind w:firstLineChars="0" w:firstLine="0"/>
        <w:rPr>
          <w:rFonts w:eastAsia="DengXian"/>
        </w:rPr>
      </w:pPr>
      <w:r>
        <w:rPr>
          <w:rFonts w:eastAsia="DengXian"/>
          <w:color w:val="000000" w:themeColor="text1"/>
        </w:rPr>
        <w:t xml:space="preserve">where </w:t>
      </w:r>
      <w:r>
        <w:rPr>
          <w:rFonts w:eastAsia="DengXian"/>
          <w:i/>
          <w:iCs/>
          <w:color w:val="000000" w:themeColor="text1"/>
        </w:rPr>
        <w:t>a</w:t>
      </w:r>
      <w:r>
        <w:rPr>
          <w:rFonts w:eastAsia="DengXian"/>
          <w:i/>
          <w:iCs/>
          <w:color w:val="000000" w:themeColor="text1"/>
          <w:vertAlign w:val="subscript"/>
        </w:rPr>
        <w:t>r</w:t>
      </w:r>
      <w:r>
        <w:rPr>
          <w:rFonts w:eastAsia="DengXian"/>
          <w:color w:val="000000" w:themeColor="text1"/>
        </w:rPr>
        <w:t xml:space="preserve"> is the initial (base-year 2010) land-use proportion of cell </w:t>
      </w:r>
      <w:r>
        <w:rPr>
          <w:rFonts w:eastAsia="DengXian"/>
          <w:i/>
          <w:iCs/>
          <w:color w:val="000000" w:themeColor="text1"/>
        </w:rPr>
        <w:t>r</w:t>
      </w:r>
      <w:r>
        <w:rPr>
          <w:rFonts w:eastAsia="DengXian"/>
          <w:color w:val="000000" w:themeColor="text1"/>
        </w:rPr>
        <w:t>. LUTO2 uses the Gurobi optimiser to select the transition proportions that maximise the net economic return</w:t>
      </w:r>
      <w:r w:rsidR="002E176C">
        <w:rPr>
          <w:rFonts w:eastAsia="DengXian"/>
          <w:color w:val="000000" w:themeColor="text1"/>
        </w:rPr>
        <w:t>s (NER)</w:t>
      </w:r>
      <w:r>
        <w:rPr>
          <w:rFonts w:eastAsia="DengXian"/>
          <w:color w:val="000000" w:themeColor="text1"/>
        </w:rPr>
        <w:t xml:space="preserve"> of the land sector, net of the transition costs incurred as land moves between uses, subject to the node balance, the source-release limit, and the conservation constraint together with the demand, greenhouse</w:t>
      </w:r>
      <w:r w:rsidR="00655CAC">
        <w:rPr>
          <w:rFonts w:eastAsia="DengXian" w:hint="eastAsia"/>
          <w:color w:val="000000" w:themeColor="text1"/>
        </w:rPr>
        <w:t xml:space="preserve"> </w:t>
      </w:r>
      <w:r>
        <w:rPr>
          <w:rFonts w:eastAsia="DengXian"/>
          <w:color w:val="000000" w:themeColor="text1"/>
        </w:rPr>
        <w:t>gas</w:t>
      </w:r>
      <w:r w:rsidR="00655CAC">
        <w:rPr>
          <w:rFonts w:eastAsia="DengXian" w:hint="eastAsia"/>
          <w:color w:val="000000" w:themeColor="text1"/>
        </w:rPr>
        <w:t xml:space="preserve"> (GHG)</w:t>
      </w:r>
      <w:r>
        <w:rPr>
          <w:rFonts w:eastAsia="DengXian"/>
          <w:color w:val="000000" w:themeColor="text1"/>
        </w:rPr>
        <w:t xml:space="preserve">, biodiversity, and water constraints described below </w:t>
      </w:r>
      <w:r>
        <w:rPr>
          <w:rFonts w:eastAsia="DengXian"/>
        </w:rPr>
        <w:fldChar w:fldCharType="begin"/>
      </w:r>
      <w:r w:rsidR="007C0C3E">
        <w:rPr>
          <w:rFonts w:eastAsia="DengXian"/>
        </w:rPr>
        <w:instrText xml:space="preserve"> ADDIN EN.CITE &lt;EndNote&gt;&lt;Cite&gt;&lt;Author&gt;Gurobi Optimization&lt;/Author&gt;&lt;Year&gt;2024&lt;/Year&gt;&lt;RecNum&gt;259&lt;/RecNum&gt;&lt;DisplayText&gt;&lt;style face="superscript"&gt;32&lt;/style&gt;&lt;/DisplayText&gt;&lt;record&gt;&lt;rec-number&gt;259&lt;/rec-number&gt;&lt;foreign-keys&gt;&lt;key app="EN" db-id="st0zxxax1wfadte9s5gpaptza9tfvrzsvaxs" timestamp="1739346230" guid="265efada-c640-4c4f-aa37-29b3a7a23b5e"&gt;259&lt;/key&gt;&lt;/foreign-keys&gt;&lt;ref-type name="Computer Program"&gt;9&lt;/ref-type&gt;&lt;contributors&gt;&lt;authors&gt;&lt;author&gt;Gurobi Optimization, L. L. C.&lt;/author&gt;&lt;/authors&gt;&lt;/contributors&gt;&lt;titles&gt;&lt;title&gt;Gurobi Optimizer Reference Manual&lt;/title&gt;&lt;/titles&gt;&lt;dates&gt;&lt;year&gt;2024&lt;/year&gt;&lt;/dates&gt;&lt;urls&gt;&lt;related-urls&gt;&lt;url&gt;https://www.gurobi.com&lt;/url&gt;&lt;/related-urls&gt;&lt;/urls&gt;&lt;/record&gt;&lt;/Cite&gt;&lt;/EndNote&gt;</w:instrText>
      </w:r>
      <w:r>
        <w:rPr>
          <w:rFonts w:eastAsia="DengXian"/>
        </w:rPr>
        <w:fldChar w:fldCharType="separate"/>
      </w:r>
      <w:r w:rsidR="007C0C3E" w:rsidRPr="007C0C3E">
        <w:rPr>
          <w:rFonts w:eastAsia="DengXian"/>
          <w:noProof/>
          <w:vertAlign w:val="superscript"/>
        </w:rPr>
        <w:t>32</w:t>
      </w:r>
      <w:r>
        <w:rPr>
          <w:rFonts w:eastAsia="DengXian"/>
        </w:rPr>
        <w:fldChar w:fldCharType="end"/>
      </w:r>
      <w:r>
        <w:rPr>
          <w:rFonts w:eastAsia="DengXian"/>
        </w:rPr>
        <w:t>.</w:t>
      </w:r>
      <w:r>
        <w:rPr>
          <w:rFonts w:eastAsia="DengXian" w:hint="eastAsia"/>
        </w:rPr>
        <w:t xml:space="preserve"> </w:t>
      </w:r>
    </w:p>
    <w:p w14:paraId="04085442" w14:textId="77777777" w:rsidR="002A1696" w:rsidRDefault="00C30874">
      <w:pPr>
        <w:pStyle w:val="3"/>
        <w:rPr>
          <w:rFonts w:eastAsia="宋体"/>
          <w:color w:val="000000" w:themeColor="text1"/>
        </w:rPr>
      </w:pPr>
      <w:r>
        <w:rPr>
          <w:rFonts w:eastAsia="宋体"/>
          <w:color w:val="000000" w:themeColor="text1"/>
        </w:rPr>
        <w:t>Optimisation objective and constraints</w:t>
      </w:r>
    </w:p>
    <w:p w14:paraId="04085443" w14:textId="285AB6D4" w:rsidR="002A1696" w:rsidRPr="00AF54BB" w:rsidRDefault="00C30874" w:rsidP="00AF54BB">
      <w:pPr>
        <w:ind w:firstLine="420"/>
      </w:pPr>
      <w:r>
        <w:rPr>
          <w:rFonts w:eastAsia="DengXian"/>
        </w:rPr>
        <w:t xml:space="preserve">The objective function of LUTO2 is to maximise the NER of the land sector across the study area. The optimisation is subject to </w:t>
      </w:r>
      <w:r>
        <w:rPr>
          <w:rFonts w:eastAsia="DengXian" w:hint="eastAsia"/>
        </w:rPr>
        <w:t>three</w:t>
      </w:r>
      <w:r>
        <w:rPr>
          <w:rFonts w:eastAsia="DengXian"/>
        </w:rPr>
        <w:t xml:space="preserve"> hard constraints. </w:t>
      </w:r>
      <w:r>
        <w:t xml:space="preserve">The demand constraints apply to 28 agricultural commodities. For 27 commodities, production is required to equal the scenario-specific </w:t>
      </w:r>
      <w:r>
        <w:lastRenderedPageBreak/>
        <w:t>demand target. Wool is treated differently because it is jointly produced with sheep meat and cannot be controlled independently. To maintain feasible sheep production systems, wool production is constrained to remain between 100% and 150% of its demand target</w:t>
      </w:r>
      <w:r>
        <w:rPr>
          <w:rFonts w:eastAsia="DengXian"/>
        </w:rPr>
        <w:t>. The GHG and biodiversity constraints are scenario-specific</w:t>
      </w:r>
      <w:r>
        <w:rPr>
          <w:rFonts w:eastAsia="DengXian" w:hint="eastAsia"/>
        </w:rPr>
        <w:t>.</w:t>
      </w:r>
      <w:r>
        <w:rPr>
          <w:rFonts w:eastAsia="DengXian"/>
        </w:rPr>
        <w:t xml:space="preserve"> When activated by the scenario narrative, they require net land-sector GHG emissions to remain at or below the scenario-specific target and the biodiversity</w:t>
      </w:r>
      <w:r>
        <w:rPr>
          <w:rFonts w:eastAsia="DengXian" w:hint="eastAsia"/>
        </w:rPr>
        <w:t xml:space="preserve"> </w:t>
      </w:r>
      <w:r>
        <w:t xml:space="preserve">contribution-weighted biodiversity score to remain at or above the scenario-specific target. When deactivated, no constraint is imposed. The numerical values and provenance of all </w:t>
      </w:r>
      <w:r>
        <w:rPr>
          <w:rFonts w:hint="eastAsia"/>
        </w:rPr>
        <w:t>three</w:t>
      </w:r>
      <w:r>
        <w:t xml:space="preserve"> targets are described in Section 2.5. The objective function in year </w:t>
      </w:r>
      <w:r>
        <w:rPr>
          <w:i/>
          <w:iCs/>
        </w:rPr>
        <w:t>t</w:t>
      </w:r>
      <w:r>
        <w:t xml:space="preserve"> is:</w:t>
      </w:r>
    </w:p>
    <w:tbl>
      <w:tblPr>
        <w:tblStyle w:val="TableGrid1"/>
        <w:tblW w:w="8220" w:type="dxa"/>
        <w:tblLayout w:type="fixed"/>
        <w:tblLook w:val="04A0" w:firstRow="1" w:lastRow="0" w:firstColumn="1" w:lastColumn="0" w:noHBand="0" w:noVBand="1"/>
      </w:tblPr>
      <w:tblGrid>
        <w:gridCol w:w="7513"/>
        <w:gridCol w:w="707"/>
      </w:tblGrid>
      <w:tr w:rsidR="002A1696" w14:paraId="04085446" w14:textId="77777777" w:rsidTr="006668EE">
        <w:trPr>
          <w:cantSplit/>
          <w:trHeight w:val="300"/>
        </w:trPr>
        <w:tc>
          <w:tcPr>
            <w:tcW w:w="7513" w:type="dxa"/>
            <w:tcBorders>
              <w:top w:val="nil"/>
              <w:left w:val="nil"/>
              <w:bottom w:val="nil"/>
              <w:right w:val="nil"/>
            </w:tcBorders>
            <w:vAlign w:val="center"/>
          </w:tcPr>
          <w:p w14:paraId="04085444" w14:textId="77777777" w:rsidR="002A1696" w:rsidRDefault="00C30874">
            <w:pPr>
              <w:spacing w:line="360" w:lineRule="auto"/>
              <w:ind w:firstLine="420"/>
              <w:jc w:val="center"/>
              <w:rPr>
                <w:rFonts w:eastAsia="DengXian"/>
                <w:color w:val="000000" w:themeColor="text1"/>
                <w:szCs w:val="21"/>
              </w:rPr>
            </w:pPr>
            <m:oMathPara>
              <m:oMathParaPr>
                <m:jc m:val="center"/>
              </m:oMathParaPr>
              <m:oMath>
                <m:r>
                  <w:rPr>
                    <w:rFonts w:ascii="Cambria Math" w:hAnsi="Cambria Math"/>
                  </w:rPr>
                  <m:t>max</m:t>
                </m:r>
                <m:r>
                  <m:rPr>
                    <m:lit/>
                    <m:nor/>
                  </m:rPr>
                  <m:t xml:space="preserve"> </m:t>
                </m:r>
                <m:sSub>
                  <m:sSubPr>
                    <m:ctrlPr>
                      <w:rPr>
                        <w:rFonts w:ascii="Cambria Math" w:hAnsi="Cambria Math"/>
                      </w:rPr>
                    </m:ctrlPr>
                  </m:sSubPr>
                  <m:e>
                    <m:r>
                      <w:rPr>
                        <w:rFonts w:ascii="Cambria Math" w:hAnsi="Cambria Math"/>
                      </w:rPr>
                      <m:t>NER</m:t>
                    </m:r>
                  </m:e>
                  <m:sub>
                    <m:r>
                      <w:rPr>
                        <w:rFonts w:ascii="Cambria Math" w:hAnsi="Cambria Math"/>
                      </w:rPr>
                      <m:t>t</m:t>
                    </m:r>
                  </m:sub>
                </m:sSub>
              </m:oMath>
            </m:oMathPara>
          </w:p>
        </w:tc>
        <w:tc>
          <w:tcPr>
            <w:tcW w:w="707" w:type="dxa"/>
            <w:tcBorders>
              <w:top w:val="nil"/>
              <w:left w:val="nil"/>
              <w:bottom w:val="nil"/>
              <w:right w:val="nil"/>
            </w:tcBorders>
            <w:vAlign w:val="center"/>
          </w:tcPr>
          <w:p w14:paraId="04085445" w14:textId="77777777" w:rsidR="002A1696" w:rsidRDefault="00C30874">
            <w:pPr>
              <w:spacing w:before="156" w:after="163"/>
              <w:ind w:firstLineChars="0" w:firstLine="0"/>
              <w:jc w:val="right"/>
              <w:rPr>
                <w:rFonts w:eastAsia="DengXian"/>
                <w:color w:val="000000" w:themeColor="text1"/>
                <w:szCs w:val="21"/>
              </w:rPr>
            </w:pPr>
            <w:r>
              <w:rPr>
                <w:rFonts w:ascii="Arial" w:hAnsi="Arial" w:cs="Arial"/>
                <w:szCs w:val="21"/>
              </w:rPr>
              <w:t>(</w:t>
            </w:r>
            <w:r>
              <w:rPr>
                <w:rFonts w:ascii="Arial" w:hAnsi="Arial" w:cs="Arial"/>
              </w:rPr>
              <w:fldChar w:fldCharType="begin"/>
            </w:r>
            <w:r>
              <w:rPr>
                <w:rFonts w:ascii="Arial" w:hAnsi="Arial" w:cs="Arial"/>
                <w:szCs w:val="21"/>
              </w:rPr>
              <w:instrText>LISTNUM  NumberDefault \l 0</w:instrText>
            </w:r>
            <w:r>
              <w:rPr>
                <w:rFonts w:ascii="Arial" w:hAnsi="Arial" w:cs="Arial"/>
                <w:szCs w:val="21"/>
              </w:rPr>
              <w:fldChar w:fldCharType="separate"/>
            </w:r>
            <w:r>
              <w:rPr>
                <w:rFonts w:ascii="Arial" w:hAnsi="Arial" w:cs="Arial"/>
                <w:szCs w:val="21"/>
              </w:rPr>
              <w:fldChar w:fldCharType="end"/>
            </w:r>
          </w:p>
        </w:tc>
      </w:tr>
    </w:tbl>
    <w:p w14:paraId="04085457" w14:textId="1212CC76" w:rsidR="002A1696" w:rsidRDefault="00C30874" w:rsidP="00BE3D59">
      <w:pPr>
        <w:ind w:firstLineChars="0" w:firstLine="0"/>
        <w:rPr>
          <w:rFonts w:eastAsia="DengXian"/>
        </w:rPr>
      </w:pPr>
      <w:r>
        <w:rPr>
          <w:rFonts w:eastAsia="DengXian"/>
        </w:rPr>
        <w:t xml:space="preserve">where </w:t>
      </w:r>
      <w:r>
        <w:rPr>
          <w:rFonts w:eastAsia="DengXian"/>
          <w:i/>
          <w:iCs/>
        </w:rPr>
        <w:t>NER</w:t>
      </w:r>
      <w:r>
        <w:rPr>
          <w:rFonts w:eastAsia="DengXian"/>
          <w:i/>
          <w:iCs/>
          <w:vertAlign w:val="subscript"/>
        </w:rPr>
        <w:t>t</w:t>
      </w:r>
      <w:r>
        <w:rPr>
          <w:rFonts w:eastAsia="DengXian"/>
        </w:rPr>
        <w:t xml:space="preserve"> is the net economic return</w:t>
      </w:r>
      <w:r>
        <w:rPr>
          <w:rFonts w:eastAsia="DengXian" w:hint="eastAsia"/>
        </w:rPr>
        <w:t>s</w:t>
      </w:r>
      <w:r>
        <w:rPr>
          <w:rFonts w:eastAsia="DengXian"/>
        </w:rPr>
        <w:t xml:space="preserve"> </w:t>
      </w:r>
      <w:r>
        <w:rPr>
          <w:rFonts w:eastAsia="DengXian" w:hint="eastAsia"/>
        </w:rPr>
        <w:t>i</w:t>
      </w:r>
      <w:r>
        <w:rPr>
          <w:rFonts w:eastAsia="DengXian"/>
        </w:rPr>
        <w:t xml:space="preserve">n year </w:t>
      </w:r>
      <w:r>
        <w:rPr>
          <w:i/>
          <w:iCs/>
        </w:rPr>
        <w:t>t</w:t>
      </w:r>
      <w:r>
        <w:t xml:space="preserve">. </w:t>
      </w:r>
      <w:r>
        <w:rPr>
          <w:rFonts w:eastAsia="DengXian"/>
        </w:rPr>
        <w:t>Once all active constraints are met, land-use and management are allocated solely to maximise net economic returns.</w:t>
      </w:r>
    </w:p>
    <w:p w14:paraId="04085458" w14:textId="77777777" w:rsidR="002A1696" w:rsidRDefault="00C30874">
      <w:pPr>
        <w:pStyle w:val="1"/>
        <w:rPr>
          <w:rFonts w:cs="Times New Roman"/>
          <w:szCs w:val="28"/>
        </w:rPr>
      </w:pPr>
      <w:r>
        <w:rPr>
          <w:rFonts w:cs="Times New Roman"/>
          <w:szCs w:val="28"/>
        </w:rPr>
        <w:t>Ag2050 scenario parameterization</w:t>
      </w:r>
    </w:p>
    <w:p w14:paraId="04085459" w14:textId="4DAA1F23" w:rsidR="002A1696" w:rsidRDefault="00C30874">
      <w:pPr>
        <w:ind w:firstLine="420"/>
      </w:pPr>
      <w:r>
        <w:t xml:space="preserve">The four Ag2050 scenarios (Scenario 1 Regional Ag Capitals, Scenario 2 Landscape Stewardship, Scenario 3 Climate Survival, and Scenario 4 System Decline) were operationalised in LUTO2 by translating the qualitative drivers articulated in the Ag2050 Scenarios Report into quantitative, model-ready parameter sets </w:t>
      </w:r>
      <w:r>
        <w:fldChar w:fldCharType="begin"/>
      </w:r>
      <w:r w:rsidR="007C0C3E">
        <w:instrText xml:space="preserve"> ADDIN EN.CITE &lt;EndNote&gt;&lt;Cite&gt;&lt;Author&gt;Clegg&lt;/Author&gt;&lt;Year&gt;2024&lt;/Year&gt;&lt;RecNum&gt;239&lt;/RecNum&gt;&lt;DisplayText&gt;&lt;style face="superscript"&gt;33&lt;/style&gt;&lt;/DisplayText&gt;&lt;record&gt;&lt;rec-number&gt;239&lt;/rec-number&gt;&lt;foreign-keys&gt;&lt;key app="EN" db-id="st0zxxax1wfadte9s5gpaptza9tfvrzsvaxs" timestamp="1738626908" guid="680868e2-36f0-423c-bce5-1d06415c32d1"&gt;239&lt;/key&gt;&lt;/foreign-keys&gt;&lt;ref-type name="Report"&gt;27&lt;/ref-type&gt;&lt;contributors&gt;&lt;authors&gt;&lt;author&gt;Clegg, Philippa&lt;/author&gt;&lt;author&gt;Deverell, James&lt;/author&gt;&lt;author&gt;Kuen, Micheala&lt;/author&gt;&lt;author&gt;McMahon, Kate&lt;/author&gt;&lt;author&gt;Morgan, Yasmin&lt;/author&gt;&lt;author&gt;Poonyth, Rohini&lt;/author&gt;&lt;author&gt;Wynn, Katherine&lt;/author&gt;&lt;/authors&gt;&lt;/contributors&gt;&lt;titles&gt;&lt;title&gt;Ag2050 Scenarios Report&lt;/title&gt;&lt;/titles&gt;&lt;dates&gt;&lt;year&gt;2024&lt;/year&gt;&lt;/dates&gt;&lt;pub-location&gt;Australia&lt;/pub-location&gt;&lt;publisher&gt;Commonwealth Scientific and Industrial Research Organisation (CSIRO)&lt;/publisher&gt;&lt;urls&gt;&lt;related-urls&gt;&lt;url&gt;https://www.csiro.au/-/media/Science-Connect/Futures/Ag2050-report/24-00100_AF_REPORT_Ag2050Scenarios_WEB_250212.pdf&lt;/url&gt;&lt;/related-urls&gt;&lt;/urls&gt;&lt;/record&gt;&lt;/Cite&gt;&lt;/EndNote&gt;</w:instrText>
      </w:r>
      <w:r>
        <w:fldChar w:fldCharType="separate"/>
      </w:r>
      <w:r w:rsidR="007C0C3E" w:rsidRPr="007C0C3E">
        <w:rPr>
          <w:noProof/>
          <w:vertAlign w:val="superscript"/>
        </w:rPr>
        <w:t>33</w:t>
      </w:r>
      <w:r>
        <w:fldChar w:fldCharType="end"/>
      </w:r>
      <w:r>
        <w:t>. The scenario drivers comprised agricultural productivity growth, production costs, labour costs, food demand, feedlot expansion, technology adoption, GHG mitigation ambition, biodiversity policy stringency, and the availability of non-agricultural land-use options. Together, these drivers define how each scenario reshapes the spatially explicit allocation of land-use and management decisions in LUTO2, while preserving consistency with the model’s existing biophysical, economic, and policy structure.</w:t>
      </w:r>
    </w:p>
    <w:p w14:paraId="0408545A" w14:textId="7A847288" w:rsidR="002A1696" w:rsidRDefault="00C30874">
      <w:pPr>
        <w:ind w:firstLine="420"/>
      </w:pPr>
      <w:r>
        <w:t>To translate the Ag2050 narratives into time-varying inputs, historical observations of key drivers were projected to 2050 (Tables S6 and S7) using exponential smoothing time-series models where suitable. Scenario pathways were defined as low, medium, high, and very high trajectories and assigned to the four Ag2050 scenarios according to their narrative assumptions. Extended Data Fig. 2 summarises the historical observations, fitted trends, and scenario-specific trajectories for the main time-varying input parameters used in LUTO2.</w:t>
      </w:r>
    </w:p>
    <w:p w14:paraId="0408545B" w14:textId="77777777" w:rsidR="002A1696" w:rsidRDefault="00C30874">
      <w:pPr>
        <w:pStyle w:val="2"/>
      </w:pPr>
      <w:r>
        <w:t>Agricultural productivity</w:t>
      </w:r>
    </w:p>
    <w:p w14:paraId="0408545C" w14:textId="51DD1CF9" w:rsidR="002A1696" w:rsidRDefault="00C30874">
      <w:pPr>
        <w:ind w:firstLine="420"/>
      </w:pPr>
      <w:r>
        <w:t>Agricultural productivity trajectories were developed separately for beef, sheep, dairy, and cropping production. Historical productivity indices were obtained from the ABARES agricultural productivity datasets using the corresponding time series for each commodity group</w:t>
      </w:r>
      <w:r>
        <w:rPr>
          <w:rFonts w:hint="eastAsia"/>
        </w:rPr>
        <w:t xml:space="preserve"> </w:t>
      </w:r>
      <w:r>
        <w:fldChar w:fldCharType="begin"/>
      </w:r>
      <w:r w:rsidR="007C0C3E">
        <w:instrText xml:space="preserve"> ADDIN EN.CITE &lt;EndNote&gt;&lt;Cite&gt;&lt;Author&gt;ABARES&lt;/Author&gt;&lt;Year&gt;2025&lt;/Year&gt;&lt;RecNum&gt;557&lt;/RecNum&gt;&lt;DisplayText&gt;&lt;style face="superscript"&gt;34&lt;/style&gt;&lt;/DisplayText&gt;&lt;record&gt;&lt;rec-number&gt;557&lt;/rec-number&gt;&lt;foreign-keys&gt;&lt;key app="EN" db-id="st0zxxax1wfadte9s5gpaptza9tfvrzsvaxs" timestamp="1773643370" guid="62dbfb8f-a05b-41f4-bd58-c69ade51b737"&gt;557&lt;/key&gt;&lt;/foreign-keys&gt;&lt;ref-type name="Web Page"&gt;12&lt;/ref-type&gt;&lt;contributors&gt;&lt;authors&gt;&lt;author&gt;ABARES&lt;/author&gt;&lt;/authors&gt;&lt;/contributors&gt;&lt;titles&gt;&lt;title&gt;Australian farm productivity: Broadacre and dairy estimates&lt;/title&gt;&lt;/titles&gt;&lt;dates&gt;&lt;year&gt;2025&lt;/year&gt;&lt;/dates&gt;&lt;pub-location&gt;Canberra, Australia&lt;/pub-location&gt;&lt;publisher&gt;Department of Agriculture, Fisheries and Forestry&lt;/publisher&gt;&lt;urls&gt;&lt;related-urls&gt;&lt;url&gt;https://www.agriculture.gov.au/abares/research-topics/productivity/agricultural-productivity-estimates&lt;/url&gt;&lt;/related-urls&gt;&lt;/urls&gt;&lt;/record&gt;&lt;/Cite&gt;&lt;/EndNote&gt;</w:instrText>
      </w:r>
      <w:r>
        <w:fldChar w:fldCharType="separate"/>
      </w:r>
      <w:r w:rsidR="007C0C3E" w:rsidRPr="007C0C3E">
        <w:rPr>
          <w:noProof/>
          <w:vertAlign w:val="superscript"/>
        </w:rPr>
        <w:t>34</w:t>
      </w:r>
      <w:r>
        <w:fldChar w:fldCharType="end"/>
      </w:r>
      <w:r>
        <w:t>. For each commodity group, historical observations were fitted with an exponential smoothing model with additive error, additive damped trend, and no seasonal component</w:t>
      </w:r>
      <w:r>
        <w:rPr>
          <w:rFonts w:hint="eastAsia"/>
        </w:rPr>
        <w:t>.</w:t>
      </w:r>
      <w:r>
        <w:t xml:space="preserve"> The fitted model was then used to generate annual projections to 2050.</w:t>
      </w:r>
    </w:p>
    <w:p w14:paraId="0408545D" w14:textId="77777777" w:rsidR="002A1696" w:rsidRDefault="00C30874">
      <w:pPr>
        <w:ind w:firstLine="420"/>
      </w:pPr>
      <w:r>
        <w:t>To make trajectories comparable across commodity groups, all projected values were converted to index values relative to 2010, so that each trajectory represented proportional change through time rather than absolute productivity:</w:t>
      </w:r>
    </w:p>
    <w:tbl>
      <w:tblPr>
        <w:tblStyle w:val="aff3"/>
        <w:tblW w:w="8364" w:type="dxa"/>
        <w:tblLayout w:type="fixed"/>
        <w:tblLook w:val="04A0" w:firstRow="1" w:lastRow="0" w:firstColumn="1" w:lastColumn="0" w:noHBand="0" w:noVBand="1"/>
      </w:tblPr>
      <w:tblGrid>
        <w:gridCol w:w="7796"/>
        <w:gridCol w:w="568"/>
      </w:tblGrid>
      <w:tr w:rsidR="002A1696" w14:paraId="04085460" w14:textId="77777777">
        <w:trPr>
          <w:cantSplit/>
          <w:trHeight w:val="300"/>
        </w:trPr>
        <w:tc>
          <w:tcPr>
            <w:tcW w:w="7796" w:type="dxa"/>
            <w:tcBorders>
              <w:top w:val="nil"/>
              <w:left w:val="nil"/>
              <w:bottom w:val="nil"/>
              <w:right w:val="nil"/>
            </w:tcBorders>
          </w:tcPr>
          <w:p w14:paraId="0408545E"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j</m:t>
                    </m:r>
                    <m:r>
                      <w:rPr>
                        <w:rFonts w:ascii="Cambria Math" w:hAnsi="Cambria Math"/>
                      </w:rPr>
                      <m:t>,</m:t>
                    </m:r>
                    <m:r>
                      <w:rPr>
                        <w:rFonts w:ascii="Cambria Math" w:hAnsi="Cambria Math"/>
                      </w:rPr>
                      <m:t>t</m:t>
                    </m:r>
                  </m:sub>
                </m:sSub>
                <m:r>
                  <m:rPr>
                    <m:lit/>
                    <m:nor/>
                  </m:rPr>
                  <m:t xml:space="preserve"> = </m:t>
                </m:r>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j</m:t>
                        </m:r>
                        <m:r>
                          <w:rPr>
                            <w:rFonts w:ascii="Cambria Math" w:hAnsi="Cambria Math"/>
                          </w:rPr>
                          <m:t>,</m:t>
                        </m:r>
                        <m:r>
                          <w:rPr>
                            <w:rFonts w:ascii="Cambria Math" w:hAnsi="Cambria Math"/>
                          </w:rPr>
                          <m:t>t</m:t>
                        </m:r>
                      </m:sub>
                    </m:sSub>
                  </m:num>
                  <m:den>
                    <m:sSub>
                      <m:sSubPr>
                        <m:ctrlPr>
                          <w:rPr>
                            <w:rFonts w:ascii="Cambria Math" w:hAnsi="Cambria Math"/>
                          </w:rPr>
                        </m:ctrlPr>
                      </m:sSubPr>
                      <m:e>
                        <m:r>
                          <w:rPr>
                            <w:rFonts w:ascii="Cambria Math" w:hAnsi="Cambria Math"/>
                          </w:rPr>
                          <m:t>X</m:t>
                        </m:r>
                      </m:e>
                      <m:sub>
                        <m:r>
                          <w:rPr>
                            <w:rFonts w:ascii="Cambria Math" w:hAnsi="Cambria Math"/>
                          </w:rPr>
                          <m:t>j</m:t>
                        </m:r>
                        <m:r>
                          <w:rPr>
                            <w:rFonts w:ascii="Cambria Math" w:hAnsi="Cambria Math"/>
                          </w:rPr>
                          <m:t>,2010</m:t>
                        </m:r>
                      </m:sub>
                    </m:sSub>
                  </m:den>
                </m:f>
              </m:oMath>
            </m:oMathPara>
          </w:p>
        </w:tc>
        <w:tc>
          <w:tcPr>
            <w:tcW w:w="568" w:type="dxa"/>
            <w:tcBorders>
              <w:top w:val="nil"/>
              <w:left w:val="nil"/>
              <w:bottom w:val="nil"/>
              <w:right w:val="nil"/>
            </w:tcBorders>
            <w:vAlign w:val="center"/>
          </w:tcPr>
          <w:p w14:paraId="0408545F"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61" w14:textId="1D122B7B" w:rsidR="002A1696" w:rsidRDefault="00C30874">
      <w:pPr>
        <w:ind w:firstLineChars="0" w:firstLine="0"/>
      </w:pPr>
      <w:r>
        <w:t xml:space="preserve">where </w:t>
      </w:r>
      <w:r>
        <w:rPr>
          <w:i/>
          <w:iCs/>
        </w:rPr>
        <w:t>P</w:t>
      </w:r>
      <w:r>
        <w:rPr>
          <w:vertAlign w:val="subscript"/>
        </w:rPr>
        <w:t>j,t</w:t>
      </w:r>
      <w:r>
        <w:t xml:space="preserve"> is the productivity multiplier for commodity group </w:t>
      </w:r>
      <w:r>
        <w:rPr>
          <w:i/>
          <w:iCs/>
        </w:rPr>
        <w:t>j</w:t>
      </w:r>
      <w:r>
        <w:t xml:space="preserve"> in year </w:t>
      </w:r>
      <w:r>
        <w:rPr>
          <w:i/>
          <w:iCs/>
        </w:rPr>
        <w:t>t</w:t>
      </w:r>
      <w:r>
        <w:t xml:space="preserve">, and </w:t>
      </w:r>
      <w:r>
        <w:rPr>
          <w:i/>
          <w:iCs/>
        </w:rPr>
        <w:t>X</w:t>
      </w:r>
      <w:r>
        <w:rPr>
          <w:vertAlign w:val="subscript"/>
        </w:rPr>
        <w:t>j,t</w:t>
      </w:r>
      <w:r>
        <w:t xml:space="preserve"> is the observed or projected productivity index. The medium pathway was defined as the mean forecast from the fitted </w:t>
      </w:r>
      <w:r>
        <w:lastRenderedPageBreak/>
        <w:t>ETS model. The low and high pathways were derived from the lower and upper bounds of the model’s 75% prediction interval, respectively. The very high pathway was derived from the upper bound of the 95% prediction interval. All pathways were rescaled so that predicted and observed values coincided at the final historical year before projecting forward.</w:t>
      </w:r>
    </w:p>
    <w:p w14:paraId="04085462" w14:textId="77777777" w:rsidR="002A1696" w:rsidRDefault="00C30874">
      <w:pPr>
        <w:ind w:firstLine="420"/>
      </w:pPr>
      <w:r>
        <w:t>These productivity multipliers were applied to the relevant crop and livestock production functions in LUTO2. Following the Ag2050 assumption that more intensive and productive systems also require higher area-based inputs, the same multiplier pathways were also applied to area-based input costs.</w:t>
      </w:r>
    </w:p>
    <w:p w14:paraId="04085463" w14:textId="77777777" w:rsidR="002A1696" w:rsidRDefault="00C30874">
      <w:pPr>
        <w:pStyle w:val="2"/>
      </w:pPr>
      <w:r>
        <w:t>Labour costs</w:t>
      </w:r>
    </w:p>
    <w:p w14:paraId="04085464" w14:textId="4416A98A" w:rsidR="002A1696" w:rsidRDefault="00C30874">
      <w:pPr>
        <w:ind w:firstLine="420"/>
      </w:pPr>
      <w:r>
        <w:t>Labour cost trajectories were derived from median weekly earnings of employees in Australia’s Agriculture, Forestry and Fishing industry, sourced from the Australian Bureau of Statistics (ABS)</w:t>
      </w:r>
      <w:r>
        <w:rPr>
          <w:rFonts w:hint="eastAsia"/>
        </w:rPr>
        <w:t xml:space="preserve"> </w:t>
      </w:r>
      <w:r>
        <w:fldChar w:fldCharType="begin"/>
      </w:r>
      <w:r w:rsidR="00EF0FA1">
        <w:instrText xml:space="preserve"> ADDIN EN.CITE &lt;EndNote&gt;&lt;Cite&gt;&lt;Author&gt;ABS&lt;/Author&gt;&lt;Year&gt;2024&lt;/Year&gt;&lt;RecNum&gt;558&lt;/RecNum&gt;&lt;DisplayText&gt;&lt;style face="superscript"&gt;35&lt;/style&gt;&lt;/DisplayText&gt;&lt;record&gt;&lt;rec-number&gt;558&lt;/rec-number&gt;&lt;foreign-keys&gt;&lt;key app="EN" db-id="st0zxxax1wfadte9s5gpaptza9tfvrzsvaxs" timestamp="1773643534" guid="c26166b8-0a22-47c5-8994-3cb51eb66a97"&gt;558&lt;/key&gt;&lt;/foreign-keys&gt;&lt;ref-type name="Journal Article"&gt;17&lt;/ref-type&gt;&lt;contributors&gt;&lt;authors&gt;&lt;author&gt;ABS&lt;/author&gt;&lt;/authors&gt;&lt;/contributors&gt;&lt;titles&gt;&lt;title&gt;Employee earnings, August 2024: Table 3 - Distribution of earnings for employees by industry&lt;/title&gt;&lt;/titles&gt;&lt;dates&gt;&lt;year&gt;2024&lt;/year&gt;&lt;/dates&gt;&lt;pub-location&gt;Canberra, Australia&lt;/pub-location&gt;&lt;publisher&gt;Australian Bureau of Statistics&lt;/publisher&gt;&lt;urls&gt;&lt;related-urls&gt;&lt;url&gt;https://www.abs.gov.au/statistics/labour/earnings-and-working-conditions/employee-earnings/aug-2024&lt;/url&gt;&lt;/related-urls&gt;&lt;/urls&gt;&lt;/record&gt;&lt;/Cite&gt;&lt;/EndNote&gt;</w:instrText>
      </w:r>
      <w:r>
        <w:fldChar w:fldCharType="separate"/>
      </w:r>
      <w:r w:rsidR="007C0C3E" w:rsidRPr="007C0C3E">
        <w:rPr>
          <w:noProof/>
          <w:vertAlign w:val="superscript"/>
        </w:rPr>
        <w:t>35</w:t>
      </w:r>
      <w:r>
        <w:fldChar w:fldCharType="end"/>
      </w:r>
      <w:r>
        <w:t>. The input series used the Australia-level estimate for total employees with leave entitlements. Observations from 2014 onwards were used because earlier values were not available in the source data; the 2014 value was assigned to 2010–2013 to provide a complete series beginning in 2010. The resulting historical labour cost series was converted into a multiplier by normalising all values to the 2010 baseline:</w:t>
      </w:r>
    </w:p>
    <w:tbl>
      <w:tblPr>
        <w:tblW w:w="8364" w:type="dxa"/>
        <w:tblLayout w:type="fixed"/>
        <w:tblLook w:val="04A0" w:firstRow="1" w:lastRow="0" w:firstColumn="1" w:lastColumn="0" w:noHBand="0" w:noVBand="1"/>
      </w:tblPr>
      <w:tblGrid>
        <w:gridCol w:w="7796"/>
        <w:gridCol w:w="568"/>
      </w:tblGrid>
      <w:tr w:rsidR="002A1696" w14:paraId="04085467" w14:textId="77777777">
        <w:trPr>
          <w:cantSplit/>
          <w:trHeight w:val="300"/>
        </w:trPr>
        <w:tc>
          <w:tcPr>
            <w:tcW w:w="7796" w:type="dxa"/>
          </w:tcPr>
          <w:p w14:paraId="04085465"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t</m:t>
                    </m:r>
                  </m:sub>
                </m:sSub>
                <m:r>
                  <m:rPr>
                    <m:lit/>
                    <m:nor/>
                  </m:rPr>
                  <m:t xml:space="preserve"> = </m:t>
                </m:r>
                <m:f>
                  <m:fPr>
                    <m:ctrlPr>
                      <w:rPr>
                        <w:rFonts w:ascii="Cambria Math" w:hAnsi="Cambria Math"/>
                      </w:rPr>
                    </m:ctrlPr>
                  </m:fPr>
                  <m:num>
                    <m:sSub>
                      <m:sSubPr>
                        <m:ctrlPr>
                          <w:rPr>
                            <w:rFonts w:ascii="Cambria Math" w:hAnsi="Cambria Math"/>
                          </w:rPr>
                        </m:ctrlPr>
                      </m:sSubPr>
                      <m:e>
                        <m:r>
                          <w:rPr>
                            <w:rFonts w:ascii="Cambria Math" w:hAnsi="Cambria Math"/>
                          </w:rPr>
                          <m:t>Labour</m:t>
                        </m:r>
                        <m:r>
                          <m:rPr>
                            <m:lit/>
                            <m:nor/>
                          </m:rPr>
                          <m:t xml:space="preserve"> </m:t>
                        </m:r>
                        <m:r>
                          <w:rPr>
                            <w:rFonts w:ascii="Cambria Math" w:hAnsi="Cambria Math"/>
                          </w:rPr>
                          <m:t>cost</m:t>
                        </m:r>
                      </m:e>
                      <m:sub>
                        <m:r>
                          <w:rPr>
                            <w:rFonts w:ascii="Cambria Math" w:hAnsi="Cambria Math"/>
                          </w:rPr>
                          <m:t>t</m:t>
                        </m:r>
                      </m:sub>
                    </m:sSub>
                  </m:num>
                  <m:den>
                    <m:sSub>
                      <m:sSubPr>
                        <m:ctrlPr>
                          <w:rPr>
                            <w:rFonts w:ascii="Cambria Math" w:hAnsi="Cambria Math"/>
                          </w:rPr>
                        </m:ctrlPr>
                      </m:sSubPr>
                      <m:e>
                        <m:r>
                          <w:rPr>
                            <w:rFonts w:ascii="Cambria Math" w:hAnsi="Cambria Math"/>
                          </w:rPr>
                          <m:t>Labour</m:t>
                        </m:r>
                        <m:r>
                          <m:rPr>
                            <m:lit/>
                            <m:nor/>
                          </m:rPr>
                          <m:t xml:space="preserve"> </m:t>
                        </m:r>
                        <m:r>
                          <w:rPr>
                            <w:rFonts w:ascii="Cambria Math" w:hAnsi="Cambria Math"/>
                          </w:rPr>
                          <m:t>cost</m:t>
                        </m:r>
                      </m:e>
                      <m:sub>
                        <m:r>
                          <w:rPr>
                            <w:rFonts w:ascii="Cambria Math" w:hAnsi="Cambria Math"/>
                          </w:rPr>
                          <m:t>2010</m:t>
                        </m:r>
                      </m:sub>
                    </m:sSub>
                  </m:den>
                </m:f>
              </m:oMath>
            </m:oMathPara>
          </w:p>
        </w:tc>
        <w:tc>
          <w:tcPr>
            <w:tcW w:w="568" w:type="dxa"/>
            <w:vAlign w:val="center"/>
          </w:tcPr>
          <w:p w14:paraId="04085466"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68" w14:textId="77777777" w:rsidR="002A1696" w:rsidRDefault="00C30874">
      <w:pPr>
        <w:ind w:firstLine="420"/>
      </w:pPr>
      <w:r>
        <w:t>An exponential smoothing state-space model was fitted to the historical labour cost series to estimate the baseline future trajectory. The fitted central trajectory was projected from the final observed year to 2050 and interpreted as the medium labour cost growth pathway. Rather than deriving alternative scenarios from prediction intervals, which primarily shift the baseline trend upward or downward with only modest differences in growth rates, the cumulative growth implied by the fitted medium pathway was rescaled to represent different rates of labour cost escalation.</w:t>
      </w:r>
    </w:p>
    <w:p w14:paraId="04085469" w14:textId="7948F517" w:rsidR="002A1696" w:rsidRDefault="00C30874">
      <w:pPr>
        <w:ind w:firstLine="420"/>
      </w:pPr>
      <w:r>
        <w:t xml:space="preserve">Let </w:t>
      </w:r>
      <w:r>
        <w:rPr>
          <w:i/>
        </w:rPr>
        <w:t>V</w:t>
      </w:r>
      <w:r>
        <w:rPr>
          <w:vertAlign w:val="subscript"/>
        </w:rPr>
        <w:t>2024</w:t>
      </w:r>
      <w:r>
        <w:t xml:space="preserve"> be the final observed labour cost multiplier and let </w:t>
      </w:r>
      <w:r>
        <w:rPr>
          <w:i/>
        </w:rPr>
        <w:t>M</w:t>
      </w:r>
      <w:r>
        <w:rPr>
          <w:vertAlign w:val="subscript"/>
        </w:rPr>
        <w:t>t</w:t>
      </w:r>
      <w:r>
        <w:t xml:space="preserve"> be the projected medium pathway from the exponential smoothing model. The cumulative growth ratio of the medium pathway relative to the final observed year was calculated as:</w:t>
      </w:r>
    </w:p>
    <w:tbl>
      <w:tblPr>
        <w:tblW w:w="8364" w:type="dxa"/>
        <w:tblLayout w:type="fixed"/>
        <w:tblLook w:val="04A0" w:firstRow="1" w:lastRow="0" w:firstColumn="1" w:lastColumn="0" w:noHBand="0" w:noVBand="1"/>
      </w:tblPr>
      <w:tblGrid>
        <w:gridCol w:w="7796"/>
        <w:gridCol w:w="568"/>
      </w:tblGrid>
      <w:tr w:rsidR="002A1696" w14:paraId="0408546C" w14:textId="77777777">
        <w:trPr>
          <w:cantSplit/>
          <w:trHeight w:val="300"/>
        </w:trPr>
        <w:tc>
          <w:tcPr>
            <w:tcW w:w="7796" w:type="dxa"/>
          </w:tcPr>
          <w:p w14:paraId="0408546A"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
                  <m:sSubPr>
                    <m:ctrlPr>
                      <w:rPr>
                        <w:rFonts w:ascii="Cambria Math" w:hAnsi="Cambria Math"/>
                      </w:rPr>
                    </m:ctrlPr>
                  </m:sSubPr>
                  <m:e>
                    <m:r>
                      <w:rPr>
                        <w:rFonts w:ascii="Cambria Math" w:hAnsi="Cambria Math"/>
                      </w:rPr>
                      <m:t>G</m:t>
                    </m:r>
                  </m:e>
                  <m:sub>
                    <m:r>
                      <w:rPr>
                        <w:rFonts w:ascii="Cambria Math" w:hAnsi="Cambria Math"/>
                      </w:rPr>
                      <m:t>t</m:t>
                    </m:r>
                  </m:sub>
                </m:sSub>
                <m:r>
                  <m:rPr>
                    <m:lit/>
                    <m:nor/>
                  </m:rPr>
                  <m:t xml:space="preserve"> = </m:t>
                </m:r>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t</m:t>
                        </m:r>
                      </m:sub>
                    </m:sSub>
                  </m:num>
                  <m:den>
                    <m:sSub>
                      <m:sSubPr>
                        <m:ctrlPr>
                          <w:rPr>
                            <w:rFonts w:ascii="Cambria Math" w:hAnsi="Cambria Math"/>
                          </w:rPr>
                        </m:ctrlPr>
                      </m:sSubPr>
                      <m:e>
                        <m:r>
                          <w:rPr>
                            <w:rFonts w:ascii="Cambria Math" w:hAnsi="Cambria Math"/>
                          </w:rPr>
                          <m:t>V</m:t>
                        </m:r>
                      </m:e>
                      <m:sub>
                        <m:r>
                          <w:rPr>
                            <w:rFonts w:ascii="Cambria Math" w:hAnsi="Cambria Math"/>
                          </w:rPr>
                          <m:t>2024</m:t>
                        </m:r>
                      </m:sub>
                    </m:sSub>
                  </m:den>
                </m:f>
              </m:oMath>
            </m:oMathPara>
          </w:p>
        </w:tc>
        <w:tc>
          <w:tcPr>
            <w:tcW w:w="568" w:type="dxa"/>
            <w:vAlign w:val="center"/>
          </w:tcPr>
          <w:p w14:paraId="0408546B"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6D" w14:textId="77777777" w:rsidR="002A1696" w:rsidRDefault="00C30874">
      <w:pPr>
        <w:ind w:firstLineChars="0" w:firstLine="0"/>
      </w:pPr>
      <w:r>
        <w:t>Each scenario-specific labour cost pathway was then generated by raising the cumulative growth ratio to a scenario-specific scaling exponent:</w:t>
      </w:r>
    </w:p>
    <w:tbl>
      <w:tblPr>
        <w:tblW w:w="8364" w:type="dxa"/>
        <w:tblLayout w:type="fixed"/>
        <w:tblLook w:val="04A0" w:firstRow="1" w:lastRow="0" w:firstColumn="1" w:lastColumn="0" w:noHBand="0" w:noVBand="1"/>
      </w:tblPr>
      <w:tblGrid>
        <w:gridCol w:w="7796"/>
        <w:gridCol w:w="568"/>
      </w:tblGrid>
      <w:tr w:rsidR="002A1696" w14:paraId="04085470" w14:textId="77777777">
        <w:trPr>
          <w:cantSplit/>
          <w:trHeight w:val="300"/>
        </w:trPr>
        <w:tc>
          <w:tcPr>
            <w:tcW w:w="7796" w:type="dxa"/>
          </w:tcPr>
          <w:p w14:paraId="0408546E"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
                  <m:sSubPr>
                    <m:ctrlPr>
                      <w:rPr>
                        <w:rFonts w:ascii="Cambria Math" w:hAnsi="Cambria Math"/>
                      </w:rPr>
                    </m:ctrlPr>
                  </m:sSubPr>
                  <m:e>
                    <m:r>
                      <w:rPr>
                        <w:rFonts w:ascii="Cambria Math" w:hAnsi="Cambria Math"/>
                      </w:rPr>
                      <m:t>Scenario</m:t>
                    </m:r>
                  </m:e>
                  <m:sub>
                    <m:r>
                      <w:rPr>
                        <w:rFonts w:ascii="Cambria Math" w:hAnsi="Cambria Math"/>
                      </w:rPr>
                      <m:t>t</m:t>
                    </m:r>
                  </m:sub>
                </m:sSub>
                <m:r>
                  <m:rPr>
                    <m:lit/>
                    <m:nor/>
                  </m:rPr>
                  <m:t xml:space="preserve"> = </m:t>
                </m:r>
                <m:sSub>
                  <m:sSubPr>
                    <m:ctrlPr>
                      <w:rPr>
                        <w:rFonts w:ascii="Cambria Math" w:hAnsi="Cambria Math"/>
                      </w:rPr>
                    </m:ctrlPr>
                  </m:sSubPr>
                  <m:e>
                    <m:r>
                      <w:rPr>
                        <w:rFonts w:ascii="Cambria Math" w:hAnsi="Cambria Math"/>
                      </w:rPr>
                      <m:t>V</m:t>
                    </m:r>
                  </m:e>
                  <m:sub>
                    <m:r>
                      <w:rPr>
                        <w:rFonts w:ascii="Cambria Math" w:hAnsi="Cambria Math"/>
                      </w:rPr>
                      <m:t>2024</m:t>
                    </m:r>
                  </m:sub>
                </m:sSub>
                <m:r>
                  <m:rPr>
                    <m:lit/>
                    <m:nor/>
                  </m:rPr>
                  <m:t xml:space="preserve"> </m:t>
                </m:r>
                <m:r>
                  <w:rPr>
                    <w:rFonts w:ascii="Cambria Math" w:hAnsi="Cambria Math"/>
                  </w:rPr>
                  <m:t>×</m:t>
                </m:r>
                <m:r>
                  <m:rPr>
                    <m:lit/>
                    <m:nor/>
                  </m:rPr>
                  <m:t xml:space="preserve"> </m:t>
                </m:r>
                <m:sSup>
                  <m:sSupPr>
                    <m:ctrlPr>
                      <w:rPr>
                        <w:rFonts w:ascii="Cambria Math" w:hAnsi="Cambria Math"/>
                      </w:rPr>
                    </m:ctrlPr>
                  </m:sSupPr>
                  <m:e>
                    <m:sSub>
                      <m:sSubPr>
                        <m:ctrlPr>
                          <w:rPr>
                            <w:rFonts w:ascii="Cambria Math" w:hAnsi="Cambria Math"/>
                          </w:rPr>
                        </m:ctrlPr>
                      </m:sSubPr>
                      <m:e>
                        <m:r>
                          <w:rPr>
                            <w:rFonts w:ascii="Cambria Math" w:hAnsi="Cambria Math"/>
                          </w:rPr>
                          <m:t>G</m:t>
                        </m:r>
                      </m:e>
                      <m:sub>
                        <m:r>
                          <w:rPr>
                            <w:rFonts w:ascii="Cambria Math" w:hAnsi="Cambria Math"/>
                          </w:rPr>
                          <m:t>t</m:t>
                        </m:r>
                      </m:sub>
                    </m:sSub>
                  </m:e>
                  <m:sup>
                    <m:r>
                      <w:rPr>
                        <w:rFonts w:ascii="Cambria Math" w:hAnsi="Cambria Math"/>
                      </w:rPr>
                      <m:t>k</m:t>
                    </m:r>
                  </m:sup>
                </m:sSup>
              </m:oMath>
            </m:oMathPara>
          </w:p>
        </w:tc>
        <w:tc>
          <w:tcPr>
            <w:tcW w:w="568" w:type="dxa"/>
            <w:vAlign w:val="center"/>
          </w:tcPr>
          <w:p w14:paraId="0408546F"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71" w14:textId="3178998C" w:rsidR="002A1696" w:rsidRDefault="00C30874">
      <w:pPr>
        <w:ind w:firstLineChars="0" w:firstLine="0"/>
      </w:pPr>
      <w:r>
        <w:t xml:space="preserve">where </w:t>
      </w:r>
      <w:r>
        <w:rPr>
          <w:i/>
        </w:rPr>
        <w:t>k</w:t>
      </w:r>
      <w:r>
        <w:t xml:space="preserve"> is a scenario-specific growth-rate scaling exponent. Four labour cost scenarios were defined: low (</w:t>
      </w:r>
      <w:r>
        <w:rPr>
          <w:i/>
        </w:rPr>
        <w:t>k</w:t>
      </w:r>
      <w:r>
        <w:t xml:space="preserve"> = 0.5), medium (</w:t>
      </w:r>
      <w:r>
        <w:rPr>
          <w:i/>
        </w:rPr>
        <w:t>k</w:t>
      </w:r>
      <w:r>
        <w:t xml:space="preserve"> = 1.0), high (</w:t>
      </w:r>
      <w:r>
        <w:rPr>
          <w:i/>
        </w:rPr>
        <w:t>k</w:t>
      </w:r>
      <w:r>
        <w:t xml:space="preserve"> = 1.5), and very high (</w:t>
      </w:r>
      <w:r>
        <w:rPr>
          <w:i/>
        </w:rPr>
        <w:t>k</w:t>
      </w:r>
      <w:r>
        <w:t xml:space="preserve"> = 2.0). All scenarios were thus fixed to the same final observed value in 2024 but diverged thereafter according to different assumed rates of cumulative labour cost growth. The low scenario represents half the baseline cumulative growth rate, the medium scenario follows the fitted baseline trajectory, the high scenario applies 1.5 times the baseline cumulative growth rate, and the very high scenario applies twice the baseline rate. The resulting multipliers were applied uniformly across relevant agricultural commodities in the LUTO2 farm labour cost input table.</w:t>
      </w:r>
    </w:p>
    <w:p w14:paraId="04085472" w14:textId="77777777" w:rsidR="002A1696" w:rsidRDefault="00C30874">
      <w:pPr>
        <w:pStyle w:val="2"/>
      </w:pPr>
      <w:bookmarkStart w:id="0" w:name="_Ref229393866"/>
      <w:r>
        <w:lastRenderedPageBreak/>
        <w:t>Feedlot sector</w:t>
      </w:r>
      <w:bookmarkEnd w:id="0"/>
    </w:p>
    <w:p w14:paraId="04085473" w14:textId="2AE1D8BD" w:rsidR="002A1696" w:rsidRDefault="00C30874">
      <w:pPr>
        <w:ind w:firstLine="420"/>
      </w:pPr>
      <w:r>
        <w:t>Assumptions for the feedlot sector were derived from historical and projected changes in Australian grain-fed cattle production. Historical feedlot cattle shares from 2005 to 2024 were obtained from industry statistics published by Meat &amp; Livestock Australia (MLA) and the Australian Lot Feeders’ Association (ALFA)</w:t>
      </w:r>
      <w:r>
        <w:rPr>
          <w:rFonts w:hint="eastAsia"/>
        </w:rPr>
        <w:t xml:space="preserve"> </w:t>
      </w:r>
      <w:r>
        <w:fldChar w:fldCharType="begin">
          <w:fldData xml:space="preserve">PEVuZE5vdGU+PENpdGU+PEF1dGhvcj5BTEZBPC9BdXRob3I+PFllYXI+MjAyNTwvWWVhcj48UmVj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=
</w:fldData>
        </w:fldChar>
      </w:r>
      <w:r w:rsidR="00A47AEC">
        <w:instrText xml:space="preserve"> ADDIN EN.CITE </w:instrText>
      </w:r>
      <w:r w:rsidR="00A47AEC">
        <w:fldChar w:fldCharType="begin">
          <w:fldData xml:space="preserve">PEVuZE5vdGU+PENpdGU+PEF1dGhvcj5BTEZBPC9BdXRob3I+PFllYXI+MjAyNTwvWWVhcj48UmVj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=
</w:fldData>
        </w:fldChar>
      </w:r>
      <w:r w:rsidR="00A47AEC">
        <w:instrText xml:space="preserve"> ADDIN EN.CITE.DATA </w:instrText>
      </w:r>
      <w:r w:rsidR="00A47AEC">
        <w:fldChar w:fldCharType="end"/>
      </w:r>
      <w:r>
        <w:fldChar w:fldCharType="separate"/>
      </w:r>
      <w:r w:rsidR="007C0C3E" w:rsidRPr="007C0C3E">
        <w:rPr>
          <w:noProof/>
          <w:vertAlign w:val="superscript"/>
        </w:rPr>
        <w:t>36-38</w:t>
      </w:r>
      <w:r>
        <w:fldChar w:fldCharType="end"/>
      </w:r>
      <w:r>
        <w:t>. These historical shares were projected to 2050 using an exponential smoothing model with additive error, additive damped trend, and no seasonal component.</w:t>
      </w:r>
    </w:p>
    <w:p w14:paraId="04085474" w14:textId="77777777" w:rsidR="002A1696" w:rsidRDefault="00C30874">
      <w:pPr>
        <w:ind w:firstLine="420"/>
      </w:pPr>
      <w:r>
        <w:t>The medium feedlot pathway was defined as the mean forecast from the fitted ETS model. The low pathway was derived from the lower bound of the 95% prediction interval, the high pathway from the upper bound of the 80% prediction interval, and the very high pathway from the upper bound of the 95% prediction interval.</w:t>
      </w:r>
    </w:p>
    <w:p w14:paraId="04085475" w14:textId="77777777" w:rsidR="002A1696" w:rsidRDefault="00C30874">
      <w:pPr>
        <w:pStyle w:val="3"/>
      </w:pPr>
      <w:r>
        <w:t>Feedlot share partitioning</w:t>
      </w:r>
    </w:p>
    <w:p w14:paraId="04085476" w14:textId="5A6BD6FC" w:rsidR="002A1696" w:rsidRDefault="00C30874">
      <w:pPr>
        <w:ind w:firstLine="420"/>
      </w:pPr>
      <w:r>
        <w:t>The projected feedlot shares were used to estimate the composition of beef production across cattle production systems</w:t>
      </w:r>
      <w:r>
        <w:rPr>
          <w:rFonts w:hint="eastAsia"/>
        </w:rPr>
        <w:t xml:space="preserve"> </w:t>
      </w:r>
      <w:r>
        <w:fldChar w:fldCharType="begin"/>
      </w:r>
      <w:r w:rsidR="00A47AEC">
        <w:instrText xml:space="preserve"> ADDIN EN.CITE &lt;EndNote&gt;&lt;Cite&gt;&lt;Author&gt;Condon&lt;/Author&gt;&lt;Year&gt;2025&lt;/Year&gt;&lt;RecNum&gt;562&lt;/RecNum&gt;&lt;DisplayText&gt;&lt;style face="superscript"&gt;37&lt;/style&gt;&lt;/DisplayText&gt;&lt;record&gt;&lt;rec-number&gt;562&lt;/rec-number&gt;&lt;foreign-keys&gt;&lt;key app="EN" db-id="st0zxxax1wfadte9s5gpaptza9tfvrzsvaxs" timestamp="1773646978" guid="afe867c9-939f-45d5-8b16-a62230fafa86"&gt;562&lt;/key&gt;&lt;/foreign-keys&gt;&lt;ref-type name="Web Page"&gt;12&lt;/ref-type&gt;&lt;contributors&gt;&lt;authors&gt;&lt;author&gt;Condon, Jon&lt;/author&gt;&lt;/authors&gt;&lt;/contributors&gt;&lt;titles&gt;&lt;title&gt;Segmented days-on-feed data adds value to quarterly feedlot industry surveys&lt;/title&gt;&lt;alt-title&gt;Beef Central&lt;/alt-title&gt;&lt;/titles&gt;&lt;dates&gt;&lt;year&gt;2025&lt;/year&gt;&lt;pub-dates&gt;&lt;date&gt;2025-07-09&lt;/date&gt;&lt;/pub-dates&gt;&lt;/dates&gt;&lt;urls&gt;&lt;related-urls&gt;&lt;url&gt;https://www.beefcentral.com/news/segmented-days-on-feed-data-adds-value-to-quarterly-feedlot-industry-surveys/&lt;/url&gt;&lt;/related-urls&gt;&lt;/urls&gt;&lt;/record&gt;&lt;/Cite&gt;&lt;/EndNote&gt;</w:instrText>
      </w:r>
      <w:r>
        <w:fldChar w:fldCharType="separate"/>
      </w:r>
      <w:r w:rsidR="007C0C3E" w:rsidRPr="007C0C3E">
        <w:rPr>
          <w:noProof/>
          <w:vertAlign w:val="superscript"/>
        </w:rPr>
        <w:t>37</w:t>
      </w:r>
      <w:r>
        <w:fldChar w:fldCharType="end"/>
      </w:r>
      <w:r>
        <w:t>. The non-feedlot share was assigned to grass-fed cattle, while the feedlot share was partitioned into short-fed, mid-fed, and long-fed cattle using fixed proportions derived from industry production structure:</w:t>
      </w:r>
    </w:p>
    <w:tbl>
      <w:tblPr>
        <w:tblStyle w:val="aff3"/>
        <w:tblW w:w="8364" w:type="dxa"/>
        <w:tblLayout w:type="fixed"/>
        <w:tblLook w:val="04A0" w:firstRow="1" w:lastRow="0" w:firstColumn="1" w:lastColumn="0" w:noHBand="0" w:noVBand="1"/>
      </w:tblPr>
      <w:tblGrid>
        <w:gridCol w:w="7796"/>
        <w:gridCol w:w="568"/>
      </w:tblGrid>
      <w:tr w:rsidR="002A1696" w14:paraId="04085479" w14:textId="77777777">
        <w:trPr>
          <w:cantSplit/>
          <w:trHeight w:val="300"/>
        </w:trPr>
        <w:tc>
          <w:tcPr>
            <w:tcW w:w="7796" w:type="dxa"/>
            <w:tcBorders>
              <w:top w:val="nil"/>
              <w:left w:val="nil"/>
              <w:bottom w:val="nil"/>
              <w:right w:val="nil"/>
            </w:tcBorders>
          </w:tcPr>
          <w:p w14:paraId="04085477"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
                  <m:sSubPr>
                    <m:ctrlPr>
                      <w:rPr>
                        <w:rFonts w:ascii="Cambria Math" w:hAnsi="Cambria Math"/>
                      </w:rPr>
                    </m:ctrlPr>
                  </m:sSubPr>
                  <m:e>
                    <m:r>
                      <w:rPr>
                        <w:rFonts w:ascii="Cambria Math" w:hAnsi="Cambria Math"/>
                      </w:rPr>
                      <m:t>S</m:t>
                    </m:r>
                  </m:e>
                  <m:sub>
                    <m:r>
                      <w:rPr>
                        <w:rFonts w:ascii="Cambria Math" w:hAnsi="Cambria Math"/>
                      </w:rPr>
                      <m:t>grass</m:t>
                    </m:r>
                    <m:r>
                      <w:rPr>
                        <w:rFonts w:ascii="Cambria Math" w:hAnsi="Cambria Math"/>
                      </w:rPr>
                      <m:t>,</m:t>
                    </m:r>
                    <m:r>
                      <w:rPr>
                        <w:rFonts w:ascii="Cambria Math" w:hAnsi="Cambria Math"/>
                      </w:rPr>
                      <m:t>t</m:t>
                    </m:r>
                  </m:sub>
                </m:sSub>
                <m:r>
                  <m:rPr>
                    <m:lit/>
                    <m:nor/>
                  </m:rPr>
                  <m:t xml:space="preserve"> = </m:t>
                </m:r>
                <m:r>
                  <w:rPr>
                    <w:rFonts w:ascii="Cambria Math" w:hAnsi="Cambria Math"/>
                  </w:rPr>
                  <m:t>1</m:t>
                </m:r>
                <m:r>
                  <m:rPr>
                    <m:lit/>
                    <m:nor/>
                  </m:rPr>
                  <m:t xml:space="preserve"> - </m:t>
                </m:r>
                <m:sSub>
                  <m:sSubPr>
                    <m:ctrlPr>
                      <w:rPr>
                        <w:rFonts w:ascii="Cambria Math" w:hAnsi="Cambria Math"/>
                      </w:rPr>
                    </m:ctrlPr>
                  </m:sSubPr>
                  <m:e>
                    <m:r>
                      <w:rPr>
                        <w:rFonts w:ascii="Cambria Math" w:hAnsi="Cambria Math"/>
                      </w:rPr>
                      <m:t>S</m:t>
                    </m:r>
                  </m:e>
                  <m:sub>
                    <m:r>
                      <w:rPr>
                        <w:rFonts w:ascii="Cambria Math" w:hAnsi="Cambria Math"/>
                      </w:rPr>
                      <m:t>feedlot</m:t>
                    </m:r>
                    <m:r>
                      <w:rPr>
                        <w:rFonts w:ascii="Cambria Math" w:hAnsi="Cambria Math"/>
                      </w:rPr>
                      <m:t>,</m:t>
                    </m:r>
                    <m:r>
                      <w:rPr>
                        <w:rFonts w:ascii="Cambria Math" w:hAnsi="Cambria Math"/>
                      </w:rPr>
                      <m:t>t</m:t>
                    </m:r>
                  </m:sub>
                </m:sSub>
              </m:oMath>
            </m:oMathPara>
          </w:p>
        </w:tc>
        <w:tc>
          <w:tcPr>
            <w:tcW w:w="568" w:type="dxa"/>
            <w:tcBorders>
              <w:top w:val="nil"/>
              <w:left w:val="nil"/>
              <w:bottom w:val="nil"/>
              <w:right w:val="nil"/>
            </w:tcBorders>
            <w:vAlign w:val="center"/>
          </w:tcPr>
          <w:p w14:paraId="04085478"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r w:rsidR="002A1696" w14:paraId="0408547C" w14:textId="77777777">
        <w:trPr>
          <w:cantSplit/>
          <w:trHeight w:val="300"/>
        </w:trPr>
        <w:tc>
          <w:tcPr>
            <w:tcW w:w="7796" w:type="dxa"/>
            <w:tcBorders>
              <w:top w:val="nil"/>
              <w:left w:val="nil"/>
              <w:bottom w:val="nil"/>
              <w:right w:val="nil"/>
            </w:tcBorders>
          </w:tcPr>
          <w:p w14:paraId="0408547A" w14:textId="77777777" w:rsidR="002A1696" w:rsidRDefault="0066677A">
            <w:pPr>
              <w:spacing w:before="156" w:after="156"/>
              <w:ind w:firstLineChars="0" w:firstLine="0"/>
              <w:jc w:val="center"/>
              <w:rPr>
                <w:rFonts w:cs="Arial"/>
                <w:sz w:val="18"/>
                <w:szCs w:val="18"/>
              </w:rPr>
            </w:pPr>
            <m:oMathPara>
              <m:oMathParaPr>
                <m:jc m:val="center"/>
              </m:oMathParaPr>
              <m:oMath>
                <m:sSub>
                  <m:sSubPr>
                    <m:ctrlPr>
                      <w:rPr>
                        <w:rFonts w:ascii="Cambria Math" w:hAnsi="Cambria Math"/>
                      </w:rPr>
                    </m:ctrlPr>
                  </m:sSubPr>
                  <m:e>
                    <m:r>
                      <w:rPr>
                        <w:rFonts w:ascii="Cambria Math" w:hAnsi="Cambria Math"/>
                      </w:rPr>
                      <m:t>S</m:t>
                    </m:r>
                  </m:e>
                  <m:sub>
                    <m:r>
                      <w:rPr>
                        <w:rFonts w:ascii="Cambria Math" w:hAnsi="Cambria Math"/>
                      </w:rPr>
                      <m:t>s</m:t>
                    </m:r>
                    <m:r>
                      <w:rPr>
                        <w:rFonts w:ascii="Cambria Math" w:hAnsi="Cambria Math"/>
                      </w:rPr>
                      <m:t>h</m:t>
                    </m:r>
                    <m:r>
                      <w:rPr>
                        <w:rFonts w:ascii="Cambria Math" w:hAnsi="Cambria Math"/>
                      </w:rPr>
                      <m:t>ort</m:t>
                    </m:r>
                    <m:r>
                      <w:rPr>
                        <w:rFonts w:ascii="Cambria Math" w:hAnsi="Cambria Math"/>
                      </w:rPr>
                      <m:t>,</m:t>
                    </m:r>
                    <m:r>
                      <w:rPr>
                        <w:rFonts w:ascii="Cambria Math" w:hAnsi="Cambria Math"/>
                      </w:rPr>
                      <m:t>t</m:t>
                    </m:r>
                  </m:sub>
                </m:sSub>
                <m:r>
                  <m:rPr>
                    <m:lit/>
                    <m:nor/>
                  </m:rPr>
                  <m:t xml:space="preserve"> = </m:t>
                </m:r>
                <m:r>
                  <w:rPr>
                    <w:rFonts w:ascii="Cambria Math" w:hAnsi="Cambria Math"/>
                  </w:rPr>
                  <m:t>0.200</m:t>
                </m:r>
                <m:r>
                  <m:rPr>
                    <m:lit/>
                    <m:nor/>
                  </m:rPr>
                  <m:t xml:space="preserve"> </m:t>
                </m:r>
                <m:r>
                  <w:rPr>
                    <w:rFonts w:ascii="Cambria Math" w:hAnsi="Cambria Math"/>
                  </w:rPr>
                  <m:t>×</m:t>
                </m:r>
                <m:r>
                  <m:rPr>
                    <m:lit/>
                    <m:nor/>
                  </m:rPr>
                  <m:t xml:space="preserve"> </m:t>
                </m:r>
                <m:sSub>
                  <m:sSubPr>
                    <m:ctrlPr>
                      <w:rPr>
                        <w:rFonts w:ascii="Cambria Math" w:hAnsi="Cambria Math"/>
                      </w:rPr>
                    </m:ctrlPr>
                  </m:sSubPr>
                  <m:e>
                    <m:r>
                      <w:rPr>
                        <w:rFonts w:ascii="Cambria Math" w:hAnsi="Cambria Math"/>
                      </w:rPr>
                      <m:t>S</m:t>
                    </m:r>
                  </m:e>
                  <m:sub>
                    <m:r>
                      <w:rPr>
                        <w:rFonts w:ascii="Cambria Math" w:hAnsi="Cambria Math"/>
                      </w:rPr>
                      <m:t>feedlot</m:t>
                    </m:r>
                    <m:r>
                      <w:rPr>
                        <w:rFonts w:ascii="Cambria Math" w:hAnsi="Cambria Math"/>
                      </w:rPr>
                      <m:t>,</m:t>
                    </m:r>
                    <m:r>
                      <w:rPr>
                        <w:rFonts w:ascii="Cambria Math" w:hAnsi="Cambria Math"/>
                      </w:rPr>
                      <m:t>t</m:t>
                    </m:r>
                  </m:sub>
                </m:sSub>
              </m:oMath>
            </m:oMathPara>
          </w:p>
        </w:tc>
        <w:tc>
          <w:tcPr>
            <w:tcW w:w="568" w:type="dxa"/>
            <w:tcBorders>
              <w:top w:val="nil"/>
              <w:left w:val="nil"/>
              <w:bottom w:val="nil"/>
              <w:right w:val="nil"/>
            </w:tcBorders>
            <w:vAlign w:val="center"/>
          </w:tcPr>
          <w:p w14:paraId="0408547B" w14:textId="77777777" w:rsidR="002A1696" w:rsidRDefault="00C30874">
            <w:pPr>
              <w:spacing w:before="156" w:after="156"/>
              <w:ind w:firstLineChars="0" w:firstLine="0"/>
              <w:jc w:val="right"/>
              <w:rPr>
                <w:rFonts w:eastAsia="宋体"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r w:rsidR="002A1696" w14:paraId="0408547F" w14:textId="77777777">
        <w:trPr>
          <w:cantSplit/>
          <w:trHeight w:val="300"/>
        </w:trPr>
        <w:tc>
          <w:tcPr>
            <w:tcW w:w="7796" w:type="dxa"/>
            <w:tcBorders>
              <w:top w:val="nil"/>
              <w:left w:val="nil"/>
              <w:bottom w:val="nil"/>
              <w:right w:val="nil"/>
            </w:tcBorders>
          </w:tcPr>
          <w:p w14:paraId="0408547D" w14:textId="77777777" w:rsidR="002A1696" w:rsidRDefault="0066677A">
            <w:pPr>
              <w:spacing w:before="156" w:after="156"/>
              <w:ind w:firstLineChars="0" w:firstLine="0"/>
              <w:jc w:val="center"/>
              <w:rPr>
                <w:rFonts w:cs="Arial"/>
                <w:sz w:val="18"/>
                <w:szCs w:val="18"/>
              </w:rPr>
            </w:pPr>
            <m:oMathPara>
              <m:oMathParaPr>
                <m:jc m:val="center"/>
              </m:oMathParaPr>
              <m:oMath>
                <m:sSub>
                  <m:sSubPr>
                    <m:ctrlPr>
                      <w:rPr>
                        <w:rFonts w:ascii="Cambria Math" w:hAnsi="Cambria Math"/>
                      </w:rPr>
                    </m:ctrlPr>
                  </m:sSubPr>
                  <m:e>
                    <m:r>
                      <w:rPr>
                        <w:rFonts w:ascii="Cambria Math" w:hAnsi="Cambria Math"/>
                      </w:rPr>
                      <m:t>S</m:t>
                    </m:r>
                  </m:e>
                  <m:sub>
                    <m:r>
                      <w:rPr>
                        <w:rFonts w:ascii="Cambria Math" w:hAnsi="Cambria Math"/>
                      </w:rPr>
                      <m:t>mid</m:t>
                    </m:r>
                    <m:r>
                      <w:rPr>
                        <w:rFonts w:ascii="Cambria Math" w:hAnsi="Cambria Math"/>
                      </w:rPr>
                      <m:t>,</m:t>
                    </m:r>
                    <m:r>
                      <w:rPr>
                        <w:rFonts w:ascii="Cambria Math" w:hAnsi="Cambria Math"/>
                      </w:rPr>
                      <m:t>t</m:t>
                    </m:r>
                  </m:sub>
                </m:sSub>
                <m:r>
                  <m:rPr>
                    <m:lit/>
                    <m:nor/>
                  </m:rPr>
                  <m:t xml:space="preserve"> = </m:t>
                </m:r>
                <m:r>
                  <w:rPr>
                    <w:rFonts w:ascii="Cambria Math" w:hAnsi="Cambria Math"/>
                  </w:rPr>
                  <m:t>0.662</m:t>
                </m:r>
                <m:r>
                  <m:rPr>
                    <m:lit/>
                    <m:nor/>
                  </m:rPr>
                  <m:t xml:space="preserve"> </m:t>
                </m:r>
                <m:r>
                  <w:rPr>
                    <w:rFonts w:ascii="Cambria Math" w:hAnsi="Cambria Math"/>
                  </w:rPr>
                  <m:t>×</m:t>
                </m:r>
                <m:r>
                  <m:rPr>
                    <m:lit/>
                    <m:nor/>
                  </m:rPr>
                  <m:t xml:space="preserve"> </m:t>
                </m:r>
                <m:sSub>
                  <m:sSubPr>
                    <m:ctrlPr>
                      <w:rPr>
                        <w:rFonts w:ascii="Cambria Math" w:hAnsi="Cambria Math"/>
                      </w:rPr>
                    </m:ctrlPr>
                  </m:sSubPr>
                  <m:e>
                    <m:r>
                      <w:rPr>
                        <w:rFonts w:ascii="Cambria Math" w:hAnsi="Cambria Math"/>
                      </w:rPr>
                      <m:t>S</m:t>
                    </m:r>
                  </m:e>
                  <m:sub>
                    <m:r>
                      <w:rPr>
                        <w:rFonts w:ascii="Cambria Math" w:hAnsi="Cambria Math"/>
                      </w:rPr>
                      <m:t>feedlot</m:t>
                    </m:r>
                    <m:r>
                      <w:rPr>
                        <w:rFonts w:ascii="Cambria Math" w:hAnsi="Cambria Math"/>
                      </w:rPr>
                      <m:t>,</m:t>
                    </m:r>
                    <m:r>
                      <w:rPr>
                        <w:rFonts w:ascii="Cambria Math" w:hAnsi="Cambria Math"/>
                      </w:rPr>
                      <m:t>t</m:t>
                    </m:r>
                  </m:sub>
                </m:sSub>
              </m:oMath>
            </m:oMathPara>
          </w:p>
        </w:tc>
        <w:tc>
          <w:tcPr>
            <w:tcW w:w="568" w:type="dxa"/>
            <w:tcBorders>
              <w:top w:val="nil"/>
              <w:left w:val="nil"/>
              <w:bottom w:val="nil"/>
              <w:right w:val="nil"/>
            </w:tcBorders>
            <w:vAlign w:val="center"/>
          </w:tcPr>
          <w:p w14:paraId="0408547E" w14:textId="77777777" w:rsidR="002A1696" w:rsidRDefault="00C30874">
            <w:pPr>
              <w:spacing w:before="156" w:after="156"/>
              <w:ind w:firstLineChars="0" w:firstLine="0"/>
              <w:jc w:val="right"/>
              <w:rPr>
                <w:rFonts w:eastAsia="宋体"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r w:rsidR="002A1696" w14:paraId="04085482" w14:textId="77777777">
        <w:trPr>
          <w:cantSplit/>
          <w:trHeight w:val="300"/>
        </w:trPr>
        <w:tc>
          <w:tcPr>
            <w:tcW w:w="7796" w:type="dxa"/>
            <w:tcBorders>
              <w:top w:val="nil"/>
              <w:left w:val="nil"/>
              <w:bottom w:val="nil"/>
              <w:right w:val="nil"/>
            </w:tcBorders>
          </w:tcPr>
          <w:p w14:paraId="04085480" w14:textId="77777777" w:rsidR="002A1696" w:rsidRDefault="0066677A">
            <w:pPr>
              <w:spacing w:before="156" w:after="156"/>
              <w:ind w:firstLineChars="0" w:firstLine="0"/>
              <w:jc w:val="center"/>
              <w:rPr>
                <w:rFonts w:cs="Arial"/>
                <w:sz w:val="18"/>
                <w:szCs w:val="18"/>
              </w:rPr>
            </w:pPr>
            <m:oMathPara>
              <m:oMathParaPr>
                <m:jc m:val="center"/>
              </m:oMathParaPr>
              <m:oMath>
                <m:sSub>
                  <m:sSubPr>
                    <m:ctrlPr>
                      <w:rPr>
                        <w:rFonts w:ascii="Cambria Math" w:hAnsi="Cambria Math"/>
                      </w:rPr>
                    </m:ctrlPr>
                  </m:sSubPr>
                  <m:e>
                    <m:r>
                      <w:rPr>
                        <w:rFonts w:ascii="Cambria Math" w:hAnsi="Cambria Math"/>
                      </w:rPr>
                      <m:t>S</m:t>
                    </m:r>
                  </m:e>
                  <m:sub>
                    <m:r>
                      <w:rPr>
                        <w:rFonts w:ascii="Cambria Math" w:hAnsi="Cambria Math"/>
                      </w:rPr>
                      <m:t>long</m:t>
                    </m:r>
                    <m:r>
                      <w:rPr>
                        <w:rFonts w:ascii="Cambria Math" w:hAnsi="Cambria Math"/>
                      </w:rPr>
                      <m:t>,</m:t>
                    </m:r>
                    <m:r>
                      <w:rPr>
                        <w:rFonts w:ascii="Cambria Math" w:hAnsi="Cambria Math"/>
                      </w:rPr>
                      <m:t>t</m:t>
                    </m:r>
                  </m:sub>
                </m:sSub>
                <m:r>
                  <m:rPr>
                    <m:lit/>
                    <m:nor/>
                  </m:rPr>
                  <m:t xml:space="preserve"> = </m:t>
                </m:r>
                <m:r>
                  <w:rPr>
                    <w:rFonts w:ascii="Cambria Math" w:hAnsi="Cambria Math"/>
                  </w:rPr>
                  <m:t>0.138</m:t>
                </m:r>
                <m:r>
                  <m:rPr>
                    <m:lit/>
                    <m:nor/>
                  </m:rPr>
                  <m:t xml:space="preserve"> </m:t>
                </m:r>
                <m:r>
                  <w:rPr>
                    <w:rFonts w:ascii="Cambria Math" w:hAnsi="Cambria Math"/>
                  </w:rPr>
                  <m:t>×</m:t>
                </m:r>
                <m:r>
                  <m:rPr>
                    <m:lit/>
                    <m:nor/>
                  </m:rPr>
                  <m:t xml:space="preserve"> </m:t>
                </m:r>
                <m:sSub>
                  <m:sSubPr>
                    <m:ctrlPr>
                      <w:rPr>
                        <w:rFonts w:ascii="Cambria Math" w:hAnsi="Cambria Math"/>
                      </w:rPr>
                    </m:ctrlPr>
                  </m:sSubPr>
                  <m:e>
                    <m:r>
                      <w:rPr>
                        <w:rFonts w:ascii="Cambria Math" w:hAnsi="Cambria Math"/>
                      </w:rPr>
                      <m:t>S</m:t>
                    </m:r>
                  </m:e>
                  <m:sub>
                    <m:r>
                      <w:rPr>
                        <w:rFonts w:ascii="Cambria Math" w:hAnsi="Cambria Math"/>
                      </w:rPr>
                      <m:t>feedlot</m:t>
                    </m:r>
                    <m:r>
                      <w:rPr>
                        <w:rFonts w:ascii="Cambria Math" w:hAnsi="Cambria Math"/>
                      </w:rPr>
                      <m:t>,</m:t>
                    </m:r>
                    <m:r>
                      <w:rPr>
                        <w:rFonts w:ascii="Cambria Math" w:hAnsi="Cambria Math"/>
                      </w:rPr>
                      <m:t>t</m:t>
                    </m:r>
                  </m:sub>
                </m:sSub>
              </m:oMath>
            </m:oMathPara>
          </w:p>
        </w:tc>
        <w:tc>
          <w:tcPr>
            <w:tcW w:w="568" w:type="dxa"/>
            <w:tcBorders>
              <w:top w:val="nil"/>
              <w:left w:val="nil"/>
              <w:bottom w:val="nil"/>
              <w:right w:val="nil"/>
            </w:tcBorders>
            <w:vAlign w:val="center"/>
          </w:tcPr>
          <w:p w14:paraId="04085481" w14:textId="77777777" w:rsidR="002A1696" w:rsidRDefault="00C30874">
            <w:pPr>
              <w:spacing w:before="156" w:after="156"/>
              <w:ind w:firstLineChars="0" w:firstLine="0"/>
              <w:jc w:val="right"/>
              <w:rPr>
                <w:rFonts w:eastAsia="宋体"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83" w14:textId="77777777" w:rsidR="002A1696" w:rsidRDefault="00C30874" w:rsidP="00A13C04">
      <w:pPr>
        <w:ind w:firstLineChars="0" w:firstLine="0"/>
      </w:pPr>
      <w:r>
        <w:t xml:space="preserve">where </w:t>
      </w:r>
      <w:r>
        <w:rPr>
          <w:i/>
          <w:iCs/>
        </w:rPr>
        <w:t>S</w:t>
      </w:r>
      <w:r>
        <w:rPr>
          <w:vertAlign w:val="subscript"/>
        </w:rPr>
        <w:t>feedlot,t</w:t>
      </w:r>
      <w:r>
        <w:t xml:space="preserve"> is the projected feedlot cattle share in year </w:t>
      </w:r>
      <w:r>
        <w:rPr>
          <w:i/>
          <w:iCs/>
        </w:rPr>
        <w:t>t</w:t>
      </w:r>
      <w:r>
        <w:t>.</w:t>
      </w:r>
    </w:p>
    <w:p w14:paraId="04085484" w14:textId="77777777" w:rsidR="002A1696" w:rsidRDefault="00C30874">
      <w:pPr>
        <w:pStyle w:val="3"/>
      </w:pPr>
      <w:r>
        <w:t>Meat yield per head</w:t>
      </w:r>
    </w:p>
    <w:p w14:paraId="04085485" w14:textId="5E95810A" w:rsidR="002A1696" w:rsidRDefault="00C30874">
      <w:pPr>
        <w:ind w:firstLine="420"/>
      </w:pPr>
      <w:r>
        <w:t>These head shares were converted to meat-production shares because different cattle production systems produce different amounts of meat per head. Grass-fed cattle were assigned an average meat yield of 233.24 kg head</w:t>
      </w:r>
      <w:r>
        <w:rPr>
          <w:vertAlign w:val="superscript"/>
        </w:rPr>
        <w:t>−1</w:t>
      </w:r>
      <w:r>
        <w:rPr>
          <w:rFonts w:eastAsia="宋体"/>
          <w:color w:val="000000" w:themeColor="text1"/>
        </w:rPr>
        <w:t xml:space="preserve"> </w:t>
      </w:r>
      <w:r>
        <w:rPr>
          <w:rFonts w:eastAsia="宋体"/>
          <w:color w:val="000000" w:themeColor="text1"/>
        </w:rPr>
        <w:fldChar w:fldCharType="begin"/>
      </w:r>
      <w:r w:rsidR="007C0C3E">
        <w:rPr>
          <w:rFonts w:eastAsia="宋体"/>
          <w:color w:val="000000" w:themeColor="text1"/>
        </w:rPr>
        <w:instrText xml:space="preserve"> ADDIN EN.CITE &lt;EndNote&gt;&lt;Cite&gt;&lt;Author&gt;Wiedemann&lt;/Author&gt;&lt;Year&gt;2017&lt;/Year&gt;&lt;RecNum&gt;559&lt;/RecNum&gt;&lt;DisplayText&gt;&lt;style face="superscript"&gt;39,40&lt;/style&gt;&lt;/DisplayText&gt;&lt;record&gt;&lt;rec-number&gt;559&lt;/rec-number&gt;&lt;foreign-keys&gt;&lt;key app="EN" db-id="st0zxxax1wfadte9s5gpaptza9tfvrzsvaxs" timestamp="1773645329" guid="fa14ca0e-feb1-44f6-b2d4-0b503b6f953b"&gt;559&lt;/key&gt;&lt;/foreign-keys&gt;&lt;ref-type name="Journal Article"&gt;17&lt;/ref-type&gt;&lt;contributors&gt;&lt;authors&gt;&lt;author&gt;Wiedemann, Stephen&lt;/author&gt;&lt;author&gt;Davis, Rod&lt;/author&gt;&lt;author&gt;McGahan, Eugene&lt;/author&gt;&lt;author&gt;Murphy, Caoilinn&lt;/author&gt;&lt;author&gt;Redding, Matthew&lt;/author&gt;&lt;/authors&gt;&lt;/contributors&gt;&lt;titles&gt;&lt;title&gt;Resource use and greenhouse gas emissions from grain-finishing beef cattle in seven Australian feedlots: a life cycle assessment&lt;/title&gt;&lt;secondary-title&gt;Animal Production Science&lt;/secondary-title&gt;&lt;/titles&gt;&lt;periodical&gt;&lt;full-title&gt;Animal Production Science&lt;/full-title&gt;&lt;/periodical&gt;&lt;pages&gt;1149-1162&lt;/pages&gt;&lt;volume&gt;57&lt;/volume&gt;&lt;number&gt;6&lt;/number&gt;&lt;dates&gt;&lt;year&gt;2017&lt;/year&gt;&lt;/dates&gt;&lt;isbn&gt;1836-0939&lt;/isbn&gt;&lt;urls&gt;&lt;/urls&gt;&lt;/record&gt;&lt;/Cite&gt;&lt;Cite&gt;&lt;Author&gt;Behrendt&lt;/Author&gt;&lt;Year&gt;2019&lt;/Year&gt;&lt;RecNum&gt;561&lt;/RecNum&gt;&lt;record&gt;&lt;rec-number&gt;561&lt;/rec-number&gt;&lt;foreign-keys&gt;&lt;key app="EN" db-id="st0zxxax1wfadte9s5gpaptza9tfvrzsvaxs" timestamp="1773646719" guid="cd7d887b-be80-4400-a4c4-7c8fd4a8036c"&gt;561&lt;/key&gt;&lt;/foreign-keys&gt;&lt;ref-type name="Report"&gt;27&lt;/ref-type&gt;&lt;contributors&gt;&lt;authors&gt;&lt;author&gt;Behrendt, Karl&lt;/author&gt;&lt;author&gt;Weeks, Peter&lt;/author&gt;&lt;/authors&gt;&lt;/contributors&gt;&lt;titles&gt;&lt;title&gt;How are global and Australian beef feedlots performing?: Global agri benchmark network results 2018&lt;/title&gt;&lt;/titles&gt;&lt;dates&gt;&lt;year&gt;2019&lt;/year&gt;&lt;/dates&gt;&lt;urls&gt;&lt;/urls&gt;&lt;/record&gt;&lt;/Cite&gt;&lt;/EndNote&gt;</w:instrText>
      </w:r>
      <w:r>
        <w:rPr>
          <w:rFonts w:eastAsia="宋体"/>
          <w:color w:val="000000" w:themeColor="text1"/>
        </w:rPr>
        <w:fldChar w:fldCharType="separate"/>
      </w:r>
      <w:r w:rsidR="007C0C3E" w:rsidRPr="007C0C3E">
        <w:rPr>
          <w:rFonts w:eastAsia="宋体"/>
          <w:noProof/>
          <w:color w:val="000000" w:themeColor="text1"/>
          <w:vertAlign w:val="superscript"/>
        </w:rPr>
        <w:t>39,40</w:t>
      </w:r>
      <w:r>
        <w:rPr>
          <w:rFonts w:eastAsia="宋体"/>
          <w:color w:val="000000" w:themeColor="text1"/>
        </w:rPr>
        <w:fldChar w:fldCharType="end"/>
      </w:r>
      <w:r>
        <w:rPr>
          <w:rFonts w:eastAsia="宋体" w:hint="eastAsia"/>
          <w:color w:val="000000" w:themeColor="text1"/>
        </w:rPr>
        <w:t>.</w:t>
      </w:r>
      <w:r>
        <w:t xml:space="preserve"> Short-fed, mid-fed, and long-fed cattle meat yields were calculated from final liveweight, a combined meat-yield factor (retail boneless meat per kg liveweight), and a mortality adjustment:</w:t>
      </w:r>
    </w:p>
    <w:tbl>
      <w:tblPr>
        <w:tblStyle w:val="aff3"/>
        <w:tblW w:w="8364" w:type="dxa"/>
        <w:tblLayout w:type="fixed"/>
        <w:tblLook w:val="04A0" w:firstRow="1" w:lastRow="0" w:firstColumn="1" w:lastColumn="0" w:noHBand="0" w:noVBand="1"/>
      </w:tblPr>
      <w:tblGrid>
        <w:gridCol w:w="7796"/>
        <w:gridCol w:w="568"/>
      </w:tblGrid>
      <w:tr w:rsidR="002A1696" w14:paraId="04085488" w14:textId="77777777">
        <w:trPr>
          <w:cantSplit/>
          <w:trHeight w:val="300"/>
        </w:trPr>
        <w:tc>
          <w:tcPr>
            <w:tcW w:w="7796" w:type="dxa"/>
            <w:tcBorders>
              <w:top w:val="nil"/>
              <w:left w:val="nil"/>
              <w:bottom w:val="nil"/>
              <w:right w:val="nil"/>
            </w:tcBorders>
          </w:tcPr>
          <w:p w14:paraId="04085486"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
                  <m:sSubPr>
                    <m:ctrlPr>
                      <w:rPr>
                        <w:rFonts w:ascii="Cambria Math" w:hAnsi="Cambria Math"/>
                      </w:rPr>
                    </m:ctrlPr>
                  </m:sSubPr>
                  <m:e>
                    <m:r>
                      <w:rPr>
                        <w:rFonts w:ascii="Cambria Math" w:hAnsi="Cambria Math"/>
                      </w:rPr>
                      <m:t>Y</m:t>
                    </m:r>
                  </m:e>
                  <m:sub>
                    <m:r>
                      <w:rPr>
                        <w:rFonts w:ascii="Cambria Math" w:hAnsi="Cambria Math"/>
                      </w:rPr>
                      <m:t>s</m:t>
                    </m:r>
                    <m:r>
                      <w:rPr>
                        <w:rFonts w:ascii="Cambria Math" w:hAnsi="Cambria Math"/>
                      </w:rPr>
                      <m:t>h</m:t>
                    </m:r>
                    <m:r>
                      <w:rPr>
                        <w:rFonts w:ascii="Cambria Math" w:hAnsi="Cambria Math"/>
                      </w:rPr>
                      <m:t>ort</m:t>
                    </m:r>
                  </m:sub>
                </m:sSub>
                <m:r>
                  <m:rPr>
                    <m:lit/>
                    <m:nor/>
                  </m:rPr>
                  <m:t xml:space="preserve"> = </m:t>
                </m:r>
                <m:r>
                  <w:rPr>
                    <w:rFonts w:ascii="Cambria Math" w:hAnsi="Cambria Math"/>
                  </w:rPr>
                  <m:t>468</m:t>
                </m:r>
                <m:r>
                  <m:rPr>
                    <m:lit/>
                    <m:nor/>
                  </m:rPr>
                  <m:t xml:space="preserve"> </m:t>
                </m:r>
                <m:r>
                  <w:rPr>
                    <w:rFonts w:ascii="Cambria Math" w:hAnsi="Cambria Math"/>
                  </w:rPr>
                  <m:t>×</m:t>
                </m:r>
                <m:r>
                  <m:rPr>
                    <m:lit/>
                    <m:nor/>
                  </m:rPr>
                  <m:t xml:space="preserve"> </m:t>
                </m:r>
                <m:r>
                  <w:rPr>
                    <w:rFonts w:ascii="Cambria Math" w:hAnsi="Cambria Math"/>
                  </w:rPr>
                  <m:t>0.6817</m:t>
                </m:r>
                <m:r>
                  <m:rPr>
                    <m:lit/>
                    <m:nor/>
                  </m:rPr>
                  <m:t xml:space="preserve"> </m:t>
                </m:r>
                <m:r>
                  <w:rPr>
                    <w:rFonts w:ascii="Cambria Math" w:hAnsi="Cambria Math"/>
                  </w:rPr>
                  <m:t>×</m:t>
                </m:r>
                <m:r>
                  <m:rPr>
                    <m:lit/>
                    <m:nor/>
                  </m:rPr>
                  <m:t xml:space="preserve"> </m:t>
                </m:r>
                <m:r>
                  <w:rPr>
                    <w:rFonts w:ascii="Cambria Math" w:hAnsi="Cambria Math"/>
                  </w:rPr>
                  <m:t>(1</m:t>
                </m:r>
                <m:r>
                  <m:rPr>
                    <m:lit/>
                    <m:nor/>
                  </m:rPr>
                  <m:t xml:space="preserve"> - </m:t>
                </m:r>
                <m:r>
                  <w:rPr>
                    <w:rFonts w:ascii="Cambria Math" w:hAnsi="Cambria Math"/>
                  </w:rPr>
                  <m:t>0.008)</m:t>
                </m:r>
              </m:oMath>
            </m:oMathPara>
          </w:p>
        </w:tc>
        <w:tc>
          <w:tcPr>
            <w:tcW w:w="568" w:type="dxa"/>
            <w:tcBorders>
              <w:top w:val="nil"/>
              <w:left w:val="nil"/>
              <w:bottom w:val="nil"/>
              <w:right w:val="nil"/>
            </w:tcBorders>
            <w:vAlign w:val="center"/>
          </w:tcPr>
          <w:p w14:paraId="04085487"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r w:rsidR="002A1696" w14:paraId="0408548B" w14:textId="77777777">
        <w:trPr>
          <w:cantSplit/>
          <w:trHeight w:val="300"/>
        </w:trPr>
        <w:tc>
          <w:tcPr>
            <w:tcW w:w="7796" w:type="dxa"/>
            <w:tcBorders>
              <w:top w:val="nil"/>
              <w:left w:val="nil"/>
              <w:bottom w:val="nil"/>
              <w:right w:val="nil"/>
            </w:tcBorders>
          </w:tcPr>
          <w:p w14:paraId="04085489" w14:textId="77777777" w:rsidR="002A1696" w:rsidRDefault="0066677A">
            <w:pPr>
              <w:spacing w:before="156" w:after="156"/>
              <w:ind w:firstLineChars="0" w:firstLine="0"/>
              <w:jc w:val="center"/>
              <w:rPr>
                <w:rFonts w:cs="Arial"/>
                <w:sz w:val="18"/>
                <w:szCs w:val="18"/>
              </w:rPr>
            </w:pPr>
            <m:oMathPara>
              <m:oMathParaPr>
                <m:jc m:val="center"/>
              </m:oMathParaPr>
              <m:oMath>
                <m:sSub>
                  <m:sSubPr>
                    <m:ctrlPr>
                      <w:rPr>
                        <w:rFonts w:ascii="Cambria Math" w:hAnsi="Cambria Math"/>
                      </w:rPr>
                    </m:ctrlPr>
                  </m:sSubPr>
                  <m:e>
                    <m:r>
                      <w:rPr>
                        <w:rFonts w:ascii="Cambria Math" w:hAnsi="Cambria Math"/>
                      </w:rPr>
                      <m:t>Y</m:t>
                    </m:r>
                  </m:e>
                  <m:sub>
                    <m:r>
                      <w:rPr>
                        <w:rFonts w:ascii="Cambria Math" w:hAnsi="Cambria Math"/>
                      </w:rPr>
                      <m:t>mid</m:t>
                    </m:r>
                  </m:sub>
                </m:sSub>
                <m:r>
                  <m:rPr>
                    <m:lit/>
                    <m:nor/>
                  </m:rPr>
                  <m:t xml:space="preserve"> = </m:t>
                </m:r>
                <m:r>
                  <w:rPr>
                    <w:rFonts w:ascii="Cambria Math" w:hAnsi="Cambria Math"/>
                  </w:rPr>
                  <m:t>652</m:t>
                </m:r>
                <m:r>
                  <m:rPr>
                    <m:lit/>
                    <m:nor/>
                  </m:rPr>
                  <m:t xml:space="preserve"> </m:t>
                </m:r>
                <m:r>
                  <w:rPr>
                    <w:rFonts w:ascii="Cambria Math" w:hAnsi="Cambria Math"/>
                  </w:rPr>
                  <m:t>×</m:t>
                </m:r>
                <m:r>
                  <m:rPr>
                    <m:lit/>
                    <m:nor/>
                  </m:rPr>
                  <m:t xml:space="preserve"> </m:t>
                </m:r>
                <m:r>
                  <w:rPr>
                    <w:rFonts w:ascii="Cambria Math" w:hAnsi="Cambria Math"/>
                  </w:rPr>
                  <m:t>0.6817</m:t>
                </m:r>
                <m:r>
                  <m:rPr>
                    <m:lit/>
                    <m:nor/>
                  </m:rPr>
                  <m:t xml:space="preserve"> </m:t>
                </m:r>
                <m:r>
                  <w:rPr>
                    <w:rFonts w:ascii="Cambria Math" w:hAnsi="Cambria Math"/>
                  </w:rPr>
                  <m:t>×</m:t>
                </m:r>
                <m:r>
                  <m:rPr>
                    <m:lit/>
                    <m:nor/>
                  </m:rPr>
                  <m:t xml:space="preserve"> </m:t>
                </m:r>
                <m:r>
                  <w:rPr>
                    <w:rFonts w:ascii="Cambria Math" w:hAnsi="Cambria Math"/>
                  </w:rPr>
                  <m:t>(1</m:t>
                </m:r>
                <m:r>
                  <m:rPr>
                    <m:lit/>
                    <m:nor/>
                  </m:rPr>
                  <m:t xml:space="preserve"> - </m:t>
                </m:r>
                <m:r>
                  <w:rPr>
                    <w:rFonts w:ascii="Cambria Math" w:hAnsi="Cambria Math"/>
                  </w:rPr>
                  <m:t>0.007)</m:t>
                </m:r>
              </m:oMath>
            </m:oMathPara>
          </w:p>
        </w:tc>
        <w:tc>
          <w:tcPr>
            <w:tcW w:w="568" w:type="dxa"/>
            <w:tcBorders>
              <w:top w:val="nil"/>
              <w:left w:val="nil"/>
              <w:bottom w:val="nil"/>
              <w:right w:val="nil"/>
            </w:tcBorders>
            <w:vAlign w:val="center"/>
          </w:tcPr>
          <w:p w14:paraId="0408548A" w14:textId="77777777" w:rsidR="002A1696" w:rsidRDefault="00C30874">
            <w:pPr>
              <w:spacing w:before="156" w:after="156"/>
              <w:ind w:firstLineChars="0" w:firstLine="0"/>
              <w:jc w:val="right"/>
              <w:rPr>
                <w:rFonts w:eastAsia="宋体"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r w:rsidR="002A1696" w14:paraId="0408548E" w14:textId="77777777">
        <w:trPr>
          <w:cantSplit/>
          <w:trHeight w:val="300"/>
        </w:trPr>
        <w:tc>
          <w:tcPr>
            <w:tcW w:w="7796" w:type="dxa"/>
            <w:tcBorders>
              <w:top w:val="nil"/>
              <w:left w:val="nil"/>
              <w:bottom w:val="nil"/>
              <w:right w:val="nil"/>
            </w:tcBorders>
          </w:tcPr>
          <w:p w14:paraId="0408548C" w14:textId="5157EEA9" w:rsidR="002A1696" w:rsidRDefault="0066677A">
            <w:pPr>
              <w:spacing w:before="156" w:after="156"/>
              <w:ind w:firstLineChars="0" w:firstLine="0"/>
              <w:jc w:val="center"/>
              <w:rPr>
                <w:rFonts w:cs="Arial"/>
                <w:sz w:val="18"/>
                <w:szCs w:val="18"/>
              </w:rPr>
            </w:pPr>
            <m:oMathPara>
              <m:oMathParaPr>
                <m:jc m:val="center"/>
              </m:oMathParaPr>
              <m:oMath>
                <m:sSub>
                  <m:sSubPr>
                    <m:ctrlPr>
                      <w:rPr>
                        <w:rFonts w:ascii="Cambria Math" w:hAnsi="Cambria Math"/>
                      </w:rPr>
                    </m:ctrlPr>
                  </m:sSubPr>
                  <m:e>
                    <m:r>
                      <w:rPr>
                        <w:rFonts w:ascii="Cambria Math" w:hAnsi="Cambria Math"/>
                      </w:rPr>
                      <m:t>Y</m:t>
                    </m:r>
                  </m:e>
                  <m:sub>
                    <m:r>
                      <w:rPr>
                        <w:rFonts w:ascii="Cambria Math" w:hAnsi="Cambria Math"/>
                      </w:rPr>
                      <m:t>long</m:t>
                    </m:r>
                  </m:sub>
                </m:sSub>
                <m:r>
                  <m:rPr>
                    <m:lit/>
                    <m:nor/>
                  </m:rPr>
                  <m:t xml:space="preserve"> = </m:t>
                </m:r>
                <m:r>
                  <w:rPr>
                    <w:rFonts w:ascii="Cambria Math" w:hAnsi="Cambria Math"/>
                  </w:rPr>
                  <m:t>784</m:t>
                </m:r>
                <m:r>
                  <m:rPr>
                    <m:lit/>
                    <m:nor/>
                  </m:rPr>
                  <m:t xml:space="preserve"> </m:t>
                </m:r>
                <m:r>
                  <w:rPr>
                    <w:rFonts w:ascii="Cambria Math" w:hAnsi="Cambria Math"/>
                  </w:rPr>
                  <m:t>×</m:t>
                </m:r>
                <m:r>
                  <m:rPr>
                    <m:lit/>
                    <m:nor/>
                  </m:rPr>
                  <m:t xml:space="preserve"> </m:t>
                </m:r>
                <m:r>
                  <w:rPr>
                    <w:rFonts w:ascii="Cambria Math" w:hAnsi="Cambria Math"/>
                  </w:rPr>
                  <m:t>0.6817</m:t>
                </m:r>
                <m:r>
                  <m:rPr>
                    <m:lit/>
                    <m:nor/>
                  </m:rPr>
                  <m:t xml:space="preserve"> </m:t>
                </m:r>
                <m:r>
                  <w:rPr>
                    <w:rFonts w:ascii="Cambria Math" w:hAnsi="Cambria Math"/>
                  </w:rPr>
                  <m:t>×</m:t>
                </m:r>
                <m:r>
                  <m:rPr>
                    <m:lit/>
                    <m:nor/>
                  </m:rPr>
                  <m:t xml:space="preserve"> </m:t>
                </m:r>
                <m:r>
                  <w:rPr>
                    <w:rFonts w:ascii="Cambria Math" w:hAnsi="Cambria Math"/>
                  </w:rPr>
                  <m:t>(1</m:t>
                </m:r>
                <m:r>
                  <m:rPr>
                    <m:lit/>
                    <m:nor/>
                  </m:rPr>
                  <m:t xml:space="preserve"> - </m:t>
                </m:r>
                <m:r>
                  <w:rPr>
                    <w:rFonts w:ascii="Cambria Math" w:hAnsi="Cambria Math"/>
                  </w:rPr>
                  <m:t>0.021</m:t>
                </m:r>
                <m:r>
                  <w:rPr>
                    <w:rFonts w:ascii="Cambria Math" w:hAnsi="Cambria Math" w:cs="Arial"/>
                  </w:rPr>
                  <m:t>)</m:t>
                </m:r>
              </m:oMath>
            </m:oMathPara>
          </w:p>
        </w:tc>
        <w:tc>
          <w:tcPr>
            <w:tcW w:w="568" w:type="dxa"/>
            <w:tcBorders>
              <w:top w:val="nil"/>
              <w:left w:val="nil"/>
              <w:bottom w:val="nil"/>
              <w:right w:val="nil"/>
            </w:tcBorders>
            <w:vAlign w:val="center"/>
          </w:tcPr>
          <w:p w14:paraId="0408548D" w14:textId="77777777" w:rsidR="002A1696" w:rsidRDefault="00C30874">
            <w:pPr>
              <w:spacing w:before="156" w:after="156"/>
              <w:ind w:firstLineChars="0" w:firstLine="0"/>
              <w:jc w:val="right"/>
              <w:rPr>
                <w:rFonts w:eastAsia="宋体"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8F" w14:textId="77777777" w:rsidR="002A1696" w:rsidRDefault="00C30874">
      <w:pPr>
        <w:ind w:firstLineChars="0" w:firstLine="0"/>
      </w:pPr>
      <w:r>
        <w:t>where 468, 652, and 784 kg are the final liveweights for short-fed, mid-fed, and long-fed cattle, respectively; 0.6817 is the combined meat-yield factor (retail boneless meat per kg liveweight, combining dressing percentage and boneless meat recovery); and 0.008, 0.007, and 0.021 are the respective mortality rates during the finishing period.</w:t>
      </w:r>
    </w:p>
    <w:p w14:paraId="04085490" w14:textId="77777777" w:rsidR="002A1696" w:rsidRDefault="00C30874">
      <w:pPr>
        <w:pStyle w:val="3"/>
      </w:pPr>
      <w:r>
        <w:t>Meat-production shares</w:t>
      </w:r>
    </w:p>
    <w:p w14:paraId="04085491" w14:textId="77777777" w:rsidR="002A1696" w:rsidRDefault="00C30874">
      <w:pPr>
        <w:ind w:firstLine="420"/>
      </w:pPr>
      <w:r>
        <w:t xml:space="preserve">For each year and feedlot pathway, the relative meat contribution of each cattle production </w:t>
      </w:r>
      <w:r>
        <w:lastRenderedPageBreak/>
        <w:t>system was calculated as the product of head share and system-specific meat yield:</w:t>
      </w:r>
    </w:p>
    <w:tbl>
      <w:tblPr>
        <w:tblStyle w:val="aff3"/>
        <w:tblW w:w="8364" w:type="dxa"/>
        <w:tblLayout w:type="fixed"/>
        <w:tblLook w:val="04A0" w:firstRow="1" w:lastRow="0" w:firstColumn="1" w:lastColumn="0" w:noHBand="0" w:noVBand="1"/>
      </w:tblPr>
      <w:tblGrid>
        <w:gridCol w:w="7796"/>
        <w:gridCol w:w="568"/>
      </w:tblGrid>
      <w:tr w:rsidR="002A1696" w14:paraId="04085494" w14:textId="77777777">
        <w:trPr>
          <w:cantSplit/>
          <w:trHeight w:val="300"/>
        </w:trPr>
        <w:tc>
          <w:tcPr>
            <w:tcW w:w="7796" w:type="dxa"/>
            <w:tcBorders>
              <w:top w:val="nil"/>
              <w:left w:val="nil"/>
              <w:bottom w:val="nil"/>
              <w:right w:val="nil"/>
            </w:tcBorders>
          </w:tcPr>
          <w:p w14:paraId="04085492"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
                  <m:sSubPr>
                    <m:ctrlPr>
                      <w:rPr>
                        <w:rFonts w:ascii="Cambria Math" w:hAnsi="Cambria Math"/>
                      </w:rPr>
                    </m:ctrlPr>
                  </m:sSubPr>
                  <m:e>
                    <m:r>
                      <w:rPr>
                        <w:rFonts w:ascii="Cambria Math" w:hAnsi="Cambria Math"/>
                      </w:rPr>
                      <m:t>M</m:t>
                    </m:r>
                  </m:e>
                  <m:sub>
                    <m:r>
                      <w:rPr>
                        <w:rFonts w:ascii="Cambria Math" w:hAnsi="Cambria Math"/>
                      </w:rPr>
                      <m:t>i</m:t>
                    </m:r>
                    <m:r>
                      <w:rPr>
                        <w:rFonts w:ascii="Cambria Math" w:hAnsi="Cambria Math"/>
                      </w:rPr>
                      <m:t>,</m:t>
                    </m:r>
                    <m:r>
                      <w:rPr>
                        <w:rFonts w:ascii="Cambria Math" w:hAnsi="Cambria Math"/>
                      </w:rPr>
                      <m:t>t</m:t>
                    </m:r>
                  </m:sub>
                </m:sSub>
                <m:r>
                  <m:rPr>
                    <m:lit/>
                    <m:nor/>
                  </m:rPr>
                  <m:t xml:space="preserve"> = </m:t>
                </m:r>
                <m:sSub>
                  <m:sSubPr>
                    <m:ctrlPr>
                      <w:rPr>
                        <w:rFonts w:ascii="Cambria Math" w:hAnsi="Cambria Math"/>
                      </w:rPr>
                    </m:ctrlPr>
                  </m:sSubPr>
                  <m:e>
                    <m:r>
                      <w:rPr>
                        <w:rFonts w:ascii="Cambria Math" w:hAnsi="Cambria Math"/>
                      </w:rPr>
                      <m:t>S</m:t>
                    </m:r>
                  </m:e>
                  <m:sub>
                    <m:r>
                      <w:rPr>
                        <w:rFonts w:ascii="Cambria Math" w:hAnsi="Cambria Math"/>
                      </w:rPr>
                      <m:t>i</m:t>
                    </m:r>
                    <m:r>
                      <w:rPr>
                        <w:rFonts w:ascii="Cambria Math" w:hAnsi="Cambria Math"/>
                      </w:rPr>
                      <m:t>,</m:t>
                    </m:r>
                    <m:r>
                      <w:rPr>
                        <w:rFonts w:ascii="Cambria Math" w:hAnsi="Cambria Math"/>
                      </w:rPr>
                      <m:t>t</m:t>
                    </m:r>
                  </m:sub>
                </m:sSub>
                <m:r>
                  <m:rPr>
                    <m:lit/>
                    <m:nor/>
                  </m:rPr>
                  <m:t xml:space="preserve"> </m:t>
                </m:r>
                <m:r>
                  <w:rPr>
                    <w:rFonts w:ascii="Cambria Math" w:hAnsi="Cambria Math"/>
                  </w:rPr>
                  <m:t>×</m:t>
                </m:r>
                <m:r>
                  <m:rPr>
                    <m:lit/>
                    <m:nor/>
                  </m:rPr>
                  <m:t xml:space="preserve"> </m:t>
                </m:r>
                <m:sSub>
                  <m:sSubPr>
                    <m:ctrlPr>
                      <w:rPr>
                        <w:rFonts w:ascii="Cambria Math" w:hAnsi="Cambria Math"/>
                      </w:rPr>
                    </m:ctrlPr>
                  </m:sSubPr>
                  <m:e>
                    <m:r>
                      <w:rPr>
                        <w:rFonts w:ascii="Cambria Math" w:hAnsi="Cambria Math"/>
                      </w:rPr>
                      <m:t>Y</m:t>
                    </m:r>
                  </m:e>
                  <m:sub>
                    <m:r>
                      <w:rPr>
                        <w:rFonts w:ascii="Cambria Math" w:hAnsi="Cambria Math"/>
                      </w:rPr>
                      <m:t>i</m:t>
                    </m:r>
                  </m:sub>
                </m:sSub>
              </m:oMath>
            </m:oMathPara>
          </w:p>
        </w:tc>
        <w:tc>
          <w:tcPr>
            <w:tcW w:w="568" w:type="dxa"/>
            <w:tcBorders>
              <w:top w:val="nil"/>
              <w:left w:val="nil"/>
              <w:bottom w:val="nil"/>
              <w:right w:val="nil"/>
            </w:tcBorders>
            <w:vAlign w:val="center"/>
          </w:tcPr>
          <w:p w14:paraId="04085493"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95" w14:textId="77777777" w:rsidR="002A1696" w:rsidRDefault="00C30874">
      <w:pPr>
        <w:ind w:firstLineChars="0" w:firstLine="0"/>
      </w:pPr>
      <w:r>
        <w:t xml:space="preserve">where </w:t>
      </w:r>
      <w:r>
        <w:rPr>
          <w:i/>
          <w:iCs/>
        </w:rPr>
        <w:t>M</w:t>
      </w:r>
      <w:r>
        <w:rPr>
          <w:vertAlign w:val="subscript"/>
        </w:rPr>
        <w:t>i,t</w:t>
      </w:r>
      <w:r>
        <w:t xml:space="preserve"> is the relative meat contribution of cattle production system </w:t>
      </w:r>
      <w:r>
        <w:rPr>
          <w:i/>
          <w:iCs/>
        </w:rPr>
        <w:t>i</w:t>
      </w:r>
      <w:r>
        <w:t xml:space="preserve"> in year </w:t>
      </w:r>
      <w:r>
        <w:rPr>
          <w:i/>
          <w:iCs/>
        </w:rPr>
        <w:t>t</w:t>
      </w:r>
      <w:r>
        <w:t xml:space="preserve">, and </w:t>
      </w:r>
      <w:r>
        <w:rPr>
          <w:i/>
          <w:iCs/>
        </w:rPr>
        <w:t>Y</w:t>
      </w:r>
      <w:r>
        <w:rPr>
          <w:vertAlign w:val="subscript"/>
        </w:rPr>
        <w:t>i</w:t>
      </w:r>
      <w:r>
        <w:t xml:space="preserve"> is its meat yield per head. The meat contributions were normalised to obtain meat-production shares:</w:t>
      </w:r>
    </w:p>
    <w:tbl>
      <w:tblPr>
        <w:tblStyle w:val="aff3"/>
        <w:tblW w:w="8364" w:type="dxa"/>
        <w:tblLayout w:type="fixed"/>
        <w:tblLook w:val="04A0" w:firstRow="1" w:lastRow="0" w:firstColumn="1" w:lastColumn="0" w:noHBand="0" w:noVBand="1"/>
      </w:tblPr>
      <w:tblGrid>
        <w:gridCol w:w="7796"/>
        <w:gridCol w:w="568"/>
      </w:tblGrid>
      <w:tr w:rsidR="002A1696" w14:paraId="04085498" w14:textId="77777777">
        <w:trPr>
          <w:cantSplit/>
          <w:trHeight w:val="300"/>
        </w:trPr>
        <w:tc>
          <w:tcPr>
            <w:tcW w:w="7796" w:type="dxa"/>
            <w:tcBorders>
              <w:top w:val="nil"/>
              <w:left w:val="nil"/>
              <w:bottom w:val="nil"/>
              <w:right w:val="nil"/>
            </w:tcBorders>
          </w:tcPr>
          <w:p w14:paraId="04085496"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Sup>
                  <m:sSubSupPr>
                    <m:ctrlPr>
                      <w:rPr>
                        <w:rFonts w:ascii="Cambria Math" w:hAnsi="Cambria Math"/>
                      </w:rPr>
                    </m:ctrlPr>
                  </m:sSubSupPr>
                  <m:e>
                    <m:r>
                      <w:rPr>
                        <w:rFonts w:ascii="Cambria Math" w:hAnsi="Cambria Math"/>
                      </w:rPr>
                      <m:t>Q</m:t>
                    </m:r>
                  </m:e>
                  <m:sub>
                    <m:r>
                      <w:rPr>
                        <w:rFonts w:ascii="Cambria Math" w:hAnsi="Cambria Math"/>
                      </w:rPr>
                      <m:t>i</m:t>
                    </m:r>
                    <m:r>
                      <w:rPr>
                        <w:rFonts w:ascii="Cambria Math" w:hAnsi="Cambria Math"/>
                      </w:rPr>
                      <m:t>,</m:t>
                    </m:r>
                    <m:r>
                      <w:rPr>
                        <w:rFonts w:ascii="Cambria Math" w:hAnsi="Cambria Math"/>
                      </w:rPr>
                      <m:t>t</m:t>
                    </m:r>
                  </m:sub>
                  <m:sup>
                    <m:r>
                      <w:rPr>
                        <w:rFonts w:ascii="Cambria Math" w:hAnsi="Cambria Math"/>
                      </w:rPr>
                      <m:t>s</m:t>
                    </m:r>
                    <m:r>
                      <w:rPr>
                        <w:rFonts w:ascii="Cambria Math" w:hAnsi="Cambria Math"/>
                      </w:rPr>
                      <m:t>h</m:t>
                    </m:r>
                    <m:r>
                      <w:rPr>
                        <w:rFonts w:ascii="Cambria Math" w:hAnsi="Cambria Math"/>
                      </w:rPr>
                      <m:t>are</m:t>
                    </m:r>
                  </m:sup>
                </m:sSubSup>
                <m:r>
                  <m:rPr>
                    <m:lit/>
                    <m:nor/>
                  </m:rPr>
                  <m:t xml:space="preserve"> = </m:t>
                </m:r>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i</m:t>
                        </m:r>
                        <m:r>
                          <w:rPr>
                            <w:rFonts w:ascii="Cambria Math" w:hAnsi="Cambria Math"/>
                          </w:rPr>
                          <m:t>,</m:t>
                        </m:r>
                        <m:r>
                          <w:rPr>
                            <w:rFonts w:ascii="Cambria Math" w:hAnsi="Cambria Math"/>
                          </w:rPr>
                          <m:t>t</m:t>
                        </m:r>
                      </m:sub>
                    </m:sSub>
                  </m:num>
                  <m:den>
                    <m:r>
                      <w:rPr>
                        <w:rFonts w:ascii="Cambria Math" w:hAnsi="Cambria Math"/>
                      </w:rPr>
                      <m:t>Σ</m:t>
                    </m:r>
                    <m:sSub>
                      <m:sSubPr>
                        <m:ctrlPr>
                          <w:rPr>
                            <w:rFonts w:ascii="Cambria Math" w:hAnsi="Cambria Math"/>
                          </w:rPr>
                        </m:ctrlPr>
                      </m:sSubPr>
                      <m:e>
                        <m:r>
                          <w:rPr>
                            <w:rFonts w:ascii="Cambria Math" w:hAnsi="Cambria Math"/>
                          </w:rPr>
                          <m:t>M</m:t>
                        </m:r>
                      </m:e>
                      <m:sub>
                        <m:r>
                          <w:rPr>
                            <w:rFonts w:ascii="Cambria Math" w:hAnsi="Cambria Math"/>
                          </w:rPr>
                          <m:t>i</m:t>
                        </m:r>
                        <m:r>
                          <w:rPr>
                            <w:rFonts w:ascii="Cambria Math" w:hAnsi="Cambria Math"/>
                          </w:rPr>
                          <m:t>,</m:t>
                        </m:r>
                        <m:r>
                          <w:rPr>
                            <w:rFonts w:ascii="Cambria Math" w:hAnsi="Cambria Math"/>
                          </w:rPr>
                          <m:t>t</m:t>
                        </m:r>
                      </m:sub>
                    </m:sSub>
                  </m:den>
                </m:f>
              </m:oMath>
            </m:oMathPara>
          </w:p>
        </w:tc>
        <w:tc>
          <w:tcPr>
            <w:tcW w:w="568" w:type="dxa"/>
            <w:tcBorders>
              <w:top w:val="nil"/>
              <w:left w:val="nil"/>
              <w:bottom w:val="nil"/>
              <w:right w:val="nil"/>
            </w:tcBorders>
            <w:vAlign w:val="center"/>
          </w:tcPr>
          <w:p w14:paraId="04085497"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99" w14:textId="462AC2C4" w:rsidR="002A1696" w:rsidRDefault="00C30874">
      <w:pPr>
        <w:ind w:firstLine="420"/>
      </w:pPr>
      <w:r>
        <w:t xml:space="preserve">Scenario-specific total beef demand </w:t>
      </w:r>
      <w:r>
        <w:rPr>
          <w:i/>
          <w:iCs/>
        </w:rPr>
        <w:t>D</w:t>
      </w:r>
      <w:r>
        <w:rPr>
          <w:vertAlign w:val="subscript"/>
        </w:rPr>
        <w:t>t</w:t>
      </w:r>
      <w:r>
        <w:t xml:space="preserve"> was obtained from the Australian FoodDemand Model (see Section 2.4). Beef production from each cattle production system was then:</w:t>
      </w:r>
    </w:p>
    <w:tbl>
      <w:tblPr>
        <w:tblStyle w:val="aff3"/>
        <w:tblW w:w="8364" w:type="dxa"/>
        <w:tblLayout w:type="fixed"/>
        <w:tblLook w:val="04A0" w:firstRow="1" w:lastRow="0" w:firstColumn="1" w:lastColumn="0" w:noHBand="0" w:noVBand="1"/>
      </w:tblPr>
      <w:tblGrid>
        <w:gridCol w:w="7796"/>
        <w:gridCol w:w="568"/>
      </w:tblGrid>
      <w:tr w:rsidR="002A1696" w14:paraId="0408549C" w14:textId="77777777">
        <w:trPr>
          <w:cantSplit/>
          <w:trHeight w:val="300"/>
        </w:trPr>
        <w:tc>
          <w:tcPr>
            <w:tcW w:w="7796" w:type="dxa"/>
            <w:tcBorders>
              <w:top w:val="nil"/>
              <w:left w:val="nil"/>
              <w:bottom w:val="nil"/>
              <w:right w:val="nil"/>
            </w:tcBorders>
          </w:tcPr>
          <w:p w14:paraId="0408549A"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Sup>
                  <m:sSubSupPr>
                    <m:ctrlPr>
                      <w:rPr>
                        <w:rFonts w:ascii="Cambria Math" w:hAnsi="Cambria Math"/>
                      </w:rPr>
                    </m:ctrlPr>
                  </m:sSubSupPr>
                  <m:e>
                    <m:r>
                      <w:rPr>
                        <w:rFonts w:ascii="Cambria Math" w:hAnsi="Cambria Math"/>
                      </w:rPr>
                      <m:t>Q</m:t>
                    </m:r>
                  </m:e>
                  <m:sub>
                    <m:r>
                      <w:rPr>
                        <w:rFonts w:ascii="Cambria Math" w:hAnsi="Cambria Math"/>
                      </w:rPr>
                      <m:t>i</m:t>
                    </m:r>
                    <m:r>
                      <w:rPr>
                        <w:rFonts w:ascii="Cambria Math" w:hAnsi="Cambria Math"/>
                      </w:rPr>
                      <m:t>,</m:t>
                    </m:r>
                    <m:r>
                      <w:rPr>
                        <w:rFonts w:ascii="Cambria Math" w:hAnsi="Cambria Math"/>
                      </w:rPr>
                      <m:t>t</m:t>
                    </m:r>
                  </m:sub>
                  <m:sup>
                    <m:r>
                      <w:rPr>
                        <w:rFonts w:ascii="Cambria Math" w:hAnsi="Cambria Math"/>
                      </w:rPr>
                      <m:t>meat</m:t>
                    </m:r>
                  </m:sup>
                </m:sSubSup>
                <m:r>
                  <m:rPr>
                    <m:lit/>
                    <m:nor/>
                  </m:rPr>
                  <m:t xml:space="preserve"> = </m:t>
                </m:r>
                <m:sSubSup>
                  <m:sSubSupPr>
                    <m:ctrlPr>
                      <w:rPr>
                        <w:rFonts w:ascii="Cambria Math" w:hAnsi="Cambria Math"/>
                      </w:rPr>
                    </m:ctrlPr>
                  </m:sSubSupPr>
                  <m:e>
                    <m:r>
                      <w:rPr>
                        <w:rFonts w:ascii="Cambria Math" w:hAnsi="Cambria Math"/>
                      </w:rPr>
                      <m:t>Q</m:t>
                    </m:r>
                  </m:e>
                  <m:sub>
                    <m:r>
                      <w:rPr>
                        <w:rFonts w:ascii="Cambria Math" w:hAnsi="Cambria Math"/>
                      </w:rPr>
                      <m:t>i</m:t>
                    </m:r>
                    <m:r>
                      <w:rPr>
                        <w:rFonts w:ascii="Cambria Math" w:hAnsi="Cambria Math"/>
                      </w:rPr>
                      <m:t>,</m:t>
                    </m:r>
                    <m:r>
                      <w:rPr>
                        <w:rFonts w:ascii="Cambria Math" w:hAnsi="Cambria Math"/>
                      </w:rPr>
                      <m:t>t</m:t>
                    </m:r>
                  </m:sub>
                  <m:sup>
                    <m:r>
                      <w:rPr>
                        <w:rFonts w:ascii="Cambria Math" w:hAnsi="Cambria Math"/>
                      </w:rPr>
                      <m:t>s</m:t>
                    </m:r>
                    <m:r>
                      <w:rPr>
                        <w:rFonts w:ascii="Cambria Math" w:hAnsi="Cambria Math"/>
                      </w:rPr>
                      <m:t>h</m:t>
                    </m:r>
                    <m:r>
                      <w:rPr>
                        <w:rFonts w:ascii="Cambria Math" w:hAnsi="Cambria Math"/>
                      </w:rPr>
                      <m:t>are</m:t>
                    </m:r>
                  </m:sup>
                </m:sSubSup>
                <m:r>
                  <m:rPr>
                    <m:lit/>
                    <m:nor/>
                  </m:rPr>
                  <m:t xml:space="preserve"> </m:t>
                </m:r>
                <m:r>
                  <w:rPr>
                    <w:rFonts w:ascii="Cambria Math" w:hAnsi="Cambria Math"/>
                  </w:rPr>
                  <m:t>×</m:t>
                </m:r>
                <m:r>
                  <m:rPr>
                    <m:lit/>
                    <m:nor/>
                  </m:rPr>
                  <m:t xml:space="preserve"> </m:t>
                </m:r>
                <m:sSub>
                  <m:sSubPr>
                    <m:ctrlPr>
                      <w:rPr>
                        <w:rFonts w:ascii="Cambria Math" w:hAnsi="Cambria Math"/>
                      </w:rPr>
                    </m:ctrlPr>
                  </m:sSubPr>
                  <m:e>
                    <m:r>
                      <w:rPr>
                        <w:rFonts w:ascii="Cambria Math" w:hAnsi="Cambria Math"/>
                      </w:rPr>
                      <m:t>D</m:t>
                    </m:r>
                  </m:e>
                  <m:sub>
                    <m:r>
                      <w:rPr>
                        <w:rFonts w:ascii="Cambria Math" w:hAnsi="Cambria Math"/>
                      </w:rPr>
                      <m:t>t</m:t>
                    </m:r>
                  </m:sub>
                </m:sSub>
              </m:oMath>
            </m:oMathPara>
          </w:p>
        </w:tc>
        <w:tc>
          <w:tcPr>
            <w:tcW w:w="568" w:type="dxa"/>
            <w:tcBorders>
              <w:top w:val="nil"/>
              <w:left w:val="nil"/>
              <w:bottom w:val="nil"/>
              <w:right w:val="nil"/>
            </w:tcBorders>
            <w:vAlign w:val="center"/>
          </w:tcPr>
          <w:p w14:paraId="0408549B"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9D" w14:textId="77777777" w:rsidR="002A1696" w:rsidRDefault="00C30874">
      <w:pPr>
        <w:pStyle w:val="3"/>
      </w:pPr>
      <w:r>
        <w:t>Scenario assignment</w:t>
      </w:r>
    </w:p>
    <w:p w14:paraId="0408549E" w14:textId="77777777" w:rsidR="002A1696" w:rsidRDefault="00C30874">
      <w:pPr>
        <w:ind w:firstLine="420"/>
      </w:pPr>
      <w:r>
        <w:t>The projected feedlot-share pathways were mapped to the four Ag2050 scenarios according to the scenario narratives. Scenario 1 Regional Ag Capitals was assigned the very high feedlot-share pathway, Scenario 2 Landscape Stewardship was assigned the high pathway, and Scenarios 3 Climate Survival and 4 System Decline were assigned the medium pathway.</w:t>
      </w:r>
    </w:p>
    <w:p w14:paraId="0408549F" w14:textId="77777777" w:rsidR="002A1696" w:rsidRDefault="00C30874">
      <w:pPr>
        <w:pStyle w:val="3"/>
      </w:pPr>
      <w:r>
        <w:t>Revenue and cost adjustment ratios</w:t>
      </w:r>
    </w:p>
    <w:p w14:paraId="040854A0" w14:textId="77777777" w:rsidR="002A1696" w:rsidRDefault="00C30874">
      <w:pPr>
        <w:ind w:firstLine="420"/>
      </w:pPr>
      <w:r>
        <w:t>Feedlot-related cattle production-system shares were used to calculate time-varying adjustment ratios for revenue and cost. Grass-fed baseline values were derived from the LUTO2 livestock input data, including beef price, live export revenue, livestock production potential, variable livestock costs, area costs, labour costs, operating costs, depreciation costs, and water delivery costs.</w:t>
      </w:r>
    </w:p>
    <w:p w14:paraId="040854A1" w14:textId="0DB6E0D1" w:rsidR="002A1696" w:rsidRDefault="00C30874">
      <w:pPr>
        <w:ind w:firstLine="420"/>
      </w:pPr>
      <w:r>
        <w:t xml:space="preserve">Short-fed, mid-fed, and long-fed cattle were assigned system-specific revenue coefficients using grain-fed beef price data from Beef Central market reports </w:t>
      </w:r>
      <w:r>
        <w:fldChar w:fldCharType="begin"/>
      </w:r>
      <w:r w:rsidR="00A47AEC">
        <w:instrText xml:space="preserve"> ADDIN EN.CITE &lt;EndNote&gt;&lt;Cite&gt;&lt;Author&gt;Condon&lt;/Author&gt;&lt;Year&gt;2025&lt;/Year&gt;&lt;RecNum&gt;670&lt;/RecNum&gt;&lt;DisplayText&gt;&lt;style face="superscript"&gt;41,42&lt;/style&gt;&lt;/DisplayText&gt;&lt;record&gt;&lt;rec-number&gt;670&lt;/rec-number&gt;&lt;foreign-keys&gt;&lt;key app="EN" db-id="st0zxxax1wfadte9s5gpaptza9tfvrzsvaxs" timestamp="1779774474"&gt;670&lt;/key&gt;&lt;/foreign-keys&gt;&lt;ref-type name="Web Page"&gt;12&lt;/ref-type&gt;&lt;contributors&gt;&lt;authors&gt;&lt;author&gt;Condon, Jon&lt;/author&gt;&lt;/authors&gt;&lt;/contributors&gt;&lt;titles&gt;&lt;title&gt;Wagyu feeder steer prices stable, but premium over Angus under pressure&lt;/title&gt;&lt;alt-title&gt;Beef Central&lt;/alt-title&gt;&lt;/titles&gt;&lt;dates&gt;&lt;year&gt;2025&lt;/year&gt;&lt;pub-dates&gt;&lt;date&gt;2025&lt;/date&gt;&lt;/pub-dates&gt;&lt;/dates&gt;&lt;publisher&gt;Beef Central&lt;/publisher&gt;&lt;urls&gt;&lt;related-urls&gt;&lt;url&gt;https://www.beefcentral.com/news/wagyu-feeder-steer-prices-stable-but-premium-over-angus-under-pressure/&lt;/url&gt;&lt;/related-urls&gt;&lt;/urls&gt;&lt;/record&gt;&lt;/Cite&gt;&lt;Cite&gt;&lt;Author&gt;Condon&lt;/Author&gt;&lt;Year&gt;2022&lt;/Year&gt;&lt;RecNum&gt;671&lt;/RecNum&gt;&lt;record&gt;&lt;rec-number&gt;671&lt;/rec-number&gt;&lt;foreign-keys&gt;&lt;key app="EN" db-id="st0zxxax1wfadte9s5gpaptza9tfvrzsvaxs" timestamp="1779774516"&gt;671&lt;/key&gt;&lt;/foreign-keys&gt;&lt;ref-type name="Web Page"&gt;12&lt;/ref-type&gt;&lt;contributors&gt;&lt;authors&gt;&lt;author&gt;Condon, Jon&lt;/author&gt;&lt;/authors&gt;&lt;/contributors&gt;&lt;titles&gt;&lt;title&gt;Killara feedlot manager delivers sobering assessment about feeder prices heading into 2023&lt;/title&gt;&lt;alt-title&gt;Beef Central&lt;/alt-title&gt;&lt;/titles&gt;&lt;dates&gt;&lt;year&gt;2022&lt;/year&gt;&lt;pub-dates&gt;&lt;date&gt;2022-11-16&lt;/date&gt;&lt;/pub-dates&gt;&lt;/dates&gt;&lt;publisher&gt;Beef Central&lt;/publisher&gt;&lt;urls&gt;&lt;related-urls&gt;&lt;url&gt;https://www.beefcentral.com/news/killara-feedlot-manager-delivers-sobering-assessment-about-feeder-prices-heading-into-2023/&lt;/url&gt;&lt;/related-urls&gt;&lt;/urls&gt;&lt;/record&gt;&lt;/Cite&gt;&lt;/EndNote&gt;</w:instrText>
      </w:r>
      <w:r>
        <w:fldChar w:fldCharType="separate"/>
      </w:r>
      <w:r w:rsidR="007C0C3E" w:rsidRPr="007C0C3E">
        <w:rPr>
          <w:noProof/>
          <w:vertAlign w:val="superscript"/>
        </w:rPr>
        <w:t>41,42</w:t>
      </w:r>
      <w:r>
        <w:fldChar w:fldCharType="end"/>
      </w:r>
      <w:r>
        <w:t>. Revenue coefficients were converted to AU$ kg</w:t>
      </w:r>
      <w:r>
        <w:rPr>
          <w:vertAlign w:val="superscript"/>
        </w:rPr>
        <w:t>−1</w:t>
      </w:r>
      <w:r>
        <w:t xml:space="preserve"> boneless meat using a boneless meat yield of 0.684 (kg boneless meat per kg carcass weight)</w:t>
      </w:r>
      <w:r>
        <w:rPr>
          <w:rFonts w:hint="eastAsia"/>
        </w:rPr>
        <w:t xml:space="preserve"> </w:t>
      </w:r>
      <w:r>
        <w:fldChar w:fldCharType="begin"/>
      </w:r>
      <w:r w:rsidR="007C0C3E">
        <w:instrText xml:space="preserve"> ADDIN EN.CITE &lt;EndNote&gt;&lt;Cite&gt;&lt;Author&gt;Wiedemann&lt;/Author&gt;&lt;Year&gt;2014&lt;/Year&gt;&lt;RecNum&gt;673&lt;/RecNum&gt;&lt;DisplayText&gt;&lt;style face="superscript"&gt;43&lt;/style&gt;&lt;/DisplayText&gt;&lt;record&gt;&lt;rec-number&gt;673&lt;/rec-number&gt;&lt;foreign-keys&gt;&lt;key app="EN" db-id="st0zxxax1wfadte9s5gpaptza9tfvrzsvaxs" timestamp="1779775515"&gt;673&lt;/key&gt;&lt;/foreign-keys&gt;&lt;ref-type name="Report"&gt;27&lt;/ref-type&gt;&lt;contributors&gt;&lt;authors&gt;&lt;author&gt;Wiedemann, S. G.&lt;/author&gt;&lt;author&gt;McGahan, E. J.&lt;/author&gt;&lt;author&gt;Yan, M. J.&lt;/author&gt;&lt;author&gt;Murphy, C. M.&lt;/author&gt;&lt;author&gt;Henry, B. K.&lt;/author&gt;&lt;author&gt;Thoma, G.&lt;/author&gt;&lt;author&gt;Ledgard, S.&lt;/author&gt;&lt;/authors&gt;&lt;/contributors&gt;&lt;titles&gt;&lt;title&gt;The environmental sustainability of premium Australian beef exported to the USA: A Life Cycle Assessment&lt;/title&gt;&lt;/titles&gt;&lt;dates&gt;&lt;year&gt;2014&lt;/year&gt;&lt;pub-dates&gt;&lt;date&gt;2014-06-30&lt;/date&gt;&lt;/pub-dates&gt;&lt;/dates&gt;&lt;pub-location&gt;North Sydney, NSW, Australia&lt;/pub-location&gt;&lt;publisher&gt;Meat and Livestock Australia Limited&lt;/publisher&gt;&lt;isbn&gt;9781741919011&lt;/isbn&gt;&lt;work-type&gt;Final report&lt;/work-type&gt;&lt;urls&gt;&lt;/urls&gt;&lt;/record&gt;&lt;/Cite&gt;&lt;/EndNote&gt;</w:instrText>
      </w:r>
      <w:r>
        <w:fldChar w:fldCharType="separate"/>
      </w:r>
      <w:r w:rsidR="007C0C3E" w:rsidRPr="007C0C3E">
        <w:rPr>
          <w:noProof/>
          <w:vertAlign w:val="superscript"/>
        </w:rPr>
        <w:t>43</w:t>
      </w:r>
      <w:r>
        <w:fldChar w:fldCharType="end"/>
      </w:r>
      <w:r>
        <w:t>:</w:t>
      </w:r>
    </w:p>
    <w:tbl>
      <w:tblPr>
        <w:tblStyle w:val="aff3"/>
        <w:tblW w:w="8364" w:type="dxa"/>
        <w:tblLayout w:type="fixed"/>
        <w:tblLook w:val="04A0" w:firstRow="1" w:lastRow="0" w:firstColumn="1" w:lastColumn="0" w:noHBand="0" w:noVBand="1"/>
      </w:tblPr>
      <w:tblGrid>
        <w:gridCol w:w="7796"/>
        <w:gridCol w:w="568"/>
      </w:tblGrid>
      <w:tr w:rsidR="002A1696" w14:paraId="040854A4" w14:textId="77777777">
        <w:trPr>
          <w:cantSplit/>
          <w:trHeight w:val="300"/>
        </w:trPr>
        <w:tc>
          <w:tcPr>
            <w:tcW w:w="7796" w:type="dxa"/>
            <w:tcBorders>
              <w:top w:val="nil"/>
              <w:left w:val="nil"/>
              <w:bottom w:val="nil"/>
              <w:right w:val="nil"/>
            </w:tcBorders>
          </w:tcPr>
          <w:p w14:paraId="040854A2"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
                  <m:sSubPr>
                    <m:ctrlPr>
                      <w:rPr>
                        <w:rFonts w:ascii="Cambria Math" w:hAnsi="Cambria Math"/>
                      </w:rPr>
                    </m:ctrlPr>
                  </m:sSubPr>
                  <m:e>
                    <m:r>
                      <w:rPr>
                        <w:rFonts w:ascii="Cambria Math" w:hAnsi="Cambria Math"/>
                      </w:rPr>
                      <m:t>r</m:t>
                    </m:r>
                  </m:e>
                  <m:sub>
                    <m:r>
                      <w:rPr>
                        <w:rFonts w:ascii="Cambria Math" w:hAnsi="Cambria Math"/>
                      </w:rPr>
                      <m:t>s</m:t>
                    </m:r>
                    <m:r>
                      <w:rPr>
                        <w:rFonts w:ascii="Cambria Math" w:hAnsi="Cambria Math"/>
                      </w:rPr>
                      <m:t>h</m:t>
                    </m:r>
                    <m:r>
                      <w:rPr>
                        <w:rFonts w:ascii="Cambria Math" w:hAnsi="Cambria Math"/>
                      </w:rPr>
                      <m:t>ort</m:t>
                    </m:r>
                  </m:sub>
                </m:sSub>
                <m:r>
                  <m:rPr>
                    <m:lit/>
                    <m:nor/>
                  </m:rPr>
                  <m:t xml:space="preserve"> = </m:t>
                </m:r>
                <m:f>
                  <m:fPr>
                    <m:ctrlPr>
                      <w:rPr>
                        <w:rFonts w:ascii="Cambria Math" w:hAnsi="Cambria Math"/>
                      </w:rPr>
                    </m:ctrlPr>
                  </m:fPr>
                  <m:num>
                    <m:r>
                      <w:rPr>
                        <w:rFonts w:ascii="Cambria Math" w:hAnsi="Cambria Math"/>
                      </w:rPr>
                      <m:t>9.05</m:t>
                    </m:r>
                  </m:num>
                  <m:den>
                    <m:r>
                      <w:rPr>
                        <w:rFonts w:ascii="Cambria Math" w:hAnsi="Cambria Math"/>
                      </w:rPr>
                      <m:t>0.684</m:t>
                    </m:r>
                  </m:den>
                </m:f>
                <m:r>
                  <w:rPr>
                    <w:rFonts w:ascii="Cambria Math" w:hAnsi="Cambria Math"/>
                  </w:rPr>
                  <m:t>,</m:t>
                </m:r>
                <m:r>
                  <m:rPr>
                    <m:lit/>
                    <m:nor/>
                  </m:rPr>
                  <m:t xml:space="preserve">  </m:t>
                </m:r>
                <m:sSub>
                  <m:sSubPr>
                    <m:ctrlPr>
                      <w:rPr>
                        <w:rFonts w:ascii="Cambria Math" w:hAnsi="Cambria Math"/>
                      </w:rPr>
                    </m:ctrlPr>
                  </m:sSubPr>
                  <m:e>
                    <m:r>
                      <w:rPr>
                        <w:rFonts w:ascii="Cambria Math" w:hAnsi="Cambria Math"/>
                      </w:rPr>
                      <m:t>r</m:t>
                    </m:r>
                  </m:e>
                  <m:sub>
                    <m:r>
                      <w:rPr>
                        <w:rFonts w:ascii="Cambria Math" w:hAnsi="Cambria Math"/>
                      </w:rPr>
                      <m:t>mid</m:t>
                    </m:r>
                  </m:sub>
                </m:sSub>
                <m:r>
                  <m:rPr>
                    <m:lit/>
                    <m:nor/>
                  </m:rPr>
                  <m:t xml:space="preserve"> = </m:t>
                </m:r>
                <m:f>
                  <m:fPr>
                    <m:ctrlPr>
                      <w:rPr>
                        <w:rFonts w:ascii="Cambria Math" w:hAnsi="Cambria Math"/>
                      </w:rPr>
                    </m:ctrlPr>
                  </m:fPr>
                  <m:num>
                    <m:r>
                      <w:rPr>
                        <w:rFonts w:ascii="Cambria Math" w:hAnsi="Cambria Math"/>
                      </w:rPr>
                      <m:t>11.00</m:t>
                    </m:r>
                  </m:num>
                  <m:den>
                    <m:r>
                      <w:rPr>
                        <w:rFonts w:ascii="Cambria Math" w:hAnsi="Cambria Math"/>
                      </w:rPr>
                      <m:t>0.684</m:t>
                    </m:r>
                  </m:den>
                </m:f>
                <m:r>
                  <w:rPr>
                    <w:rFonts w:ascii="Cambria Math" w:hAnsi="Cambria Math"/>
                  </w:rPr>
                  <m:t>,</m:t>
                </m:r>
                <m:r>
                  <m:rPr>
                    <m:lit/>
                    <m:nor/>
                  </m:rPr>
                  <m:t xml:space="preserve">  </m:t>
                </m:r>
                <m:sSub>
                  <m:sSubPr>
                    <m:ctrlPr>
                      <w:rPr>
                        <w:rFonts w:ascii="Cambria Math" w:hAnsi="Cambria Math"/>
                      </w:rPr>
                    </m:ctrlPr>
                  </m:sSubPr>
                  <m:e>
                    <m:r>
                      <w:rPr>
                        <w:rFonts w:ascii="Cambria Math" w:hAnsi="Cambria Math"/>
                      </w:rPr>
                      <m:t>r</m:t>
                    </m:r>
                  </m:e>
                  <m:sub>
                    <m:r>
                      <w:rPr>
                        <w:rFonts w:ascii="Cambria Math" w:hAnsi="Cambria Math"/>
                      </w:rPr>
                      <m:t>long</m:t>
                    </m:r>
                  </m:sub>
                </m:sSub>
                <m:r>
                  <m:rPr>
                    <m:lit/>
                    <m:nor/>
                  </m:rPr>
                  <m:t xml:space="preserve"> = </m:t>
                </m:r>
                <m:f>
                  <m:fPr>
                    <m:ctrlPr>
                      <w:rPr>
                        <w:rFonts w:ascii="Cambria Math" w:hAnsi="Cambria Math"/>
                      </w:rPr>
                    </m:ctrlPr>
                  </m:fPr>
                  <m:num>
                    <m:r>
                      <w:rPr>
                        <w:rFonts w:ascii="Cambria Math" w:hAnsi="Cambria Math"/>
                      </w:rPr>
                      <m:t>16.00</m:t>
                    </m:r>
                  </m:num>
                  <m:den>
                    <m:r>
                      <w:rPr>
                        <w:rFonts w:ascii="Cambria Math" w:hAnsi="Cambria Math"/>
                      </w:rPr>
                      <m:t>0.684</m:t>
                    </m:r>
                  </m:den>
                </m:f>
              </m:oMath>
            </m:oMathPara>
          </w:p>
        </w:tc>
        <w:tc>
          <w:tcPr>
            <w:tcW w:w="568" w:type="dxa"/>
            <w:tcBorders>
              <w:top w:val="nil"/>
              <w:left w:val="nil"/>
              <w:bottom w:val="nil"/>
              <w:right w:val="nil"/>
            </w:tcBorders>
            <w:vAlign w:val="center"/>
          </w:tcPr>
          <w:p w14:paraId="040854A3"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A5" w14:textId="7BF62F7A" w:rsidR="002A1696" w:rsidRDefault="00C30874">
      <w:pPr>
        <w:ind w:firstLineChars="0" w:firstLine="0"/>
      </w:pPr>
      <w:r>
        <w:t>where 9.05, 11.00, and 16.00 are the respective carcass-weight prices (AU$ kg</w:t>
      </w:r>
      <w:r>
        <w:rPr>
          <w:vertAlign w:val="superscript"/>
        </w:rPr>
        <w:t>−1</w:t>
      </w:r>
      <w:r>
        <w:t xml:space="preserve"> cwt) for short-fed (~90-day), mid-fed (~150-day), and long-fed (~300-day) grain-fed cattle.</w:t>
      </w:r>
    </w:p>
    <w:p w14:paraId="040854A6" w14:textId="77777777" w:rsidR="002A1696" w:rsidRDefault="00C30874">
      <w:pPr>
        <w:ind w:firstLine="420"/>
      </w:pPr>
      <w:r>
        <w:t>Cost coefficients were derived from Beef Central breakeven budgets and expressed on the same per-kg-boneless-meat basis:</w:t>
      </w:r>
    </w:p>
    <w:tbl>
      <w:tblPr>
        <w:tblStyle w:val="aff3"/>
        <w:tblW w:w="8364" w:type="dxa"/>
        <w:tblLayout w:type="fixed"/>
        <w:tblLook w:val="04A0" w:firstRow="1" w:lastRow="0" w:firstColumn="1" w:lastColumn="0" w:noHBand="0" w:noVBand="1"/>
      </w:tblPr>
      <w:tblGrid>
        <w:gridCol w:w="7796"/>
        <w:gridCol w:w="568"/>
      </w:tblGrid>
      <w:tr w:rsidR="002A1696" w14:paraId="040854A9" w14:textId="77777777">
        <w:trPr>
          <w:cantSplit/>
          <w:trHeight w:val="300"/>
        </w:trPr>
        <w:tc>
          <w:tcPr>
            <w:tcW w:w="7796" w:type="dxa"/>
            <w:tcBorders>
              <w:top w:val="nil"/>
              <w:left w:val="nil"/>
              <w:bottom w:val="nil"/>
              <w:right w:val="nil"/>
            </w:tcBorders>
          </w:tcPr>
          <w:p w14:paraId="040854A7"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
                  <m:sSubPr>
                    <m:ctrlPr>
                      <w:rPr>
                        <w:rFonts w:ascii="Cambria Math" w:hAnsi="Cambria Math"/>
                      </w:rPr>
                    </m:ctrlPr>
                  </m:sSubPr>
                  <m:e>
                    <m:r>
                      <w:rPr>
                        <w:rFonts w:ascii="Cambria Math" w:hAnsi="Cambria Math"/>
                      </w:rPr>
                      <m:t>c</m:t>
                    </m:r>
                  </m:e>
                  <m:sub>
                    <m:r>
                      <w:rPr>
                        <w:rFonts w:ascii="Cambria Math" w:hAnsi="Cambria Math"/>
                      </w:rPr>
                      <m:t>s</m:t>
                    </m:r>
                    <m:r>
                      <w:rPr>
                        <w:rFonts w:ascii="Cambria Math" w:hAnsi="Cambria Math"/>
                      </w:rPr>
                      <m:t>h</m:t>
                    </m:r>
                    <m:r>
                      <w:rPr>
                        <w:rFonts w:ascii="Cambria Math" w:hAnsi="Cambria Math"/>
                      </w:rPr>
                      <m:t>ort</m:t>
                    </m:r>
                  </m:sub>
                </m:sSub>
                <m:r>
                  <m:rPr>
                    <m:lit/>
                    <m:nor/>
                  </m:rPr>
                  <m:t xml:space="preserve"> = </m:t>
                </m:r>
                <m:f>
                  <m:fPr>
                    <m:ctrlPr>
                      <w:rPr>
                        <w:rFonts w:ascii="Cambria Math" w:hAnsi="Cambria Math"/>
                      </w:rPr>
                    </m:ctrlPr>
                  </m:fPr>
                  <m:num>
                    <m:r>
                      <w:rPr>
                        <w:rFonts w:ascii="Cambria Math" w:hAnsi="Cambria Math"/>
                      </w:rPr>
                      <m:t>7.03</m:t>
                    </m:r>
                  </m:num>
                  <m:den>
                    <m:r>
                      <w:rPr>
                        <w:rFonts w:ascii="Cambria Math" w:hAnsi="Cambria Math"/>
                      </w:rPr>
                      <m:t>0.684</m:t>
                    </m:r>
                  </m:den>
                </m:f>
                <m:r>
                  <w:rPr>
                    <w:rFonts w:ascii="Cambria Math" w:hAnsi="Cambria Math"/>
                  </w:rPr>
                  <m:t>,</m:t>
                </m:r>
                <m:r>
                  <m:rPr>
                    <m:lit/>
                    <m:nor/>
                  </m:rPr>
                  <m:t xml:space="preserve">  </m:t>
                </m:r>
                <m:sSub>
                  <m:sSubPr>
                    <m:ctrlPr>
                      <w:rPr>
                        <w:rFonts w:ascii="Cambria Math" w:hAnsi="Cambria Math"/>
                      </w:rPr>
                    </m:ctrlPr>
                  </m:sSubPr>
                  <m:e>
                    <m:r>
                      <w:rPr>
                        <w:rFonts w:ascii="Cambria Math" w:hAnsi="Cambria Math"/>
                      </w:rPr>
                      <m:t>c</m:t>
                    </m:r>
                  </m:e>
                  <m:sub>
                    <m:r>
                      <w:rPr>
                        <w:rFonts w:ascii="Cambria Math" w:hAnsi="Cambria Math"/>
                      </w:rPr>
                      <m:t>mid</m:t>
                    </m:r>
                  </m:sub>
                </m:sSub>
                <m:r>
                  <m:rPr>
                    <m:lit/>
                    <m:nor/>
                  </m:rPr>
                  <m:t xml:space="preserve"> = </m:t>
                </m:r>
                <m:f>
                  <m:fPr>
                    <m:ctrlPr>
                      <w:rPr>
                        <w:rFonts w:ascii="Cambria Math" w:hAnsi="Cambria Math"/>
                      </w:rPr>
                    </m:ctrlPr>
                  </m:fPr>
                  <m:num>
                    <m:r>
                      <w:rPr>
                        <w:rFonts w:ascii="Cambria Math" w:hAnsi="Cambria Math"/>
                      </w:rPr>
                      <m:t>6.73</m:t>
                    </m:r>
                  </m:num>
                  <m:den>
                    <m:r>
                      <w:rPr>
                        <w:rFonts w:ascii="Cambria Math" w:hAnsi="Cambria Math"/>
                      </w:rPr>
                      <m:t>0.684</m:t>
                    </m:r>
                  </m:den>
                </m:f>
                <m:r>
                  <w:rPr>
                    <w:rFonts w:ascii="Cambria Math" w:hAnsi="Cambria Math"/>
                  </w:rPr>
                  <m:t>,</m:t>
                </m:r>
                <m:r>
                  <m:rPr>
                    <m:lit/>
                    <m:nor/>
                  </m:rPr>
                  <m:t xml:space="preserve">  </m:t>
                </m:r>
                <m:sSub>
                  <m:sSubPr>
                    <m:ctrlPr>
                      <w:rPr>
                        <w:rFonts w:ascii="Cambria Math" w:hAnsi="Cambria Math"/>
                      </w:rPr>
                    </m:ctrlPr>
                  </m:sSubPr>
                  <m:e>
                    <m:r>
                      <w:rPr>
                        <w:rFonts w:ascii="Cambria Math" w:hAnsi="Cambria Math"/>
                      </w:rPr>
                      <m:t>c</m:t>
                    </m:r>
                  </m:e>
                  <m:sub>
                    <m:r>
                      <w:rPr>
                        <w:rFonts w:ascii="Cambria Math" w:hAnsi="Cambria Math"/>
                      </w:rPr>
                      <m:t>long</m:t>
                    </m:r>
                  </m:sub>
                </m:sSub>
                <m:r>
                  <m:rPr>
                    <m:lit/>
                    <m:nor/>
                  </m:rPr>
                  <m:t xml:space="preserve"> = </m:t>
                </m:r>
                <m:f>
                  <m:fPr>
                    <m:ctrlPr>
                      <w:rPr>
                        <w:rFonts w:ascii="Cambria Math" w:hAnsi="Cambria Math"/>
                      </w:rPr>
                    </m:ctrlPr>
                  </m:fPr>
                  <m:num>
                    <m:r>
                      <w:rPr>
                        <w:rFonts w:ascii="Cambria Math" w:hAnsi="Cambria Math"/>
                      </w:rPr>
                      <m:t>6.73</m:t>
                    </m:r>
                  </m:num>
                  <m:den>
                    <m:r>
                      <w:rPr>
                        <w:rFonts w:ascii="Cambria Math" w:hAnsi="Cambria Math"/>
                      </w:rPr>
                      <m:t>0.684</m:t>
                    </m:r>
                  </m:den>
                </m:f>
              </m:oMath>
            </m:oMathPara>
          </w:p>
        </w:tc>
        <w:tc>
          <w:tcPr>
            <w:tcW w:w="568" w:type="dxa"/>
            <w:tcBorders>
              <w:top w:val="nil"/>
              <w:left w:val="nil"/>
              <w:bottom w:val="nil"/>
              <w:right w:val="nil"/>
            </w:tcBorders>
            <w:vAlign w:val="center"/>
          </w:tcPr>
          <w:p w14:paraId="040854A8"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AA" w14:textId="77777777" w:rsidR="002A1696" w:rsidRDefault="00C30874">
      <w:pPr>
        <w:ind w:firstLine="420"/>
      </w:pPr>
      <w:r>
        <w:t xml:space="preserve">For each year and scenario, weighted-average revenue and cost intensities were calculated using liveweight production as weights. Letting </w:t>
      </w:r>
      <w:r>
        <w:rPr>
          <w:i/>
          <w:iCs/>
        </w:rPr>
        <w:t>Q</w:t>
      </w:r>
      <w:r>
        <w:rPr>
          <w:vertAlign w:val="superscript"/>
        </w:rPr>
        <w:t>LW</w:t>
      </w:r>
      <w:r>
        <w:rPr>
          <w:vertAlign w:val="subscript"/>
        </w:rPr>
        <w:t>i,t</w:t>
      </w:r>
      <w:r>
        <w:t xml:space="preserve"> denote liveweight production (tonnes) of cattle production system </w:t>
      </w:r>
      <w:r>
        <w:rPr>
          <w:i/>
          <w:iCs/>
        </w:rPr>
        <w:t>i</w:t>
      </w:r>
      <w:r>
        <w:t xml:space="preserve"> in year </w:t>
      </w:r>
      <w:r>
        <w:rPr>
          <w:i/>
          <w:iCs/>
        </w:rPr>
        <w:t>t</w:t>
      </w:r>
      <w:r>
        <w:t>:</w:t>
      </w:r>
    </w:p>
    <w:tbl>
      <w:tblPr>
        <w:tblStyle w:val="aff3"/>
        <w:tblW w:w="8364" w:type="dxa"/>
        <w:tblLayout w:type="fixed"/>
        <w:tblLook w:val="04A0" w:firstRow="1" w:lastRow="0" w:firstColumn="1" w:lastColumn="0" w:noHBand="0" w:noVBand="1"/>
      </w:tblPr>
      <w:tblGrid>
        <w:gridCol w:w="7796"/>
        <w:gridCol w:w="568"/>
      </w:tblGrid>
      <w:tr w:rsidR="002A1696" w14:paraId="040854AD" w14:textId="77777777">
        <w:trPr>
          <w:cantSplit/>
          <w:trHeight w:val="300"/>
        </w:trPr>
        <w:tc>
          <w:tcPr>
            <w:tcW w:w="7796" w:type="dxa"/>
            <w:tcBorders>
              <w:top w:val="nil"/>
              <w:left w:val="nil"/>
              <w:bottom w:val="nil"/>
              <w:right w:val="nil"/>
            </w:tcBorders>
          </w:tcPr>
          <w:p w14:paraId="040854AB"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
                  <m:sSubPr>
                    <m:ctrlPr>
                      <w:rPr>
                        <w:rFonts w:ascii="Cambria Math" w:hAnsi="Cambria Math"/>
                      </w:rPr>
                    </m:ctrlPr>
                  </m:sSubPr>
                  <m:e>
                    <m:r>
                      <w:rPr>
                        <w:rFonts w:ascii="Cambria Math" w:hAnsi="Cambria Math"/>
                      </w:rPr>
                      <m:t>r̅</m:t>
                    </m:r>
                  </m:e>
                  <m:sub>
                    <m:r>
                      <w:rPr>
                        <w:rFonts w:ascii="Cambria Math" w:hAnsi="Cambria Math"/>
                      </w:rPr>
                      <m:t>t</m:t>
                    </m:r>
                  </m:sub>
                </m:sSub>
                <m:r>
                  <m:rPr>
                    <m:lit/>
                    <m:nor/>
                  </m:rPr>
                  <m:t xml:space="preserve"> = </m:t>
                </m:r>
                <m:f>
                  <m:fPr>
                    <m:ctrlPr>
                      <w:rPr>
                        <w:rFonts w:ascii="Cambria Math" w:hAnsi="Cambria Math"/>
                      </w:rPr>
                    </m:ctrlPr>
                  </m:fPr>
                  <m:num>
                    <m:r>
                      <w:rPr>
                        <w:rFonts w:ascii="Cambria Math" w:hAnsi="Cambria Math"/>
                      </w:rPr>
                      <m:t>Σ</m:t>
                    </m:r>
                    <m:r>
                      <m:rPr>
                        <m:lit/>
                        <m:nor/>
                      </m:rPr>
                      <m:t xml:space="preserve"> </m:t>
                    </m:r>
                    <m:sSubSup>
                      <m:sSubSupPr>
                        <m:ctrlPr>
                          <w:rPr>
                            <w:rFonts w:ascii="Cambria Math" w:hAnsi="Cambria Math"/>
                          </w:rPr>
                        </m:ctrlPr>
                      </m:sSubSupPr>
                      <m:e>
                        <m:r>
                          <w:rPr>
                            <w:rFonts w:ascii="Cambria Math" w:hAnsi="Cambria Math"/>
                          </w:rPr>
                          <m:t>Q</m:t>
                        </m:r>
                      </m:e>
                      <m:sub>
                        <m:r>
                          <w:rPr>
                            <w:rFonts w:ascii="Cambria Math" w:hAnsi="Cambria Math"/>
                          </w:rPr>
                          <m:t>i</m:t>
                        </m:r>
                        <m:r>
                          <w:rPr>
                            <w:rFonts w:ascii="Cambria Math" w:hAnsi="Cambria Math"/>
                          </w:rPr>
                          <m:t>,</m:t>
                        </m:r>
                        <m:r>
                          <w:rPr>
                            <w:rFonts w:ascii="Cambria Math" w:hAnsi="Cambria Math"/>
                          </w:rPr>
                          <m:t>t</m:t>
                        </m:r>
                      </m:sub>
                      <m:sup>
                        <m:r>
                          <w:rPr>
                            <w:rFonts w:ascii="Cambria Math" w:hAnsi="Cambria Math"/>
                          </w:rPr>
                          <m:t>LW</m:t>
                        </m:r>
                      </m:sup>
                    </m:sSubSup>
                    <m:r>
                      <m:rPr>
                        <m:lit/>
                        <m:nor/>
                      </m:rPr>
                      <m:t xml:space="preserve"> </m:t>
                    </m:r>
                    <m:sSub>
                      <m:sSubPr>
                        <m:ctrlPr>
                          <w:rPr>
                            <w:rFonts w:ascii="Cambria Math" w:hAnsi="Cambria Math"/>
                          </w:rPr>
                        </m:ctrlPr>
                      </m:sSubPr>
                      <m:e>
                        <m:r>
                          <w:rPr>
                            <w:rFonts w:ascii="Cambria Math" w:hAnsi="Cambria Math"/>
                          </w:rPr>
                          <m:t>r</m:t>
                        </m:r>
                      </m:e>
                      <m:sub>
                        <m:r>
                          <w:rPr>
                            <w:rFonts w:ascii="Cambria Math" w:hAnsi="Cambria Math"/>
                          </w:rPr>
                          <m:t>i</m:t>
                        </m:r>
                      </m:sub>
                    </m:sSub>
                  </m:num>
                  <m:den>
                    <m:r>
                      <w:rPr>
                        <w:rFonts w:ascii="Cambria Math" w:hAnsi="Cambria Math"/>
                      </w:rPr>
                      <m:t>Σ</m:t>
                    </m:r>
                    <m:r>
                      <m:rPr>
                        <m:lit/>
                        <m:nor/>
                      </m:rPr>
                      <m:t xml:space="preserve"> </m:t>
                    </m:r>
                    <m:sSubSup>
                      <m:sSubSupPr>
                        <m:ctrlPr>
                          <w:rPr>
                            <w:rFonts w:ascii="Cambria Math" w:hAnsi="Cambria Math"/>
                          </w:rPr>
                        </m:ctrlPr>
                      </m:sSubSupPr>
                      <m:e>
                        <m:r>
                          <w:rPr>
                            <w:rFonts w:ascii="Cambria Math" w:hAnsi="Cambria Math"/>
                          </w:rPr>
                          <m:t>Q</m:t>
                        </m:r>
                      </m:e>
                      <m:sub>
                        <m:r>
                          <w:rPr>
                            <w:rFonts w:ascii="Cambria Math" w:hAnsi="Cambria Math"/>
                          </w:rPr>
                          <m:t>i</m:t>
                        </m:r>
                        <m:r>
                          <w:rPr>
                            <w:rFonts w:ascii="Cambria Math" w:hAnsi="Cambria Math"/>
                          </w:rPr>
                          <m:t>,</m:t>
                        </m:r>
                        <m:r>
                          <w:rPr>
                            <w:rFonts w:ascii="Cambria Math" w:hAnsi="Cambria Math"/>
                          </w:rPr>
                          <m:t>t</m:t>
                        </m:r>
                      </m:sub>
                      <m:sup>
                        <m:r>
                          <w:rPr>
                            <w:rFonts w:ascii="Cambria Math" w:hAnsi="Cambria Math"/>
                          </w:rPr>
                          <m:t>LW</m:t>
                        </m:r>
                      </m:sup>
                    </m:sSubSup>
                  </m:den>
                </m:f>
              </m:oMath>
            </m:oMathPara>
          </w:p>
        </w:tc>
        <w:tc>
          <w:tcPr>
            <w:tcW w:w="568" w:type="dxa"/>
            <w:tcBorders>
              <w:top w:val="nil"/>
              <w:left w:val="nil"/>
              <w:bottom w:val="nil"/>
              <w:right w:val="nil"/>
            </w:tcBorders>
            <w:vAlign w:val="center"/>
          </w:tcPr>
          <w:p w14:paraId="040854AC"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AE" w14:textId="77777777" w:rsidR="002A1696" w:rsidRDefault="00C30874">
      <w:pPr>
        <w:ind w:firstLineChars="0" w:firstLine="0"/>
      </w:pPr>
      <w:r>
        <w:t xml:space="preserve">where </w:t>
      </w:r>
      <w:r>
        <w:rPr>
          <w:i/>
          <w:iCs/>
        </w:rPr>
        <w:t>r</w:t>
      </w:r>
      <w:r>
        <w:rPr>
          <w:vertAlign w:val="subscript"/>
        </w:rPr>
        <w:t>i</w:t>
      </w:r>
      <w:r>
        <w:t xml:space="preserve"> and </w:t>
      </w:r>
      <w:r>
        <w:rPr>
          <w:i/>
          <w:iCs/>
        </w:rPr>
        <w:t>c</w:t>
      </w:r>
      <w:r>
        <w:rPr>
          <w:vertAlign w:val="subscript"/>
        </w:rPr>
        <w:t>i</w:t>
      </w:r>
      <w:r>
        <w:t xml:space="preserve"> are expressed per kg boneless meat. Because dressing percentage is approximately equal across cattle production systems (~54–56%), the meat-yield conversion factor is approximately constant and cancels in the ratio, making liveweight-weighted and meat-weighted </w:t>
      </w:r>
      <w:r>
        <w:lastRenderedPageBreak/>
        <w:t>averages equivalent for the purpose of computing the ratio relative to the grass-fed baseline:</w:t>
      </w:r>
    </w:p>
    <w:tbl>
      <w:tblPr>
        <w:tblStyle w:val="aff3"/>
        <w:tblW w:w="8364" w:type="dxa"/>
        <w:tblLayout w:type="fixed"/>
        <w:tblLook w:val="04A0" w:firstRow="1" w:lastRow="0" w:firstColumn="1" w:lastColumn="0" w:noHBand="0" w:noVBand="1"/>
      </w:tblPr>
      <w:tblGrid>
        <w:gridCol w:w="7796"/>
        <w:gridCol w:w="568"/>
      </w:tblGrid>
      <w:tr w:rsidR="002A1696" w14:paraId="040854B1" w14:textId="77777777">
        <w:trPr>
          <w:cantSplit/>
          <w:trHeight w:val="300"/>
        </w:trPr>
        <w:tc>
          <w:tcPr>
            <w:tcW w:w="7796" w:type="dxa"/>
            <w:tcBorders>
              <w:top w:val="nil"/>
              <w:left w:val="nil"/>
              <w:bottom w:val="nil"/>
              <w:right w:val="nil"/>
            </w:tcBorders>
          </w:tcPr>
          <w:p w14:paraId="040854AF"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Sup>
                  <m:sSubSupPr>
                    <m:ctrlPr>
                      <w:rPr>
                        <w:rFonts w:ascii="Cambria Math" w:hAnsi="Cambria Math"/>
                      </w:rPr>
                    </m:ctrlPr>
                  </m:sSubSupPr>
                  <m:e>
                    <m:r>
                      <w:rPr>
                        <w:rFonts w:ascii="Cambria Math" w:hAnsi="Cambria Math"/>
                      </w:rPr>
                      <m:t>R</m:t>
                    </m:r>
                  </m:e>
                  <m:sub>
                    <m:r>
                      <w:rPr>
                        <w:rFonts w:ascii="Cambria Math" w:hAnsi="Cambria Math"/>
                      </w:rPr>
                      <m:t>t</m:t>
                    </m:r>
                  </m:sub>
                  <m:sup>
                    <m:r>
                      <w:rPr>
                        <w:rFonts w:ascii="Cambria Math" w:hAnsi="Cambria Math"/>
                      </w:rPr>
                      <m:t>rev</m:t>
                    </m:r>
                  </m:sup>
                </m:sSubSup>
                <m:r>
                  <m:rPr>
                    <m:lit/>
                    <m:nor/>
                  </m:rPr>
                  <m:t xml:space="preserve"> = </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t</m:t>
                        </m:r>
                      </m:sub>
                    </m:sSub>
                  </m:num>
                  <m:den>
                    <m:sSub>
                      <m:sSubPr>
                        <m:ctrlPr>
                          <w:rPr>
                            <w:rFonts w:ascii="Cambria Math" w:hAnsi="Cambria Math"/>
                          </w:rPr>
                        </m:ctrlPr>
                      </m:sSubPr>
                      <m:e>
                        <m:r>
                          <w:rPr>
                            <w:rFonts w:ascii="Cambria Math" w:hAnsi="Cambria Math"/>
                          </w:rPr>
                          <m:t>r</m:t>
                        </m:r>
                      </m:e>
                      <m:sub>
                        <m:r>
                          <w:rPr>
                            <w:rFonts w:ascii="Cambria Math" w:hAnsi="Cambria Math"/>
                          </w:rPr>
                          <m:t>grass</m:t>
                        </m:r>
                      </m:sub>
                    </m:sSub>
                  </m:den>
                </m:f>
                <m:r>
                  <w:rPr>
                    <w:rFonts w:ascii="Cambria Math" w:hAnsi="Cambria Math"/>
                  </w:rPr>
                  <m:t>,</m:t>
                </m:r>
                <m:r>
                  <m:rPr>
                    <m:lit/>
                    <m:nor/>
                  </m:rPr>
                  <m:t xml:space="preserve">   </m:t>
                </m:r>
                <m:sSubSup>
                  <m:sSubSupPr>
                    <m:ctrlPr>
                      <w:rPr>
                        <w:rFonts w:ascii="Cambria Math" w:hAnsi="Cambria Math"/>
                      </w:rPr>
                    </m:ctrlPr>
                  </m:sSubSupPr>
                  <m:e>
                    <m:r>
                      <w:rPr>
                        <w:rFonts w:ascii="Cambria Math" w:hAnsi="Cambria Math"/>
                      </w:rPr>
                      <m:t>R</m:t>
                    </m:r>
                  </m:e>
                  <m:sub>
                    <m:r>
                      <w:rPr>
                        <w:rFonts w:ascii="Cambria Math" w:hAnsi="Cambria Math"/>
                      </w:rPr>
                      <m:t>t</m:t>
                    </m:r>
                  </m:sub>
                  <m:sup>
                    <m:r>
                      <w:rPr>
                        <w:rFonts w:ascii="Cambria Math" w:hAnsi="Cambria Math"/>
                      </w:rPr>
                      <m:t>cost</m:t>
                    </m:r>
                  </m:sup>
                </m:sSubSup>
                <m:r>
                  <m:rPr>
                    <m:lit/>
                    <m:nor/>
                  </m:rPr>
                  <m:t xml:space="preserve"> = </m:t>
                </m:r>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t</m:t>
                        </m:r>
                      </m:sub>
                    </m:sSub>
                  </m:num>
                  <m:den>
                    <m:sSub>
                      <m:sSubPr>
                        <m:ctrlPr>
                          <w:rPr>
                            <w:rFonts w:ascii="Cambria Math" w:hAnsi="Cambria Math"/>
                          </w:rPr>
                        </m:ctrlPr>
                      </m:sSubPr>
                      <m:e>
                        <m:r>
                          <w:rPr>
                            <w:rFonts w:ascii="Cambria Math" w:hAnsi="Cambria Math"/>
                          </w:rPr>
                          <m:t>c</m:t>
                        </m:r>
                      </m:e>
                      <m:sub>
                        <m:r>
                          <w:rPr>
                            <w:rFonts w:ascii="Cambria Math" w:hAnsi="Cambria Math"/>
                          </w:rPr>
                          <m:t>grass</m:t>
                        </m:r>
                      </m:sub>
                    </m:sSub>
                  </m:den>
                </m:f>
              </m:oMath>
            </m:oMathPara>
          </w:p>
        </w:tc>
        <w:tc>
          <w:tcPr>
            <w:tcW w:w="568" w:type="dxa"/>
            <w:tcBorders>
              <w:top w:val="nil"/>
              <w:left w:val="nil"/>
              <w:bottom w:val="nil"/>
              <w:right w:val="nil"/>
            </w:tcBorders>
            <w:vAlign w:val="center"/>
          </w:tcPr>
          <w:p w14:paraId="040854B0"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B2" w14:textId="77777777" w:rsidR="002A1696" w:rsidRDefault="00C30874">
      <w:pPr>
        <w:ind w:firstLine="420"/>
      </w:pPr>
      <w:r>
        <w:t>The resulting ratios were applied to the relevant LUTO2 revenue and production-cost inputs.</w:t>
      </w:r>
    </w:p>
    <w:p w14:paraId="040854B3" w14:textId="77777777" w:rsidR="002A1696" w:rsidRDefault="00C30874">
      <w:pPr>
        <w:pStyle w:val="3"/>
      </w:pPr>
      <w:r>
        <w:t>GHG emission adjustment ratios</w:t>
      </w:r>
    </w:p>
    <w:p w14:paraId="040854B4" w14:textId="66F9DB36" w:rsidR="002A1696" w:rsidRDefault="00C30874">
      <w:pPr>
        <w:ind w:firstLine="420"/>
      </w:pPr>
      <w:r>
        <w:t xml:space="preserve">Stage-specific GHG emission coefficients were sourced from </w:t>
      </w:r>
      <w:r>
        <w:fldChar w:fldCharType="begin"/>
      </w:r>
      <w:r w:rsidR="007C0C3E">
        <w:instrText xml:space="preserve"> ADDIN EN.CITE &lt;EndNote&gt;&lt;Cite AuthorYear="1"&gt;&lt;Author&gt;Wiedemann&lt;/Author&gt;&lt;Year&gt;2017&lt;/Year&gt;&lt;RecNum&gt;559&lt;/RecNum&gt;&lt;DisplayText&gt;Wiedemann, et al. &lt;style face="superscript"&gt;39&lt;/style&gt;&lt;/DisplayText&gt;&lt;record&gt;&lt;rec-number&gt;559&lt;/rec-number&gt;&lt;foreign-keys&gt;&lt;key app="EN" db-id="st0zxxax1wfadte9s5gpaptza9tfvrzsvaxs" timestamp="1773645329" guid="fa14ca0e-feb1-44f6-b2d4-0b503b6f953b"&gt;559&lt;/key&gt;&lt;/foreign-keys&gt;&lt;ref-type name="Journal Article"&gt;17&lt;/ref-type&gt;&lt;contributors&gt;&lt;authors&gt;&lt;author&gt;Wiedemann, Stephen&lt;/author&gt;&lt;author&gt;Davis, Rod&lt;/author&gt;&lt;author&gt;McGahan, Eugene&lt;/author&gt;&lt;author&gt;Murphy, Caoilinn&lt;/author&gt;&lt;author&gt;Redding, Matthew&lt;/author&gt;&lt;/authors&gt;&lt;/contributors&gt;&lt;titles&gt;&lt;title&gt;Resource use and greenhouse gas emissions from grain-finishing beef cattle in seven Australian feedlots: a life cycle assessment&lt;/title&gt;&lt;secondary-title&gt;Animal Production Science&lt;/secondary-title&gt;&lt;/titles&gt;&lt;periodical&gt;&lt;full-title&gt;Animal Production Science&lt;/full-title&gt;&lt;/periodical&gt;&lt;pages&gt;1149-1162&lt;/pages&gt;&lt;volume&gt;57&lt;/volume&gt;&lt;number&gt;6&lt;/number&gt;&lt;dates&gt;&lt;year&gt;2017&lt;/year&gt;&lt;/dates&gt;&lt;isbn&gt;1836-0939&lt;/isbn&gt;&lt;urls&gt;&lt;/urls&gt;&lt;/record&gt;&lt;/Cite&gt;&lt;/EndNote&gt;</w:instrText>
      </w:r>
      <w:r>
        <w:fldChar w:fldCharType="separate"/>
      </w:r>
      <w:r w:rsidR="007C0C3E">
        <w:rPr>
          <w:noProof/>
        </w:rPr>
        <w:t xml:space="preserve">Wiedemann, et al. </w:t>
      </w:r>
      <w:r w:rsidR="007C0C3E" w:rsidRPr="007C0C3E">
        <w:rPr>
          <w:noProof/>
          <w:vertAlign w:val="superscript"/>
        </w:rPr>
        <w:t>39</w:t>
      </w:r>
      <w:r>
        <w:fldChar w:fldCharType="end"/>
      </w:r>
      <w:r>
        <w:t>, expressed in kg CO</w:t>
      </w:r>
      <w:r>
        <w:rPr>
          <w:vertAlign w:val="subscript"/>
        </w:rPr>
        <w:t>2</w:t>
      </w:r>
      <w:r>
        <w:t>e kg</w:t>
      </w:r>
      <w:r>
        <w:rPr>
          <w:vertAlign w:val="superscript"/>
        </w:rPr>
        <w:t>−1</w:t>
      </w:r>
      <w:r>
        <w:t xml:space="preserve"> liveweight on a cradle-to-gate system boundary. The grass-fed baseline was set at 12.0 kg CO</w:t>
      </w:r>
      <w:r>
        <w:rPr>
          <w:vertAlign w:val="subscript"/>
        </w:rPr>
        <w:t>2</w:t>
      </w:r>
      <w:r>
        <w:t>e kg</w:t>
      </w:r>
      <w:r>
        <w:rPr>
          <w:vertAlign w:val="superscript"/>
        </w:rPr>
        <w:t>−1</w:t>
      </w:r>
      <w:r>
        <w:t xml:space="preserve"> liveweight, while short-fed, mid-fed, and long-fed cattle were assigned coefficients of 9.9, 9.4, and 10.6 kg CO</w:t>
      </w:r>
      <w:r>
        <w:rPr>
          <w:vertAlign w:val="subscript"/>
        </w:rPr>
        <w:t>2</w:t>
      </w:r>
      <w:r>
        <w:t>e kg</w:t>
      </w:r>
      <w:r>
        <w:rPr>
          <w:vertAlign w:val="superscript"/>
        </w:rPr>
        <w:t>−1</w:t>
      </w:r>
      <w:r>
        <w:t xml:space="preserve"> liveweight, respectively. The weighted-average GHG intensity was calculated as:</w:t>
      </w:r>
    </w:p>
    <w:tbl>
      <w:tblPr>
        <w:tblStyle w:val="aff3"/>
        <w:tblW w:w="8364" w:type="dxa"/>
        <w:tblLayout w:type="fixed"/>
        <w:tblLook w:val="04A0" w:firstRow="1" w:lastRow="0" w:firstColumn="1" w:lastColumn="0" w:noHBand="0" w:noVBand="1"/>
      </w:tblPr>
      <w:tblGrid>
        <w:gridCol w:w="7796"/>
        <w:gridCol w:w="568"/>
      </w:tblGrid>
      <w:tr w:rsidR="002A1696" w14:paraId="040854B7" w14:textId="77777777">
        <w:trPr>
          <w:cantSplit/>
          <w:trHeight w:val="300"/>
        </w:trPr>
        <w:tc>
          <w:tcPr>
            <w:tcW w:w="7796" w:type="dxa"/>
            <w:tcBorders>
              <w:top w:val="nil"/>
              <w:left w:val="nil"/>
              <w:bottom w:val="nil"/>
              <w:right w:val="nil"/>
            </w:tcBorders>
          </w:tcPr>
          <w:p w14:paraId="040854B5"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
                  <m:sSubPr>
                    <m:ctrlPr>
                      <w:rPr>
                        <w:rFonts w:ascii="Cambria Math" w:hAnsi="Cambria Math"/>
                      </w:rPr>
                    </m:ctrlPr>
                  </m:sSubPr>
                  <m:e>
                    <m:r>
                      <w:rPr>
                        <w:rFonts w:ascii="Cambria Math" w:hAnsi="Cambria Math"/>
                      </w:rPr>
                      <m:t>g̅</m:t>
                    </m:r>
                  </m:e>
                  <m:sub>
                    <m:r>
                      <w:rPr>
                        <w:rFonts w:ascii="Cambria Math" w:hAnsi="Cambria Math"/>
                      </w:rPr>
                      <m:t>t</m:t>
                    </m:r>
                  </m:sub>
                </m:sSub>
                <m:r>
                  <m:rPr>
                    <m:lit/>
                    <m:nor/>
                  </m:rPr>
                  <m:t xml:space="preserve"> = </m:t>
                </m:r>
                <m:f>
                  <m:fPr>
                    <m:ctrlPr>
                      <w:rPr>
                        <w:rFonts w:ascii="Cambria Math" w:hAnsi="Cambria Math"/>
                      </w:rPr>
                    </m:ctrlPr>
                  </m:fPr>
                  <m:num>
                    <m:r>
                      <w:rPr>
                        <w:rFonts w:ascii="Cambria Math" w:hAnsi="Cambria Math"/>
                      </w:rPr>
                      <m:t>Σ</m:t>
                    </m:r>
                    <m:r>
                      <m:rPr>
                        <m:lit/>
                        <m:nor/>
                      </m:rPr>
                      <m:t xml:space="preserve"> </m:t>
                    </m:r>
                    <m:sSubSup>
                      <m:sSubSupPr>
                        <m:ctrlPr>
                          <w:rPr>
                            <w:rFonts w:ascii="Cambria Math" w:hAnsi="Cambria Math"/>
                          </w:rPr>
                        </m:ctrlPr>
                      </m:sSubSupPr>
                      <m:e>
                        <m:r>
                          <w:rPr>
                            <w:rFonts w:ascii="Cambria Math" w:hAnsi="Cambria Math"/>
                          </w:rPr>
                          <m:t>Q</m:t>
                        </m:r>
                      </m:e>
                      <m:sub>
                        <m:r>
                          <w:rPr>
                            <w:rFonts w:ascii="Cambria Math" w:hAnsi="Cambria Math"/>
                          </w:rPr>
                          <m:t>i</m:t>
                        </m:r>
                        <m:r>
                          <w:rPr>
                            <w:rFonts w:ascii="Cambria Math" w:hAnsi="Cambria Math"/>
                          </w:rPr>
                          <m:t>,</m:t>
                        </m:r>
                        <m:r>
                          <w:rPr>
                            <w:rFonts w:ascii="Cambria Math" w:hAnsi="Cambria Math"/>
                          </w:rPr>
                          <m:t>t</m:t>
                        </m:r>
                      </m:sub>
                      <m:sup>
                        <m:r>
                          <w:rPr>
                            <w:rFonts w:ascii="Cambria Math" w:hAnsi="Cambria Math"/>
                          </w:rPr>
                          <m:t>LW</m:t>
                        </m:r>
                      </m:sup>
                    </m:sSubSup>
                    <m:r>
                      <m:rPr>
                        <m:lit/>
                        <m:nor/>
                      </m:rPr>
                      <m:t xml:space="preserve"> </m:t>
                    </m:r>
                    <m:sSub>
                      <m:sSubPr>
                        <m:ctrlPr>
                          <w:rPr>
                            <w:rFonts w:ascii="Cambria Math" w:hAnsi="Cambria Math"/>
                          </w:rPr>
                        </m:ctrlPr>
                      </m:sSubPr>
                      <m:e>
                        <m:r>
                          <w:rPr>
                            <w:rFonts w:ascii="Cambria Math" w:hAnsi="Cambria Math"/>
                          </w:rPr>
                          <m:t>g</m:t>
                        </m:r>
                      </m:e>
                      <m:sub>
                        <m:r>
                          <w:rPr>
                            <w:rFonts w:ascii="Cambria Math" w:hAnsi="Cambria Math"/>
                          </w:rPr>
                          <m:t>i</m:t>
                        </m:r>
                      </m:sub>
                    </m:sSub>
                  </m:num>
                  <m:den>
                    <m:r>
                      <w:rPr>
                        <w:rFonts w:ascii="Cambria Math" w:hAnsi="Cambria Math"/>
                      </w:rPr>
                      <m:t>Σ</m:t>
                    </m:r>
                    <m:r>
                      <m:rPr>
                        <m:lit/>
                        <m:nor/>
                      </m:rPr>
                      <m:t xml:space="preserve"> </m:t>
                    </m:r>
                    <m:sSubSup>
                      <m:sSubSupPr>
                        <m:ctrlPr>
                          <w:rPr>
                            <w:rFonts w:ascii="Cambria Math" w:hAnsi="Cambria Math"/>
                          </w:rPr>
                        </m:ctrlPr>
                      </m:sSubSupPr>
                      <m:e>
                        <m:r>
                          <w:rPr>
                            <w:rFonts w:ascii="Cambria Math" w:hAnsi="Cambria Math"/>
                          </w:rPr>
                          <m:t>Q</m:t>
                        </m:r>
                      </m:e>
                      <m:sub>
                        <m:r>
                          <w:rPr>
                            <w:rFonts w:ascii="Cambria Math" w:hAnsi="Cambria Math"/>
                          </w:rPr>
                          <m:t>i</m:t>
                        </m:r>
                        <m:r>
                          <w:rPr>
                            <w:rFonts w:ascii="Cambria Math" w:hAnsi="Cambria Math"/>
                          </w:rPr>
                          <m:t>,</m:t>
                        </m:r>
                        <m:r>
                          <w:rPr>
                            <w:rFonts w:ascii="Cambria Math" w:hAnsi="Cambria Math"/>
                          </w:rPr>
                          <m:t>t</m:t>
                        </m:r>
                      </m:sub>
                      <m:sup>
                        <m:r>
                          <w:rPr>
                            <w:rFonts w:ascii="Cambria Math" w:hAnsi="Cambria Math"/>
                          </w:rPr>
                          <m:t>LW</m:t>
                        </m:r>
                      </m:sup>
                    </m:sSubSup>
                  </m:den>
                </m:f>
              </m:oMath>
            </m:oMathPara>
          </w:p>
        </w:tc>
        <w:tc>
          <w:tcPr>
            <w:tcW w:w="568" w:type="dxa"/>
            <w:tcBorders>
              <w:top w:val="nil"/>
              <w:left w:val="nil"/>
              <w:bottom w:val="nil"/>
              <w:right w:val="nil"/>
            </w:tcBorders>
            <w:vAlign w:val="center"/>
          </w:tcPr>
          <w:p w14:paraId="040854B6"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B8" w14:textId="77777777" w:rsidR="002A1696" w:rsidRDefault="00C30874">
      <w:pPr>
        <w:ind w:firstLineChars="0" w:firstLine="0"/>
      </w:pPr>
      <w:r>
        <w:t xml:space="preserve">where </w:t>
      </w:r>
      <w:r>
        <w:rPr>
          <w:i/>
          <w:iCs/>
        </w:rPr>
        <w:t>g</w:t>
      </w:r>
      <w:r>
        <w:rPr>
          <w:vertAlign w:val="subscript"/>
        </w:rPr>
        <w:t>i</w:t>
      </w:r>
      <w:r>
        <w:t xml:space="preserve"> is the system-specific GHG coefficient (kg CO</w:t>
      </w:r>
      <w:r>
        <w:rPr>
          <w:vertAlign w:val="subscript"/>
        </w:rPr>
        <w:t>2</w:t>
      </w:r>
      <w:r>
        <w:t>e kg</w:t>
      </w:r>
      <w:r>
        <w:rPr>
          <w:vertAlign w:val="superscript"/>
        </w:rPr>
        <w:t>−1</w:t>
      </w:r>
      <w:r>
        <w:t xml:space="preserve"> liveweight), and </w:t>
      </w:r>
      <w:r>
        <w:rPr>
          <w:i/>
          <w:iCs/>
        </w:rPr>
        <w:t>Q</w:t>
      </w:r>
      <w:r>
        <w:rPr>
          <w:vertAlign w:val="superscript"/>
        </w:rPr>
        <w:t>LW</w:t>
      </w:r>
      <w:r>
        <w:rPr>
          <w:vertAlign w:val="subscript"/>
        </w:rPr>
        <w:t>i,t</w:t>
      </w:r>
      <w:r>
        <w:t xml:space="preserve"> is liveweight production (tonnes). The GHG adjustment ratio was:</w:t>
      </w:r>
    </w:p>
    <w:tbl>
      <w:tblPr>
        <w:tblStyle w:val="aff3"/>
        <w:tblW w:w="8364" w:type="dxa"/>
        <w:tblLayout w:type="fixed"/>
        <w:tblLook w:val="04A0" w:firstRow="1" w:lastRow="0" w:firstColumn="1" w:lastColumn="0" w:noHBand="0" w:noVBand="1"/>
      </w:tblPr>
      <w:tblGrid>
        <w:gridCol w:w="7796"/>
        <w:gridCol w:w="568"/>
      </w:tblGrid>
      <w:tr w:rsidR="002A1696" w14:paraId="040854BB" w14:textId="77777777">
        <w:trPr>
          <w:cantSplit/>
          <w:trHeight w:val="300"/>
        </w:trPr>
        <w:tc>
          <w:tcPr>
            <w:tcW w:w="7796" w:type="dxa"/>
            <w:tcBorders>
              <w:top w:val="nil"/>
              <w:left w:val="nil"/>
              <w:bottom w:val="nil"/>
              <w:right w:val="nil"/>
            </w:tcBorders>
          </w:tcPr>
          <w:p w14:paraId="040854B9"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Sup>
                  <m:sSubSupPr>
                    <m:ctrlPr>
                      <w:rPr>
                        <w:rFonts w:ascii="Cambria Math" w:hAnsi="Cambria Math"/>
                      </w:rPr>
                    </m:ctrlPr>
                  </m:sSubSupPr>
                  <m:e>
                    <m:r>
                      <w:rPr>
                        <w:rFonts w:ascii="Cambria Math" w:hAnsi="Cambria Math"/>
                      </w:rPr>
                      <m:t>R</m:t>
                    </m:r>
                  </m:e>
                  <m:sub>
                    <m:r>
                      <w:rPr>
                        <w:rFonts w:ascii="Cambria Math" w:hAnsi="Cambria Math"/>
                      </w:rPr>
                      <m:t>t</m:t>
                    </m:r>
                  </m:sub>
                  <m:sup>
                    <m:r>
                      <w:rPr>
                        <w:rFonts w:ascii="Cambria Math" w:hAnsi="Cambria Math"/>
                      </w:rPr>
                      <m:t>GHG</m:t>
                    </m:r>
                  </m:sup>
                </m:sSubSup>
                <m:r>
                  <m:rPr>
                    <m:lit/>
                    <m:nor/>
                  </m:rPr>
                  <m:t xml:space="preserve"> = </m:t>
                </m:r>
                <m:f>
                  <m:fPr>
                    <m:ctrlPr>
                      <w:rPr>
                        <w:rFonts w:ascii="Cambria Math" w:hAnsi="Cambria Math"/>
                      </w:rPr>
                    </m:ctrlPr>
                  </m:fPr>
                  <m:num>
                    <m:sSub>
                      <m:sSubPr>
                        <m:ctrlPr>
                          <w:rPr>
                            <w:rFonts w:ascii="Cambria Math" w:hAnsi="Cambria Math"/>
                          </w:rPr>
                        </m:ctrlPr>
                      </m:sSubPr>
                      <m:e>
                        <m:r>
                          <w:rPr>
                            <w:rFonts w:ascii="Cambria Math" w:hAnsi="Cambria Math"/>
                          </w:rPr>
                          <m:t>g̅</m:t>
                        </m:r>
                      </m:e>
                      <m:sub>
                        <m:r>
                          <w:rPr>
                            <w:rFonts w:ascii="Cambria Math" w:hAnsi="Cambria Math"/>
                          </w:rPr>
                          <m:t>t</m:t>
                        </m:r>
                      </m:sub>
                    </m:sSub>
                  </m:num>
                  <m:den>
                    <m:sSub>
                      <m:sSubPr>
                        <m:ctrlPr>
                          <w:rPr>
                            <w:rFonts w:ascii="Cambria Math" w:hAnsi="Cambria Math"/>
                          </w:rPr>
                        </m:ctrlPr>
                      </m:sSubPr>
                      <m:e>
                        <m:r>
                          <w:rPr>
                            <w:rFonts w:ascii="Cambria Math" w:hAnsi="Cambria Math"/>
                          </w:rPr>
                          <m:t>g</m:t>
                        </m:r>
                      </m:e>
                      <m:sub>
                        <m:r>
                          <w:rPr>
                            <w:rFonts w:ascii="Cambria Math" w:hAnsi="Cambria Math"/>
                          </w:rPr>
                          <m:t>grass</m:t>
                        </m:r>
                      </m:sub>
                    </m:sSub>
                  </m:den>
                </m:f>
              </m:oMath>
            </m:oMathPara>
          </w:p>
        </w:tc>
        <w:tc>
          <w:tcPr>
            <w:tcW w:w="568" w:type="dxa"/>
            <w:tcBorders>
              <w:top w:val="nil"/>
              <w:left w:val="nil"/>
              <w:bottom w:val="nil"/>
              <w:right w:val="nil"/>
            </w:tcBorders>
            <w:vAlign w:val="center"/>
          </w:tcPr>
          <w:p w14:paraId="040854BA"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BC" w14:textId="77777777" w:rsidR="002A1696" w:rsidRDefault="00C30874">
      <w:pPr>
        <w:pStyle w:val="3"/>
      </w:pPr>
      <w:r>
        <w:t>Water use adjustment ratios</w:t>
      </w:r>
    </w:p>
    <w:p w14:paraId="040854BD" w14:textId="6FA08029" w:rsidR="002A1696" w:rsidRDefault="00C30874">
      <w:pPr>
        <w:ind w:firstLine="420"/>
      </w:pPr>
      <w:r>
        <w:t xml:space="preserve">System-specific water-use coefficients were also sourced from </w:t>
      </w:r>
      <w:r>
        <w:fldChar w:fldCharType="begin"/>
      </w:r>
      <w:r w:rsidR="007C0C3E">
        <w:instrText xml:space="preserve"> ADDIN EN.CITE &lt;EndNote&gt;&lt;Cite AuthorYear="1"&gt;&lt;Author&gt;Wiedemann&lt;/Author&gt;&lt;Year&gt;2017&lt;/Year&gt;&lt;RecNum&gt;559&lt;/RecNum&gt;&lt;DisplayText&gt;Wiedemann, et al. &lt;style face="superscript"&gt;39&lt;/style&gt;&lt;/DisplayText&gt;&lt;record&gt;&lt;rec-number&gt;559&lt;/rec-number&gt;&lt;foreign-keys&gt;&lt;key app="EN" db-id="st0zxxax1wfadte9s5gpaptza9tfvrzsvaxs" timestamp="1773645329" guid="fa14ca0e-feb1-44f6-b2d4-0b503b6f953b"&gt;559&lt;/key&gt;&lt;/foreign-keys&gt;&lt;ref-type name="Journal Article"&gt;17&lt;/ref-type&gt;&lt;contributors&gt;&lt;authors&gt;&lt;author&gt;Wiedemann, Stephen&lt;/author&gt;&lt;author&gt;Davis, Rod&lt;/author&gt;&lt;author&gt;McGahan, Eugene&lt;/author&gt;&lt;author&gt;Murphy, Caoilinn&lt;/author&gt;&lt;author&gt;Redding, Matthew&lt;/author&gt;&lt;/authors&gt;&lt;/contributors&gt;&lt;titles&gt;&lt;title&gt;Resource use and greenhouse gas emissions from grain-finishing beef cattle in seven Australian feedlots: a life cycle assessment&lt;/title&gt;&lt;secondary-title&gt;Animal Production Science&lt;/secondary-title&gt;&lt;/titles&gt;&lt;periodical&gt;&lt;full-title&gt;Animal Production Science&lt;/full-title&gt;&lt;/periodical&gt;&lt;pages&gt;1149-1162&lt;/pages&gt;&lt;volume&gt;57&lt;/volume&gt;&lt;number&gt;6&lt;/number&gt;&lt;dates&gt;&lt;year&gt;2017&lt;/year&gt;&lt;/dates&gt;&lt;isbn&gt;1836-0939&lt;/isbn&gt;&lt;urls&gt;&lt;/urls&gt;&lt;/record&gt;&lt;/Cite&gt;&lt;/EndNote&gt;</w:instrText>
      </w:r>
      <w:r>
        <w:fldChar w:fldCharType="separate"/>
      </w:r>
      <w:r w:rsidR="007C0C3E">
        <w:rPr>
          <w:noProof/>
        </w:rPr>
        <w:t xml:space="preserve">Wiedemann, et al. </w:t>
      </w:r>
      <w:r w:rsidR="007C0C3E" w:rsidRPr="007C0C3E">
        <w:rPr>
          <w:noProof/>
          <w:vertAlign w:val="superscript"/>
        </w:rPr>
        <w:t>39</w:t>
      </w:r>
      <w:r>
        <w:fldChar w:fldCharType="end"/>
      </w:r>
      <w:r>
        <w:t>,  expressed in ML tonne</w:t>
      </w:r>
      <w:r>
        <w:rPr>
          <w:vertAlign w:val="superscript"/>
        </w:rPr>
        <w:t>−1</w:t>
      </w:r>
      <w:r>
        <w:t xml:space="preserve"> liveweight on a full cradle-to-gate boundary (drinking water, feed irrigation, and supply losses). The grass-fed baseline was set at 0.200 ML tonne</w:t>
      </w:r>
      <w:r>
        <w:rPr>
          <w:vertAlign w:val="superscript"/>
        </w:rPr>
        <w:t>−1</w:t>
      </w:r>
      <w:r>
        <w:t>, while short-fed, mid-fed, and long-fed cattle were assigned coefficients of 0.296, 0.308, and 0.206 ML tonne</w:t>
      </w:r>
      <w:r>
        <w:rPr>
          <w:vertAlign w:val="superscript"/>
        </w:rPr>
        <w:t>−1</w:t>
      </w:r>
      <w:r>
        <w:t>, respectively. The weighted-average water intensity was:</w:t>
      </w:r>
    </w:p>
    <w:tbl>
      <w:tblPr>
        <w:tblStyle w:val="aff3"/>
        <w:tblW w:w="8364" w:type="dxa"/>
        <w:tblLayout w:type="fixed"/>
        <w:tblLook w:val="04A0" w:firstRow="1" w:lastRow="0" w:firstColumn="1" w:lastColumn="0" w:noHBand="0" w:noVBand="1"/>
      </w:tblPr>
      <w:tblGrid>
        <w:gridCol w:w="7796"/>
        <w:gridCol w:w="568"/>
      </w:tblGrid>
      <w:tr w:rsidR="002A1696" w14:paraId="040854C0" w14:textId="77777777">
        <w:trPr>
          <w:cantSplit/>
          <w:trHeight w:val="300"/>
        </w:trPr>
        <w:tc>
          <w:tcPr>
            <w:tcW w:w="7796" w:type="dxa"/>
            <w:tcBorders>
              <w:top w:val="nil"/>
              <w:left w:val="nil"/>
              <w:bottom w:val="nil"/>
              <w:right w:val="nil"/>
            </w:tcBorders>
          </w:tcPr>
          <w:p w14:paraId="040854BE"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
                  <m:sSubPr>
                    <m:ctrlPr>
                      <w:rPr>
                        <w:rFonts w:ascii="Cambria Math" w:hAnsi="Cambria Math"/>
                      </w:rPr>
                    </m:ctrlPr>
                  </m:sSubPr>
                  <m:e>
                    <m:r>
                      <w:rPr>
                        <w:rFonts w:ascii="Cambria Math" w:hAnsi="Cambria Math"/>
                      </w:rPr>
                      <m:t>w̅</m:t>
                    </m:r>
                  </m:e>
                  <m:sub>
                    <m:r>
                      <w:rPr>
                        <w:rFonts w:ascii="Cambria Math" w:hAnsi="Cambria Math"/>
                      </w:rPr>
                      <m:t>t</m:t>
                    </m:r>
                  </m:sub>
                </m:sSub>
                <m:r>
                  <m:rPr>
                    <m:lit/>
                    <m:nor/>
                  </m:rPr>
                  <m:t xml:space="preserve"> = </m:t>
                </m:r>
                <m:f>
                  <m:fPr>
                    <m:ctrlPr>
                      <w:rPr>
                        <w:rFonts w:ascii="Cambria Math" w:hAnsi="Cambria Math"/>
                      </w:rPr>
                    </m:ctrlPr>
                  </m:fPr>
                  <m:num>
                    <m:r>
                      <w:rPr>
                        <w:rFonts w:ascii="Cambria Math" w:hAnsi="Cambria Math"/>
                      </w:rPr>
                      <m:t>Σ</m:t>
                    </m:r>
                    <m:r>
                      <m:rPr>
                        <m:lit/>
                        <m:nor/>
                      </m:rPr>
                      <m:t xml:space="preserve"> </m:t>
                    </m:r>
                    <m:sSubSup>
                      <m:sSubSupPr>
                        <m:ctrlPr>
                          <w:rPr>
                            <w:rFonts w:ascii="Cambria Math" w:hAnsi="Cambria Math"/>
                          </w:rPr>
                        </m:ctrlPr>
                      </m:sSubSupPr>
                      <m:e>
                        <m:r>
                          <w:rPr>
                            <w:rFonts w:ascii="Cambria Math" w:hAnsi="Cambria Math"/>
                          </w:rPr>
                          <m:t>Q</m:t>
                        </m:r>
                      </m:e>
                      <m:sub>
                        <m:r>
                          <w:rPr>
                            <w:rFonts w:ascii="Cambria Math" w:hAnsi="Cambria Math"/>
                          </w:rPr>
                          <m:t>i</m:t>
                        </m:r>
                        <m:r>
                          <w:rPr>
                            <w:rFonts w:ascii="Cambria Math" w:hAnsi="Cambria Math"/>
                          </w:rPr>
                          <m:t>,</m:t>
                        </m:r>
                        <m:r>
                          <w:rPr>
                            <w:rFonts w:ascii="Cambria Math" w:hAnsi="Cambria Math"/>
                          </w:rPr>
                          <m:t>t</m:t>
                        </m:r>
                      </m:sub>
                      <m:sup>
                        <m:r>
                          <w:rPr>
                            <w:rFonts w:ascii="Cambria Math" w:hAnsi="Cambria Math"/>
                          </w:rPr>
                          <m:t>LW</m:t>
                        </m:r>
                      </m:sup>
                    </m:sSubSup>
                    <m:r>
                      <m:rPr>
                        <m:lit/>
                        <m:nor/>
                      </m:rPr>
                      <m:t xml:space="preserve"> </m:t>
                    </m:r>
                    <m:sSub>
                      <m:sSubPr>
                        <m:ctrlPr>
                          <w:rPr>
                            <w:rFonts w:ascii="Cambria Math" w:hAnsi="Cambria Math"/>
                          </w:rPr>
                        </m:ctrlPr>
                      </m:sSubPr>
                      <m:e>
                        <m:r>
                          <w:rPr>
                            <w:rFonts w:ascii="Cambria Math" w:hAnsi="Cambria Math"/>
                          </w:rPr>
                          <m:t>w</m:t>
                        </m:r>
                      </m:e>
                      <m:sub>
                        <m:r>
                          <w:rPr>
                            <w:rFonts w:ascii="Cambria Math" w:hAnsi="Cambria Math"/>
                          </w:rPr>
                          <m:t>i</m:t>
                        </m:r>
                      </m:sub>
                    </m:sSub>
                  </m:num>
                  <m:den>
                    <m:r>
                      <w:rPr>
                        <w:rFonts w:ascii="Cambria Math" w:hAnsi="Cambria Math"/>
                      </w:rPr>
                      <m:t>Σ</m:t>
                    </m:r>
                    <m:r>
                      <m:rPr>
                        <m:lit/>
                        <m:nor/>
                      </m:rPr>
                      <m:t xml:space="preserve"> </m:t>
                    </m:r>
                    <m:sSubSup>
                      <m:sSubSupPr>
                        <m:ctrlPr>
                          <w:rPr>
                            <w:rFonts w:ascii="Cambria Math" w:hAnsi="Cambria Math"/>
                          </w:rPr>
                        </m:ctrlPr>
                      </m:sSubSupPr>
                      <m:e>
                        <m:r>
                          <w:rPr>
                            <w:rFonts w:ascii="Cambria Math" w:hAnsi="Cambria Math"/>
                          </w:rPr>
                          <m:t>Q</m:t>
                        </m:r>
                      </m:e>
                      <m:sub>
                        <m:r>
                          <w:rPr>
                            <w:rFonts w:ascii="Cambria Math" w:hAnsi="Cambria Math"/>
                          </w:rPr>
                          <m:t>i</m:t>
                        </m:r>
                        <m:r>
                          <w:rPr>
                            <w:rFonts w:ascii="Cambria Math" w:hAnsi="Cambria Math"/>
                          </w:rPr>
                          <m:t>,</m:t>
                        </m:r>
                        <m:r>
                          <w:rPr>
                            <w:rFonts w:ascii="Cambria Math" w:hAnsi="Cambria Math"/>
                          </w:rPr>
                          <m:t>t</m:t>
                        </m:r>
                      </m:sub>
                      <m:sup>
                        <m:r>
                          <w:rPr>
                            <w:rFonts w:ascii="Cambria Math" w:hAnsi="Cambria Math"/>
                          </w:rPr>
                          <m:t>LW</m:t>
                        </m:r>
                      </m:sup>
                    </m:sSubSup>
                  </m:den>
                </m:f>
              </m:oMath>
            </m:oMathPara>
          </w:p>
        </w:tc>
        <w:tc>
          <w:tcPr>
            <w:tcW w:w="568" w:type="dxa"/>
            <w:tcBorders>
              <w:top w:val="nil"/>
              <w:left w:val="nil"/>
              <w:bottom w:val="nil"/>
              <w:right w:val="nil"/>
            </w:tcBorders>
            <w:vAlign w:val="center"/>
          </w:tcPr>
          <w:p w14:paraId="040854BF"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C1" w14:textId="77777777" w:rsidR="002A1696" w:rsidRDefault="00C30874" w:rsidP="00FD1FAC">
      <w:pPr>
        <w:ind w:firstLine="420"/>
      </w:pPr>
      <w:r>
        <w:t>and the water adjustment ratio was:</w:t>
      </w:r>
    </w:p>
    <w:tbl>
      <w:tblPr>
        <w:tblStyle w:val="aff3"/>
        <w:tblW w:w="8364" w:type="dxa"/>
        <w:tblLayout w:type="fixed"/>
        <w:tblLook w:val="04A0" w:firstRow="1" w:lastRow="0" w:firstColumn="1" w:lastColumn="0" w:noHBand="0" w:noVBand="1"/>
      </w:tblPr>
      <w:tblGrid>
        <w:gridCol w:w="7796"/>
        <w:gridCol w:w="568"/>
      </w:tblGrid>
      <w:tr w:rsidR="002A1696" w14:paraId="040854C4" w14:textId="77777777">
        <w:trPr>
          <w:cantSplit/>
          <w:trHeight w:val="300"/>
        </w:trPr>
        <w:tc>
          <w:tcPr>
            <w:tcW w:w="7796" w:type="dxa"/>
            <w:tcBorders>
              <w:top w:val="nil"/>
              <w:left w:val="nil"/>
              <w:bottom w:val="nil"/>
              <w:right w:val="nil"/>
            </w:tcBorders>
          </w:tcPr>
          <w:p w14:paraId="040854C2"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Sup>
                  <m:sSubSupPr>
                    <m:ctrlPr>
                      <w:rPr>
                        <w:rFonts w:ascii="Cambria Math" w:hAnsi="Cambria Math"/>
                      </w:rPr>
                    </m:ctrlPr>
                  </m:sSubSupPr>
                  <m:e>
                    <m:r>
                      <w:rPr>
                        <w:rFonts w:ascii="Cambria Math" w:hAnsi="Cambria Math"/>
                      </w:rPr>
                      <m:t>R</m:t>
                    </m:r>
                  </m:e>
                  <m:sub>
                    <m:r>
                      <w:rPr>
                        <w:rFonts w:ascii="Cambria Math" w:hAnsi="Cambria Math"/>
                      </w:rPr>
                      <m:t>t</m:t>
                    </m:r>
                  </m:sub>
                  <m:sup>
                    <m:r>
                      <w:rPr>
                        <w:rFonts w:ascii="Cambria Math" w:hAnsi="Cambria Math"/>
                      </w:rPr>
                      <m:t>water</m:t>
                    </m:r>
                  </m:sup>
                </m:sSubSup>
                <m:r>
                  <m:rPr>
                    <m:lit/>
                    <m:nor/>
                  </m:rPr>
                  <m:t xml:space="preserve"> = </m:t>
                </m:r>
                <m:f>
                  <m:fPr>
                    <m:ctrlPr>
                      <w:rPr>
                        <w:rFonts w:ascii="Cambria Math" w:hAnsi="Cambria Math"/>
                      </w:rPr>
                    </m:ctrlPr>
                  </m:fPr>
                  <m:num>
                    <m:sSub>
                      <m:sSubPr>
                        <m:ctrlPr>
                          <w:rPr>
                            <w:rFonts w:ascii="Cambria Math" w:hAnsi="Cambria Math"/>
                          </w:rPr>
                        </m:ctrlPr>
                      </m:sSubPr>
                      <m:e>
                        <m:r>
                          <w:rPr>
                            <w:rFonts w:ascii="Cambria Math" w:hAnsi="Cambria Math"/>
                          </w:rPr>
                          <m:t>w̅</m:t>
                        </m:r>
                      </m:e>
                      <m:sub>
                        <m:r>
                          <w:rPr>
                            <w:rFonts w:ascii="Cambria Math" w:hAnsi="Cambria Math"/>
                          </w:rPr>
                          <m:t>t</m:t>
                        </m:r>
                      </m:sub>
                    </m:sSub>
                  </m:num>
                  <m:den>
                    <m:sSub>
                      <m:sSubPr>
                        <m:ctrlPr>
                          <w:rPr>
                            <w:rFonts w:ascii="Cambria Math" w:hAnsi="Cambria Math"/>
                          </w:rPr>
                        </m:ctrlPr>
                      </m:sSubPr>
                      <m:e>
                        <m:r>
                          <w:rPr>
                            <w:rFonts w:ascii="Cambria Math" w:hAnsi="Cambria Math"/>
                          </w:rPr>
                          <m:t>w</m:t>
                        </m:r>
                      </m:e>
                      <m:sub>
                        <m:r>
                          <w:rPr>
                            <w:rFonts w:ascii="Cambria Math" w:hAnsi="Cambria Math"/>
                          </w:rPr>
                          <m:t>grass</m:t>
                        </m:r>
                      </m:sub>
                    </m:sSub>
                  </m:den>
                </m:f>
              </m:oMath>
            </m:oMathPara>
          </w:p>
        </w:tc>
        <w:tc>
          <w:tcPr>
            <w:tcW w:w="568" w:type="dxa"/>
            <w:tcBorders>
              <w:top w:val="nil"/>
              <w:left w:val="nil"/>
              <w:bottom w:val="nil"/>
              <w:right w:val="nil"/>
            </w:tcBorders>
            <w:vAlign w:val="center"/>
          </w:tcPr>
          <w:p w14:paraId="040854C3"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C5" w14:textId="77777777" w:rsidR="002A1696" w:rsidRDefault="00C30874">
      <w:pPr>
        <w:ind w:firstLine="420"/>
      </w:pPr>
      <w:r>
        <w:t>These annual scenario-specific GHG and water ratios were applied to the corresponding LUTO2 input datasets. This approach allowed feedlot expansion and shifts in cattle production-system composition to modify per-head GHG emissions and water-use parameters through time, while retaining the spatial structure of the original LUTO2 livestock input data.</w:t>
      </w:r>
    </w:p>
    <w:p w14:paraId="040854C6" w14:textId="77777777" w:rsidR="002A1696" w:rsidRDefault="00C30874">
      <w:pPr>
        <w:pStyle w:val="2"/>
      </w:pPr>
      <w:r>
        <w:t>Food demand projections</w:t>
      </w:r>
    </w:p>
    <w:p w14:paraId="040854C7" w14:textId="77777777" w:rsidR="002A1696" w:rsidRDefault="00C30874">
      <w:pPr>
        <w:ind w:firstLine="420"/>
      </w:pPr>
      <w:r>
        <w:t>Future food demand was projected using the Australian FoodDemand modelling framework, which integrates domestic food consumption, trade, livestock feed requirements, food loss and waste assumptions, and concordances between FoodDemand commodity groups and LUTO/SPREAD commodity classifications. The model was used to generate annual commodity demand trajectories for each Ag2050 scenario from 2010 to 2050.</w:t>
      </w:r>
    </w:p>
    <w:p w14:paraId="040854C8" w14:textId="77777777" w:rsidR="002A1696" w:rsidRDefault="00C30874">
      <w:pPr>
        <w:pStyle w:val="3"/>
      </w:pPr>
      <w:r>
        <w:lastRenderedPageBreak/>
        <w:t>Domestic food demand</w:t>
      </w:r>
    </w:p>
    <w:p w14:paraId="040854C9" w14:textId="1FFF019F" w:rsidR="002A1696" w:rsidRDefault="00C30874">
      <w:pPr>
        <w:ind w:firstLine="420"/>
      </w:pPr>
      <w:r>
        <w:t xml:space="preserve">Domestic food demand projections were based on historical FAOSTAT food balance data </w:t>
      </w:r>
      <w:r>
        <w:fldChar w:fldCharType="begin"/>
      </w:r>
      <w:r w:rsidR="00704008">
        <w:instrText xml:space="preserve"> ADDIN EN.CITE &lt;EndNote&gt;&lt;Cite&gt;&lt;Author&gt;FAOSTAT&lt;/Author&gt;&lt;Year&gt;2024&lt;/Year&gt;&lt;RecNum&gt;560&lt;/RecNum&gt;&lt;DisplayText&gt;&lt;style face="superscript"&gt;44&lt;/style&gt;&lt;/DisplayText&gt;&lt;record&gt;&lt;rec-number&gt;560&lt;/rec-number&gt;&lt;foreign-keys&gt;&lt;key app="EN" db-id="st0zxxax1wfadte9s5gpaptza9tfvrzsvaxs" timestamp="1773645717" guid="0bb716c8-601c-4b8e-a9f9-a9dbe176d56f"&gt;560&lt;/key&gt;&lt;/foreign-keys&gt;&lt;ref-type name="Journal Article"&gt;17&lt;/ref-type&gt;&lt;contributors&gt;&lt;authors&gt;&lt;author&gt;FAOSTAT&lt;/author&gt;&lt;/authors&gt;&lt;/contributors&gt;&lt;titles&gt;&lt;title&gt;FAOSTAT: Food Balances (Food Balance Sheets)&lt;/title&gt;&lt;/titles&gt;&lt;dates&gt;&lt;year&gt;2024&lt;/year&gt;&lt;/dates&gt;&lt;pub-location&gt;Rome, Italy&lt;/pub-location&gt;&lt;publisher&gt;FAO&lt;/publisher&gt;&lt;urls&gt;&lt;related-urls&gt;&lt;url&gt;https://www.fao.org/faostat/en/#data/FBS&lt;/url&gt;&lt;/related-urls&gt;&lt;/urls&gt;&lt;/record&gt;&lt;/Cite&gt;&lt;/EndNote&gt;</w:instrText>
      </w:r>
      <w:r>
        <w:fldChar w:fldCharType="separate"/>
      </w:r>
      <w:r w:rsidR="007C0C3E" w:rsidRPr="007C0C3E">
        <w:rPr>
          <w:noProof/>
          <w:vertAlign w:val="superscript"/>
        </w:rPr>
        <w:t>44</w:t>
      </w:r>
      <w:r>
        <w:fldChar w:fldCharType="end"/>
      </w:r>
      <w:r>
        <w:t>. Annual Australian per-capita food supply was first estimated by commodity group in units of kg person</w:t>
      </w:r>
      <w:r>
        <w:rPr>
          <w:vertAlign w:val="superscript"/>
        </w:rPr>
        <w:t>−1</w:t>
      </w:r>
      <w:r>
        <w:t xml:space="preserve"> yr</w:t>
      </w:r>
      <w:r>
        <w:rPr>
          <w:vertAlign w:val="superscript"/>
        </w:rPr>
        <w:t>−1</w:t>
      </w:r>
      <w:r>
        <w:t xml:space="preserve"> and kcal capita</w:t>
      </w:r>
      <w:r>
        <w:rPr>
          <w:vertAlign w:val="superscript"/>
        </w:rPr>
        <w:t>−1</w:t>
      </w:r>
      <w:r>
        <w:t xml:space="preserve"> day</w:t>
      </w:r>
      <w:r>
        <w:rPr>
          <w:vertAlign w:val="superscript"/>
        </w:rPr>
        <w:t>−1</w:t>
      </w:r>
      <w:r>
        <w:t>. Historical food supply data were aggregated into FoodDemand commodity groups using concordance tables that linked FAOSTAT commodities to LUTO categories.</w:t>
      </w:r>
    </w:p>
    <w:p w14:paraId="040854CA" w14:textId="77777777" w:rsidR="002A1696" w:rsidRDefault="00C30874">
      <w:pPr>
        <w:ind w:firstLine="420"/>
      </w:pPr>
      <w:r>
        <w:t>Future dietary composition was projected using a compositional time-series framework. Total kcal supply per capita was projected with exponential smoothing models, while the relative composition of food demand among commodity groups was modelled using log-ratio-transformed commodity shares. Projected kcal supply and projected commodity shares were then combined and converted back to physical food quantities using commodity-specific kcal-to-mass conversion factors.</w:t>
      </w:r>
    </w:p>
    <w:p w14:paraId="040854CB" w14:textId="3638D62A" w:rsidR="002A1696" w:rsidRDefault="00C30874">
      <w:pPr>
        <w:ind w:firstLine="420"/>
      </w:pPr>
      <w:r>
        <w:t>Scenario-specific food-demand trajectories were generated by mapping the projected food-demand pathways onto the Ag2050 scenario narratives. Commodity groups were assigned low, medium, high, or very high demand trajectories according to the assumptions described in Table 2.</w:t>
      </w:r>
    </w:p>
    <w:p w14:paraId="040854CC" w14:textId="77777777" w:rsidR="002A1696" w:rsidRDefault="00C30874">
      <w:pPr>
        <w:ind w:firstLine="420"/>
      </w:pPr>
      <w:r>
        <w:t>All scenarios used Shared Socioeconomic Pathway 2 (SSP2) population projections for Australia. Annual domestic demand was calculated as:</w:t>
      </w:r>
    </w:p>
    <w:tbl>
      <w:tblPr>
        <w:tblStyle w:val="aff3"/>
        <w:tblW w:w="8364" w:type="dxa"/>
        <w:tblLayout w:type="fixed"/>
        <w:tblLook w:val="04A0" w:firstRow="1" w:lastRow="0" w:firstColumn="1" w:lastColumn="0" w:noHBand="0" w:noVBand="1"/>
      </w:tblPr>
      <w:tblGrid>
        <w:gridCol w:w="7796"/>
        <w:gridCol w:w="568"/>
      </w:tblGrid>
      <w:tr w:rsidR="002A1696" w14:paraId="040854CF" w14:textId="77777777">
        <w:trPr>
          <w:cantSplit/>
          <w:trHeight w:val="300"/>
        </w:trPr>
        <w:tc>
          <w:tcPr>
            <w:tcW w:w="7796" w:type="dxa"/>
            <w:tcBorders>
              <w:top w:val="nil"/>
              <w:left w:val="nil"/>
              <w:bottom w:val="nil"/>
              <w:right w:val="nil"/>
            </w:tcBorders>
          </w:tcPr>
          <w:p w14:paraId="040854CD"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Sup>
                  <m:sSubSupPr>
                    <m:ctrlPr>
                      <w:rPr>
                        <w:rFonts w:ascii="Cambria Math" w:hAnsi="Cambria Math"/>
                      </w:rPr>
                    </m:ctrlPr>
                  </m:sSubSupPr>
                  <m:e>
                    <m:r>
                      <w:rPr>
                        <w:rFonts w:ascii="Cambria Math" w:hAnsi="Cambria Math"/>
                      </w:rPr>
                      <m:t>D</m:t>
                    </m:r>
                  </m:e>
                  <m:sub>
                    <m:r>
                      <w:rPr>
                        <w:rFonts w:ascii="Cambria Math" w:hAnsi="Cambria Math"/>
                      </w:rPr>
                      <m:t>c</m:t>
                    </m:r>
                    <m:r>
                      <w:rPr>
                        <w:rFonts w:ascii="Cambria Math" w:hAnsi="Cambria Math"/>
                      </w:rPr>
                      <m:t>,</m:t>
                    </m:r>
                    <m:r>
                      <w:rPr>
                        <w:rFonts w:ascii="Cambria Math" w:hAnsi="Cambria Math"/>
                      </w:rPr>
                      <m:t>t</m:t>
                    </m:r>
                  </m:sub>
                  <m:sup>
                    <m:r>
                      <w:rPr>
                        <w:rFonts w:ascii="Cambria Math" w:hAnsi="Cambria Math"/>
                      </w:rPr>
                      <m:t>dom</m:t>
                    </m:r>
                  </m:sup>
                </m:sSubSup>
                <m:r>
                  <m:rPr>
                    <m:lit/>
                    <m:nor/>
                  </m:rPr>
                  <m:t xml:space="preserve"> = </m:t>
                </m:r>
                <m:sSubSup>
                  <m:sSubSupPr>
                    <m:ctrlPr>
                      <w:rPr>
                        <w:rFonts w:ascii="Cambria Math" w:hAnsi="Cambria Math"/>
                      </w:rPr>
                    </m:ctrlPr>
                  </m:sSubSupPr>
                  <m:e>
                    <m:r>
                      <w:rPr>
                        <w:rFonts w:ascii="Cambria Math" w:hAnsi="Cambria Math"/>
                      </w:rPr>
                      <m:t>d</m:t>
                    </m:r>
                  </m:e>
                  <m:sub>
                    <m:r>
                      <w:rPr>
                        <w:rFonts w:ascii="Cambria Math" w:hAnsi="Cambria Math"/>
                      </w:rPr>
                      <m:t>c</m:t>
                    </m:r>
                    <m:r>
                      <w:rPr>
                        <w:rFonts w:ascii="Cambria Math" w:hAnsi="Cambria Math"/>
                      </w:rPr>
                      <m:t>,</m:t>
                    </m:r>
                    <m:r>
                      <w:rPr>
                        <w:rFonts w:ascii="Cambria Math" w:hAnsi="Cambria Math"/>
                      </w:rPr>
                      <m:t>t</m:t>
                    </m:r>
                  </m:sub>
                  <m:sup>
                    <m:r>
                      <w:rPr>
                        <w:rFonts w:ascii="Cambria Math" w:hAnsi="Cambria Math"/>
                      </w:rPr>
                      <m:t>pc</m:t>
                    </m:r>
                  </m:sup>
                </m:sSubSup>
                <m:r>
                  <m:rPr>
                    <m:lit/>
                    <m:nor/>
                  </m:rPr>
                  <m:t xml:space="preserve"> </m:t>
                </m:r>
                <m:r>
                  <w:rPr>
                    <w:rFonts w:ascii="Cambria Math" w:hAnsi="Cambria Math"/>
                  </w:rPr>
                  <m:t>×</m:t>
                </m:r>
                <m:r>
                  <m:rPr>
                    <m:lit/>
                    <m:nor/>
                  </m:rPr>
                  <m:t xml:space="preserve"> </m:t>
                </m:r>
                <m:sSub>
                  <m:sSubPr>
                    <m:ctrlPr>
                      <w:rPr>
                        <w:rFonts w:ascii="Cambria Math" w:hAnsi="Cambria Math"/>
                      </w:rPr>
                    </m:ctrlPr>
                  </m:sSubPr>
                  <m:e>
                    <m:r>
                      <w:rPr>
                        <w:rFonts w:ascii="Cambria Math" w:hAnsi="Cambria Math"/>
                      </w:rPr>
                      <m:t>Pop</m:t>
                    </m:r>
                  </m:e>
                  <m:sub>
                    <m:r>
                      <w:rPr>
                        <w:rFonts w:ascii="Cambria Math" w:hAnsi="Cambria Math"/>
                      </w:rPr>
                      <m:t>t</m:t>
                    </m:r>
                  </m:sub>
                </m:sSub>
              </m:oMath>
            </m:oMathPara>
          </w:p>
        </w:tc>
        <w:tc>
          <w:tcPr>
            <w:tcW w:w="568" w:type="dxa"/>
            <w:tcBorders>
              <w:top w:val="nil"/>
              <w:left w:val="nil"/>
              <w:bottom w:val="nil"/>
              <w:right w:val="nil"/>
            </w:tcBorders>
            <w:vAlign w:val="center"/>
          </w:tcPr>
          <w:p w14:paraId="040854CE"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D0" w14:textId="77777777" w:rsidR="002A1696" w:rsidRDefault="00C30874" w:rsidP="00416FC0">
      <w:pPr>
        <w:ind w:firstLineChars="0" w:firstLine="0"/>
      </w:pPr>
      <w:r>
        <w:t xml:space="preserve">where </w:t>
      </w:r>
      <w:r>
        <w:rPr>
          <w:i/>
          <w:iCs/>
        </w:rPr>
        <w:t>D</w:t>
      </w:r>
      <w:r>
        <w:rPr>
          <w:vertAlign w:val="superscript"/>
        </w:rPr>
        <w:t>dom</w:t>
      </w:r>
      <w:r>
        <w:rPr>
          <w:vertAlign w:val="subscript"/>
        </w:rPr>
        <w:t>c,t</w:t>
      </w:r>
      <w:r>
        <w:t xml:space="preserve"> is domestic demand for commodity </w:t>
      </w:r>
      <w:r>
        <w:rPr>
          <w:i/>
          <w:iCs/>
        </w:rPr>
        <w:t>c</w:t>
      </w:r>
      <w:r>
        <w:t xml:space="preserve"> in year </w:t>
      </w:r>
      <w:r>
        <w:rPr>
          <w:i/>
          <w:iCs/>
        </w:rPr>
        <w:t>t</w:t>
      </w:r>
      <w:r>
        <w:t xml:space="preserve">, </w:t>
      </w:r>
      <w:r>
        <w:rPr>
          <w:i/>
          <w:iCs/>
        </w:rPr>
        <w:t>d</w:t>
      </w:r>
      <w:r>
        <w:rPr>
          <w:vertAlign w:val="superscript"/>
        </w:rPr>
        <w:t>pc</w:t>
      </w:r>
      <w:r>
        <w:rPr>
          <w:vertAlign w:val="subscript"/>
        </w:rPr>
        <w:t>c,t</w:t>
      </w:r>
      <w:r>
        <w:t xml:space="preserve"> is projected per-capita food demand, and </w:t>
      </w:r>
      <w:r>
        <w:rPr>
          <w:i/>
          <w:iCs/>
        </w:rPr>
        <w:t>Pop</w:t>
      </w:r>
      <w:r>
        <w:rPr>
          <w:i/>
          <w:iCs/>
          <w:vertAlign w:val="subscript"/>
        </w:rPr>
        <w:t>t</w:t>
      </w:r>
      <w:r>
        <w:rPr>
          <w:i/>
          <w:iCs/>
        </w:rPr>
        <w:t xml:space="preserve"> </w:t>
      </w:r>
      <w:r>
        <w:t>is population.</w:t>
      </w:r>
    </w:p>
    <w:p w14:paraId="040854D1" w14:textId="77777777" w:rsidR="002A1696" w:rsidRDefault="00C30874">
      <w:pPr>
        <w:pStyle w:val="3"/>
      </w:pPr>
      <w:r>
        <w:t>Export demand</w:t>
      </w:r>
    </w:p>
    <w:p w14:paraId="040854D2" w14:textId="23CAC060" w:rsidR="002A1696" w:rsidRDefault="00C30874">
      <w:pPr>
        <w:ind w:firstLine="420"/>
      </w:pPr>
      <w:r>
        <w:t xml:space="preserve">Export demand trajectories were derived in two stages. First, a spatial panel gravity model was estimated on bilateral FAOSTAT trade data (1990–2014) to establish a model-fitted 2010 baseline export volume for each commodity group. This baseline was used as a common reference point for all scenario export trajectories; the SSP2-based gravity-model projection was also retained as a reference trend pathway. The export model was estimated over the top 20 destination countries for each commodity group and used standard gravity covariates, namely destination-country GDP at purchasing-power parity (GDP-PPP), GDP-PPP squared, population, and urban population share, together with a spatial error term to account for spatial dependence among destination countries. Destination-country coordinates were used to construct a sphere-of-influence spatial weights matrix via Delaunay triangulation. The model was estimated as a spatial error model with country fixed effects using the generalised moments estimator of </w:t>
      </w:r>
      <w:r>
        <w:fldChar w:fldCharType="begin"/>
      </w:r>
      <w:r w:rsidR="007C0C3E">
        <w:instrText xml:space="preserve"> ADDIN EN.CITE &lt;EndNote&gt;&lt;Cite AuthorYear="1"&gt;&lt;Author&gt;Millo&lt;/Author&gt;&lt;Year&gt;2012&lt;/Year&gt;&lt;RecNum&gt;677&lt;/RecNum&gt;&lt;DisplayText&gt;Millo and Piras &lt;style face="superscript"&gt;45&lt;/style&gt;&lt;/DisplayText&gt;&lt;record&gt;&lt;rec-number&gt;677&lt;/rec-number&gt;&lt;foreign-keys&gt;&lt;key app="EN" db-id="st0zxxax1wfadte9s5gpaptza9tfvrzsvaxs" timestamp="1779788019"&gt;677&lt;/key&gt;&lt;/foreign-keys&gt;&lt;ref-type name="Journal Article"&gt;17&lt;/ref-type&gt;&lt;contributors&gt;&lt;authors&gt;&lt;author&gt;Millo, Giovanni&lt;/author&gt;&lt;author&gt;Piras, Gianfranco&lt;/author&gt;&lt;/authors&gt;&lt;/contributors&gt;&lt;titles&gt;&lt;title&gt;splm: Spatial Panel Data Models in R&lt;/title&gt;&lt;secondary-title&gt;Journal of Statistical Software&lt;/secondary-title&gt;&lt;/titles&gt;&lt;periodical&gt;&lt;full-title&gt;Journal of Statistical Software&lt;/full-title&gt;&lt;/periodical&gt;&lt;pages&gt;1 - 38&lt;/pages&gt;&lt;volume&gt;47&lt;/volume&gt;&lt;number&gt;1&lt;/number&gt;&lt;section&gt;Articles&lt;/section&gt;&lt;dates&gt;&lt;year&gt;2012&lt;/year&gt;&lt;pub-dates&gt;&lt;date&gt;04/17&lt;/date&gt;&lt;/pub-dates&gt;&lt;/dates&gt;&lt;urls&gt;&lt;related-urls&gt;&lt;url&gt;https://www.jstatsoft.org/index.php/jss/article/view/v047i01&lt;/url&gt;&lt;/related-urls&gt;&lt;/urls&gt;&lt;electronic-resource-num&gt;10.18637/jss.v047.i01&lt;/electronic-resource-num&gt;&lt;access-date&gt;2026/05/26&lt;/access-date&gt;&lt;/record&gt;&lt;/Cite&gt;&lt;/EndNote&gt;</w:instrText>
      </w:r>
      <w:r>
        <w:fldChar w:fldCharType="separate"/>
      </w:r>
      <w:r w:rsidR="007C0C3E">
        <w:rPr>
          <w:noProof/>
        </w:rPr>
        <w:t xml:space="preserve">Millo and Piras </w:t>
      </w:r>
      <w:r w:rsidR="007C0C3E" w:rsidRPr="007C0C3E">
        <w:rPr>
          <w:noProof/>
          <w:vertAlign w:val="superscript"/>
        </w:rPr>
        <w:t>45</w:t>
      </w:r>
      <w:r>
        <w:fldChar w:fldCharType="end"/>
      </w:r>
      <w:r>
        <w:t xml:space="preserve">; country fixed effects were recovered as best linear unbiased predictors following </w:t>
      </w:r>
      <w:r>
        <w:fldChar w:fldCharType="begin"/>
      </w:r>
      <w:r w:rsidR="007C0C3E">
        <w:instrText xml:space="preserve"> ADDIN EN.CITE &lt;EndNote&gt;&lt;Cite AuthorYear="1"&gt;&lt;Author&gt;Baltagi&lt;/Author&gt;&lt;Year&gt;2012&lt;/Year&gt;&lt;RecNum&gt;678&lt;/RecNum&gt;&lt;DisplayText&gt;Baltagi, et al. &lt;style face="superscript"&gt;46&lt;/style&gt;&lt;/DisplayText&gt;&lt;record&gt;&lt;rec-number&gt;678&lt;/rec-number&gt;&lt;foreign-keys&gt;&lt;key app="EN" db-id="st0zxxax1wfadte9s5gpaptza9tfvrzsvaxs" timestamp="1779788107"&gt;678&lt;/key&gt;&lt;/foreign-keys&gt;&lt;ref-type name="Journal Article"&gt;17&lt;/ref-type&gt;&lt;contributors&gt;&lt;authors&gt;&lt;author&gt;Baltagi, Badi H.&lt;/author&gt;&lt;author&gt;Bresson, Georges&lt;/author&gt;&lt;author&gt;Pirotte, Alain&lt;/author&gt;&lt;/authors&gt;&lt;/contributors&gt;&lt;titles&gt;&lt;title&gt;Forecasting with spatial panel data&lt;/title&gt;&lt;secondary-title&gt;Computational Statistics &amp;amp; Data Analysis&lt;/secondary-title&gt;&lt;/titles&gt;&lt;periodical&gt;&lt;full-title&gt;Computational Statistics &amp;amp; Data Analysis&lt;/full-title&gt;&lt;/periodical&gt;&lt;pages&gt;3381-3397&lt;/pages&gt;&lt;volume&gt;56&lt;/volume&gt;&lt;number&gt;11&lt;/number&gt;&lt;section&gt;3381&lt;/section&gt;&lt;dates&gt;&lt;year&gt;2012&lt;/year&gt;&lt;/dates&gt;&lt;isbn&gt;01679473&lt;/isbn&gt;&lt;urls&gt;&lt;/urls&gt;&lt;electronic-resource-num&gt;10.1016/j.csda.2010.08.006&lt;/electronic-resource-num&gt;&lt;/record&gt;&lt;/Cite&gt;&lt;/EndNote&gt;</w:instrText>
      </w:r>
      <w:r>
        <w:fldChar w:fldCharType="separate"/>
      </w:r>
      <w:r w:rsidR="007C0C3E">
        <w:rPr>
          <w:noProof/>
        </w:rPr>
        <w:t xml:space="preserve">Baltagi, et al. </w:t>
      </w:r>
      <w:r w:rsidR="007C0C3E" w:rsidRPr="007C0C3E">
        <w:rPr>
          <w:noProof/>
          <w:vertAlign w:val="superscript"/>
        </w:rPr>
        <w:t>46</w:t>
      </w:r>
      <w:r>
        <w:fldChar w:fldCharType="end"/>
      </w:r>
      <w:r>
        <w:t>. Out-of-sample export projections to 2050 were generated by propagating SSP2 GDP-PPP and population trajectories (IIASA/WiC) through the fitted model, while holding the spatial structure at 2014 values</w:t>
      </w:r>
      <w:r>
        <w:rPr>
          <w:rFonts w:hint="eastAsia"/>
        </w:rPr>
        <w:t xml:space="preserve"> </w:t>
      </w:r>
      <w:r>
        <w:fldChar w:fldCharType="begin">
          <w:fldData xml:space="preserve">PEVuZE5vdGU+PENpdGU+PEF1dGhvcj5SaWFoaTwvQXV0aG9yPjxZZWFyPjIwMTc8L1llYXI+PFJl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</w:fldData>
        </w:fldChar>
      </w:r>
      <w:r w:rsidR="007C0C3E">
        <w:instrText xml:space="preserve"> ADDIN EN.CITE </w:instrText>
      </w:r>
      <w:r w:rsidR="007C0C3E">
        <w:fldChar w:fldCharType="begin">
          <w:fldData xml:space="preserve">PEVuZE5vdGU+PENpdGU+PEF1dGhvcj5SaWFoaTwvQXV0aG9yPjxZZWFyPjIwMTc8L1llYXI+PFJl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</w:fldData>
        </w:fldChar>
      </w:r>
      <w:r w:rsidR="007C0C3E">
        <w:instrText xml:space="preserve"> ADDIN EN.CITE.DATA </w:instrText>
      </w:r>
      <w:r w:rsidR="007C0C3E">
        <w:fldChar w:fldCharType="end"/>
      </w:r>
      <w:r>
        <w:fldChar w:fldCharType="separate"/>
      </w:r>
      <w:r w:rsidR="007C0C3E" w:rsidRPr="007C0C3E">
        <w:rPr>
          <w:noProof/>
          <w:vertAlign w:val="superscript"/>
        </w:rPr>
        <w:t>47</w:t>
      </w:r>
      <w:r>
        <w:fldChar w:fldCharType="end"/>
      </w:r>
      <w:r>
        <w:t>.</w:t>
      </w:r>
    </w:p>
    <w:p w14:paraId="040854D3" w14:textId="77777777" w:rsidR="002A1696" w:rsidRDefault="00C30874">
      <w:pPr>
        <w:ind w:firstLine="420"/>
      </w:pPr>
      <w:r>
        <w:t xml:space="preserve">Second, Ag2050 scenario-specific export pathways were constructed by linearly interpolating from the model-fitted 2010 baseline to scenario-specific 2050 target levels, reflecting each scenario’s trade narrative. Scenario 1 </w:t>
      </w:r>
      <w:r>
        <w:rPr>
          <w:i/>
          <w:iCs/>
        </w:rPr>
        <w:t>Regional Ag Capitals</w:t>
      </w:r>
      <w:r>
        <w:t xml:space="preserve"> assumed export-oriented growth with a target of 2.00 × the 2010 export volume; Scenario 2 </w:t>
      </w:r>
      <w:r>
        <w:rPr>
          <w:i/>
          <w:iCs/>
        </w:rPr>
        <w:t>Landscape Stewardship</w:t>
      </w:r>
      <w:r>
        <w:t xml:space="preserve"> targeted 1.75 ×; Scenario 3 </w:t>
      </w:r>
      <w:r>
        <w:rPr>
          <w:i/>
          <w:iCs/>
        </w:rPr>
        <w:t>Climate Survival</w:t>
      </w:r>
      <w:r>
        <w:t xml:space="preserve"> targeted 1.50 ×; and Scenario 4 </w:t>
      </w:r>
      <w:r>
        <w:rPr>
          <w:i/>
          <w:iCs/>
        </w:rPr>
        <w:t>System Decline</w:t>
      </w:r>
      <w:r>
        <w:t xml:space="preserve"> maintained the 2010 baseline (1.00 ×). A trend pathway following the SSP2 gravity-model projection was also retained for reference.</w:t>
      </w:r>
    </w:p>
    <w:p w14:paraId="040854D4" w14:textId="77777777" w:rsidR="002A1696" w:rsidRDefault="00C30874">
      <w:pPr>
        <w:pStyle w:val="3"/>
      </w:pPr>
      <w:r>
        <w:lastRenderedPageBreak/>
        <w:t>Imports</w:t>
      </w:r>
    </w:p>
    <w:p w14:paraId="040854D5" w14:textId="77777777" w:rsidR="002A1696" w:rsidRDefault="00C30874">
      <w:pPr>
        <w:ind w:firstLine="420"/>
      </w:pPr>
      <w:r>
        <w:t>Imports were held constant at 2010 baseline levels under the static-import assumption used in this study.</w:t>
      </w:r>
    </w:p>
    <w:p w14:paraId="040854D6" w14:textId="77777777" w:rsidR="002A1696" w:rsidRDefault="00C30874">
      <w:pPr>
        <w:pStyle w:val="3"/>
      </w:pPr>
      <w:r>
        <w:t>Total demand</w:t>
      </w:r>
    </w:p>
    <w:p w14:paraId="040854D7" w14:textId="77777777" w:rsidR="002A1696" w:rsidRDefault="00C30874">
      <w:pPr>
        <w:ind w:firstLine="420"/>
      </w:pPr>
      <w:r>
        <w:t>Total commodity demand was therefore calculated as:</w:t>
      </w:r>
    </w:p>
    <w:tbl>
      <w:tblPr>
        <w:tblStyle w:val="aff3"/>
        <w:tblW w:w="8364" w:type="dxa"/>
        <w:tblLayout w:type="fixed"/>
        <w:tblLook w:val="04A0" w:firstRow="1" w:lastRow="0" w:firstColumn="1" w:lastColumn="0" w:noHBand="0" w:noVBand="1"/>
      </w:tblPr>
      <w:tblGrid>
        <w:gridCol w:w="7796"/>
        <w:gridCol w:w="568"/>
      </w:tblGrid>
      <w:tr w:rsidR="002A1696" w14:paraId="040854DA" w14:textId="77777777">
        <w:trPr>
          <w:cantSplit/>
          <w:trHeight w:val="300"/>
        </w:trPr>
        <w:tc>
          <w:tcPr>
            <w:tcW w:w="7796" w:type="dxa"/>
            <w:tcBorders>
              <w:top w:val="nil"/>
              <w:left w:val="nil"/>
              <w:bottom w:val="nil"/>
              <w:right w:val="nil"/>
            </w:tcBorders>
          </w:tcPr>
          <w:p w14:paraId="040854D8"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Sup>
                  <m:sSubSupPr>
                    <m:ctrlPr>
                      <w:rPr>
                        <w:rFonts w:ascii="Cambria Math" w:hAnsi="Cambria Math"/>
                      </w:rPr>
                    </m:ctrlPr>
                  </m:sSubSupPr>
                  <m:e>
                    <m:r>
                      <w:rPr>
                        <w:rFonts w:ascii="Cambria Math" w:hAnsi="Cambria Math"/>
                      </w:rPr>
                      <m:t>D</m:t>
                    </m:r>
                  </m:e>
                  <m:sub>
                    <m:r>
                      <w:rPr>
                        <w:rFonts w:ascii="Cambria Math" w:hAnsi="Cambria Math"/>
                      </w:rPr>
                      <m:t>c</m:t>
                    </m:r>
                    <m:r>
                      <w:rPr>
                        <w:rFonts w:ascii="Cambria Math" w:hAnsi="Cambria Math"/>
                      </w:rPr>
                      <m:t>,</m:t>
                    </m:r>
                    <m:r>
                      <w:rPr>
                        <w:rFonts w:ascii="Cambria Math" w:hAnsi="Cambria Math"/>
                      </w:rPr>
                      <m:t>t</m:t>
                    </m:r>
                  </m:sub>
                  <m:sup>
                    <m:r>
                      <w:rPr>
                        <w:rFonts w:ascii="Cambria Math" w:hAnsi="Cambria Math"/>
                      </w:rPr>
                      <m:t>tot</m:t>
                    </m:r>
                  </m:sup>
                </m:sSubSup>
                <m:r>
                  <m:rPr>
                    <m:lit/>
                    <m:nor/>
                  </m:rPr>
                  <m:t xml:space="preserve"> = </m:t>
                </m:r>
                <m:sSubSup>
                  <m:sSubSupPr>
                    <m:ctrlPr>
                      <w:rPr>
                        <w:rFonts w:ascii="Cambria Math" w:hAnsi="Cambria Math"/>
                      </w:rPr>
                    </m:ctrlPr>
                  </m:sSubSupPr>
                  <m:e>
                    <m:r>
                      <w:rPr>
                        <w:rFonts w:ascii="Cambria Math" w:hAnsi="Cambria Math"/>
                      </w:rPr>
                      <m:t>D</m:t>
                    </m:r>
                  </m:e>
                  <m:sub>
                    <m:r>
                      <w:rPr>
                        <w:rFonts w:ascii="Cambria Math" w:hAnsi="Cambria Math"/>
                      </w:rPr>
                      <m:t>c</m:t>
                    </m:r>
                    <m:r>
                      <w:rPr>
                        <w:rFonts w:ascii="Cambria Math" w:hAnsi="Cambria Math"/>
                      </w:rPr>
                      <m:t>,</m:t>
                    </m:r>
                    <m:r>
                      <w:rPr>
                        <w:rFonts w:ascii="Cambria Math" w:hAnsi="Cambria Math"/>
                      </w:rPr>
                      <m:t>t</m:t>
                    </m:r>
                  </m:sub>
                  <m:sup>
                    <m:r>
                      <w:rPr>
                        <w:rFonts w:ascii="Cambria Math" w:hAnsi="Cambria Math"/>
                      </w:rPr>
                      <m:t>dom</m:t>
                    </m:r>
                  </m:sup>
                </m:sSubSup>
                <m:r>
                  <m:rPr>
                    <m:lit/>
                    <m:nor/>
                  </m:rPr>
                  <m:t xml:space="preserve"> + </m:t>
                </m:r>
                <m:sSub>
                  <m:sSubPr>
                    <m:ctrlPr>
                      <w:rPr>
                        <w:rFonts w:ascii="Cambria Math" w:hAnsi="Cambria Math"/>
                      </w:rPr>
                    </m:ctrlPr>
                  </m:sSubPr>
                  <m:e>
                    <m:r>
                      <w:rPr>
                        <w:rFonts w:ascii="Cambria Math" w:hAnsi="Cambria Math"/>
                      </w:rPr>
                      <m:t>Exports</m:t>
                    </m:r>
                  </m:e>
                  <m:sub>
                    <m:r>
                      <w:rPr>
                        <w:rFonts w:ascii="Cambria Math" w:hAnsi="Cambria Math"/>
                      </w:rPr>
                      <m:t>c</m:t>
                    </m:r>
                    <m:r>
                      <w:rPr>
                        <w:rFonts w:ascii="Cambria Math" w:hAnsi="Cambria Math"/>
                      </w:rPr>
                      <m:t>,</m:t>
                    </m:r>
                    <m:r>
                      <w:rPr>
                        <w:rFonts w:ascii="Cambria Math" w:hAnsi="Cambria Math"/>
                      </w:rPr>
                      <m:t>t</m:t>
                    </m:r>
                  </m:sub>
                </m:sSub>
                <m:r>
                  <m:rPr>
                    <m:lit/>
                    <m:nor/>
                  </m:rPr>
                  <m:t xml:space="preserve"> - </m:t>
                </m:r>
                <m:sSub>
                  <m:sSubPr>
                    <m:ctrlPr>
                      <w:rPr>
                        <w:rFonts w:ascii="Cambria Math" w:hAnsi="Cambria Math"/>
                      </w:rPr>
                    </m:ctrlPr>
                  </m:sSubPr>
                  <m:e>
                    <m:r>
                      <w:rPr>
                        <w:rFonts w:ascii="Cambria Math" w:hAnsi="Cambria Math"/>
                      </w:rPr>
                      <m:t>Imports</m:t>
                    </m:r>
                  </m:e>
                  <m:sub>
                    <m:r>
                      <w:rPr>
                        <w:rFonts w:ascii="Cambria Math" w:hAnsi="Cambria Math"/>
                      </w:rPr>
                      <m:t>c</m:t>
                    </m:r>
                    <m:r>
                      <w:rPr>
                        <w:rFonts w:ascii="Cambria Math" w:hAnsi="Cambria Math"/>
                      </w:rPr>
                      <m:t>,</m:t>
                    </m:r>
                    <m:r>
                      <w:rPr>
                        <w:rFonts w:ascii="Cambria Math" w:hAnsi="Cambria Math"/>
                      </w:rPr>
                      <m:t>t</m:t>
                    </m:r>
                  </m:sub>
                </m:sSub>
              </m:oMath>
            </m:oMathPara>
          </w:p>
        </w:tc>
        <w:tc>
          <w:tcPr>
            <w:tcW w:w="568" w:type="dxa"/>
            <w:tcBorders>
              <w:top w:val="nil"/>
              <w:left w:val="nil"/>
              <w:bottom w:val="nil"/>
              <w:right w:val="nil"/>
            </w:tcBorders>
            <w:vAlign w:val="center"/>
          </w:tcPr>
          <w:p w14:paraId="040854D9"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DB" w14:textId="77777777" w:rsidR="002A1696" w:rsidRDefault="00C30874">
      <w:pPr>
        <w:ind w:firstLine="420"/>
      </w:pPr>
      <w:r>
        <w:t>Demand multipliers relative to 2010 were then calculated and applied to the LUTO-compatible commodity baseline:</w:t>
      </w:r>
    </w:p>
    <w:tbl>
      <w:tblPr>
        <w:tblStyle w:val="aff3"/>
        <w:tblW w:w="8364" w:type="dxa"/>
        <w:tblLayout w:type="fixed"/>
        <w:tblLook w:val="04A0" w:firstRow="1" w:lastRow="0" w:firstColumn="1" w:lastColumn="0" w:noHBand="0" w:noVBand="1"/>
      </w:tblPr>
      <w:tblGrid>
        <w:gridCol w:w="7796"/>
        <w:gridCol w:w="568"/>
      </w:tblGrid>
      <w:tr w:rsidR="002A1696" w14:paraId="040854DE" w14:textId="77777777">
        <w:trPr>
          <w:cantSplit/>
          <w:trHeight w:val="300"/>
        </w:trPr>
        <w:tc>
          <w:tcPr>
            <w:tcW w:w="7796" w:type="dxa"/>
            <w:tcBorders>
              <w:top w:val="nil"/>
              <w:left w:val="nil"/>
              <w:bottom w:val="nil"/>
              <w:right w:val="nil"/>
            </w:tcBorders>
          </w:tcPr>
          <w:p w14:paraId="040854DC"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
                  <m:sSubPr>
                    <m:ctrlPr>
                      <w:rPr>
                        <w:rFonts w:ascii="Cambria Math" w:hAnsi="Cambria Math"/>
                      </w:rPr>
                    </m:ctrlPr>
                  </m:sSubPr>
                  <m:e>
                    <m:r>
                      <w:rPr>
                        <w:rFonts w:ascii="Cambria Math" w:hAnsi="Cambria Math"/>
                      </w:rPr>
                      <m:t>M</m:t>
                    </m:r>
                  </m:e>
                  <m:sub>
                    <m:r>
                      <w:rPr>
                        <w:rFonts w:ascii="Cambria Math" w:hAnsi="Cambria Math"/>
                      </w:rPr>
                      <m:t>c</m:t>
                    </m:r>
                    <m:r>
                      <w:rPr>
                        <w:rFonts w:ascii="Cambria Math" w:hAnsi="Cambria Math"/>
                      </w:rPr>
                      <m:t>,</m:t>
                    </m:r>
                    <m:r>
                      <w:rPr>
                        <w:rFonts w:ascii="Cambria Math" w:hAnsi="Cambria Math"/>
                      </w:rPr>
                      <m:t>t</m:t>
                    </m:r>
                  </m:sub>
                </m:sSub>
                <m:r>
                  <m:rPr>
                    <m:lit/>
                    <m:nor/>
                  </m:rPr>
                  <m:t xml:space="preserve"> = </m:t>
                </m:r>
                <m:f>
                  <m:fPr>
                    <m:ctrlPr>
                      <w:rPr>
                        <w:rFonts w:ascii="Cambria Math" w:hAnsi="Cambria Math"/>
                      </w:rPr>
                    </m:ctrlPr>
                  </m:fPr>
                  <m:num>
                    <m:sSubSup>
                      <m:sSubSupPr>
                        <m:ctrlPr>
                          <w:rPr>
                            <w:rFonts w:ascii="Cambria Math" w:hAnsi="Cambria Math"/>
                          </w:rPr>
                        </m:ctrlPr>
                      </m:sSubSupPr>
                      <m:e>
                        <m:r>
                          <w:rPr>
                            <w:rFonts w:ascii="Cambria Math" w:hAnsi="Cambria Math"/>
                          </w:rPr>
                          <m:t>D</m:t>
                        </m:r>
                      </m:e>
                      <m:sub>
                        <m:r>
                          <w:rPr>
                            <w:rFonts w:ascii="Cambria Math" w:hAnsi="Cambria Math"/>
                          </w:rPr>
                          <m:t>c</m:t>
                        </m:r>
                        <m:r>
                          <w:rPr>
                            <w:rFonts w:ascii="Cambria Math" w:hAnsi="Cambria Math"/>
                          </w:rPr>
                          <m:t>,</m:t>
                        </m:r>
                        <m:r>
                          <w:rPr>
                            <w:rFonts w:ascii="Cambria Math" w:hAnsi="Cambria Math"/>
                          </w:rPr>
                          <m:t>t</m:t>
                        </m:r>
                      </m:sub>
                      <m:sup>
                        <m:r>
                          <w:rPr>
                            <w:rFonts w:ascii="Cambria Math" w:hAnsi="Cambria Math"/>
                          </w:rPr>
                          <m:t>tot</m:t>
                        </m:r>
                      </m:sup>
                    </m:sSubSup>
                  </m:num>
                  <m:den>
                    <m:sSubSup>
                      <m:sSubSupPr>
                        <m:ctrlPr>
                          <w:rPr>
                            <w:rFonts w:ascii="Cambria Math" w:hAnsi="Cambria Math"/>
                          </w:rPr>
                        </m:ctrlPr>
                      </m:sSubSupPr>
                      <m:e>
                        <m:r>
                          <w:rPr>
                            <w:rFonts w:ascii="Cambria Math" w:hAnsi="Cambria Math"/>
                          </w:rPr>
                          <m:t>D</m:t>
                        </m:r>
                      </m:e>
                      <m:sub>
                        <m:r>
                          <w:rPr>
                            <w:rFonts w:ascii="Cambria Math" w:hAnsi="Cambria Math"/>
                          </w:rPr>
                          <m:t>c</m:t>
                        </m:r>
                        <m:r>
                          <w:rPr>
                            <w:rFonts w:ascii="Cambria Math" w:hAnsi="Cambria Math"/>
                          </w:rPr>
                          <m:t>,2010</m:t>
                        </m:r>
                      </m:sub>
                      <m:sup>
                        <m:r>
                          <w:rPr>
                            <w:rFonts w:ascii="Cambria Math" w:hAnsi="Cambria Math"/>
                          </w:rPr>
                          <m:t>tot</m:t>
                        </m:r>
                      </m:sup>
                    </m:sSubSup>
                  </m:den>
                </m:f>
              </m:oMath>
            </m:oMathPara>
          </w:p>
        </w:tc>
        <w:tc>
          <w:tcPr>
            <w:tcW w:w="568" w:type="dxa"/>
            <w:tcBorders>
              <w:top w:val="nil"/>
              <w:left w:val="nil"/>
              <w:bottom w:val="nil"/>
              <w:right w:val="nil"/>
            </w:tcBorders>
            <w:vAlign w:val="center"/>
          </w:tcPr>
          <w:p w14:paraId="040854DD"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DF" w14:textId="77777777" w:rsidR="002A1696" w:rsidRDefault="00C30874">
      <w:pPr>
        <w:ind w:firstLine="420"/>
      </w:pPr>
      <w:r>
        <w:t>These multipliers were used to scale future commodity demand trajectories while maintaining consistency with the LUTO production baseline and commodity definitions.</w:t>
      </w:r>
    </w:p>
    <w:p w14:paraId="040854E0" w14:textId="77777777" w:rsidR="002A1696" w:rsidRDefault="00C30874">
      <w:pPr>
        <w:pStyle w:val="3"/>
      </w:pPr>
      <w:r>
        <w:t>Feed demand projections</w:t>
      </w:r>
    </w:p>
    <w:p w14:paraId="040854E1" w14:textId="77777777" w:rsidR="002A1696" w:rsidRDefault="00C30874">
      <w:pPr>
        <w:ind w:firstLine="420"/>
      </w:pPr>
      <w:r>
        <w:t>Livestock feed demand was calculated using livestock production projections together with feed-conversion relationships derived from Australian feed-ration datasets. Feed conversion ratios and feed composition were obtained from livestock-specific feed-ration tables that link livestock systems to SPREAD feed commodities.</w:t>
      </w:r>
    </w:p>
    <w:p w14:paraId="040854E2" w14:textId="77777777" w:rsidR="002A1696" w:rsidRDefault="00C30874">
      <w:pPr>
        <w:ind w:firstLine="420"/>
      </w:pPr>
      <w:r>
        <w:t>For each livestock type and feed commodity, a scaled feed coefficient was calculated as:</w:t>
      </w:r>
    </w:p>
    <w:tbl>
      <w:tblPr>
        <w:tblStyle w:val="aff3"/>
        <w:tblW w:w="8364" w:type="dxa"/>
        <w:tblLayout w:type="fixed"/>
        <w:tblLook w:val="04A0" w:firstRow="1" w:lastRow="0" w:firstColumn="1" w:lastColumn="0" w:noHBand="0" w:noVBand="1"/>
      </w:tblPr>
      <w:tblGrid>
        <w:gridCol w:w="7796"/>
        <w:gridCol w:w="568"/>
      </w:tblGrid>
      <w:tr w:rsidR="002A1696" w14:paraId="040854E5" w14:textId="77777777">
        <w:trPr>
          <w:cantSplit/>
          <w:trHeight w:val="300"/>
        </w:trPr>
        <w:tc>
          <w:tcPr>
            <w:tcW w:w="7796" w:type="dxa"/>
            <w:tcBorders>
              <w:top w:val="nil"/>
              <w:left w:val="nil"/>
              <w:bottom w:val="nil"/>
              <w:right w:val="nil"/>
            </w:tcBorders>
          </w:tcPr>
          <w:p w14:paraId="040854E3"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Sup>
                  <m:sSubSupPr>
                    <m:ctrlPr>
                      <w:rPr>
                        <w:rFonts w:ascii="Cambria Math" w:hAnsi="Cambria Math"/>
                      </w:rPr>
                    </m:ctrlPr>
                  </m:sSubSupPr>
                  <m:e>
                    <m:r>
                      <w:rPr>
                        <w:rFonts w:ascii="Cambria Math" w:hAnsi="Cambria Math"/>
                      </w:rPr>
                      <m:t>FCR</m:t>
                    </m:r>
                  </m:e>
                  <m:sub>
                    <m:r>
                      <w:rPr>
                        <w:rFonts w:ascii="Cambria Math" w:hAnsi="Cambria Math"/>
                      </w:rPr>
                      <m:t>l</m:t>
                    </m:r>
                    <m:r>
                      <w:rPr>
                        <w:rFonts w:ascii="Cambria Math" w:hAnsi="Cambria Math"/>
                      </w:rPr>
                      <m:t>,</m:t>
                    </m:r>
                    <m:r>
                      <w:rPr>
                        <w:rFonts w:ascii="Cambria Math" w:hAnsi="Cambria Math"/>
                      </w:rPr>
                      <m:t>f</m:t>
                    </m:r>
                  </m:sub>
                  <m:sup>
                    <m:r>
                      <w:rPr>
                        <w:rFonts w:ascii="Cambria Math" w:hAnsi="Cambria Math"/>
                      </w:rPr>
                      <m:t>scaled</m:t>
                    </m:r>
                  </m:sup>
                </m:sSubSup>
                <m:r>
                  <m:rPr>
                    <m:lit/>
                    <m:nor/>
                  </m:rPr>
                  <m:t xml:space="preserve"> = </m:t>
                </m:r>
                <m:sSub>
                  <m:sSubPr>
                    <m:ctrlPr>
                      <w:rPr>
                        <w:rFonts w:ascii="Cambria Math" w:hAnsi="Cambria Math"/>
                      </w:rPr>
                    </m:ctrlPr>
                  </m:sSubPr>
                  <m:e>
                    <m:r>
                      <w:rPr>
                        <w:rFonts w:ascii="Cambria Math" w:hAnsi="Cambria Math"/>
                      </w:rPr>
                      <m:t>S</m:t>
                    </m:r>
                    <m:r>
                      <w:rPr>
                        <w:rFonts w:ascii="Cambria Math" w:hAnsi="Cambria Math"/>
                      </w:rPr>
                      <m:t>h</m:t>
                    </m:r>
                    <m:r>
                      <w:rPr>
                        <w:rFonts w:ascii="Cambria Math" w:hAnsi="Cambria Math"/>
                      </w:rPr>
                      <m:t>are</m:t>
                    </m:r>
                  </m:e>
                  <m:sub>
                    <m:r>
                      <w:rPr>
                        <w:rFonts w:ascii="Cambria Math" w:hAnsi="Cambria Math"/>
                      </w:rPr>
                      <m:t>l</m:t>
                    </m:r>
                    <m:r>
                      <w:rPr>
                        <w:rFonts w:ascii="Cambria Math" w:hAnsi="Cambria Math"/>
                      </w:rPr>
                      <m:t>,</m:t>
                    </m:r>
                    <m:r>
                      <w:rPr>
                        <w:rFonts w:ascii="Cambria Math" w:hAnsi="Cambria Math"/>
                      </w:rPr>
                      <m:t>f</m:t>
                    </m:r>
                  </m:sub>
                </m:sSub>
                <m:r>
                  <m:rPr>
                    <m:lit/>
                    <m:nor/>
                  </m:rPr>
                  <m:t xml:space="preserve"> </m:t>
                </m:r>
                <m:r>
                  <w:rPr>
                    <w:rFonts w:ascii="Cambria Math" w:hAnsi="Cambria Math"/>
                  </w:rPr>
                  <m:t>×</m:t>
                </m:r>
                <m:r>
                  <m:rPr>
                    <m:lit/>
                    <m:nor/>
                  </m:rPr>
                  <m:t xml:space="preserve"> </m:t>
                </m:r>
                <m:sSub>
                  <m:sSubPr>
                    <m:ctrlPr>
                      <w:rPr>
                        <w:rFonts w:ascii="Cambria Math" w:hAnsi="Cambria Math"/>
                      </w:rPr>
                    </m:ctrlPr>
                  </m:sSubPr>
                  <m:e>
                    <m:r>
                      <w:rPr>
                        <w:rFonts w:ascii="Cambria Math" w:hAnsi="Cambria Math"/>
                      </w:rPr>
                      <m:t>FCR</m:t>
                    </m:r>
                  </m:e>
                  <m:sub>
                    <m:r>
                      <w:rPr>
                        <w:rFonts w:ascii="Cambria Math" w:hAnsi="Cambria Math"/>
                      </w:rPr>
                      <m:t>l</m:t>
                    </m:r>
                  </m:sub>
                </m:sSub>
                <m:r>
                  <m:rPr>
                    <m:lit/>
                    <m:nor/>
                  </m:rPr>
                  <m:t xml:space="preserve"> </m:t>
                </m:r>
                <m:r>
                  <w:rPr>
                    <w:rFonts w:ascii="Cambria Math" w:hAnsi="Cambria Math"/>
                  </w:rPr>
                  <m:t>×</m:t>
                </m:r>
                <m:r>
                  <m:rPr>
                    <m:lit/>
                    <m:nor/>
                  </m:rPr>
                  <m:t xml:space="preserve"> </m:t>
                </m:r>
                <m:sSub>
                  <m:sSubPr>
                    <m:ctrlPr>
                      <w:rPr>
                        <w:rFonts w:ascii="Cambria Math" w:hAnsi="Cambria Math"/>
                      </w:rPr>
                    </m:ctrlPr>
                  </m:sSubPr>
                  <m:e>
                    <m:r>
                      <w:rPr>
                        <w:rFonts w:ascii="Cambria Math" w:hAnsi="Cambria Math"/>
                      </w:rPr>
                      <m:t>CropFrac</m:t>
                    </m:r>
                  </m:e>
                  <m:sub>
                    <m:r>
                      <w:rPr>
                        <w:rFonts w:ascii="Cambria Math" w:hAnsi="Cambria Math"/>
                      </w:rPr>
                      <m:t>l</m:t>
                    </m:r>
                    <m:r>
                      <w:rPr>
                        <w:rFonts w:ascii="Cambria Math" w:hAnsi="Cambria Math"/>
                      </w:rPr>
                      <m:t>,</m:t>
                    </m:r>
                    <m:r>
                      <w:rPr>
                        <w:rFonts w:ascii="Cambria Math" w:hAnsi="Cambria Math"/>
                      </w:rPr>
                      <m:t>f</m:t>
                    </m:r>
                  </m:sub>
                </m:sSub>
                <m:r>
                  <m:rPr>
                    <m:lit/>
                    <m:nor/>
                  </m:rPr>
                  <m:t xml:space="preserve"> </m:t>
                </m:r>
                <m:r>
                  <w:rPr>
                    <w:rFonts w:ascii="Cambria Math" w:hAnsi="Cambria Math"/>
                  </w:rPr>
                  <m:t>×</m:t>
                </m:r>
                <m:r>
                  <m:rPr>
                    <m:lit/>
                    <m:nor/>
                  </m:rPr>
                  <m:t xml:space="preserve"> </m:t>
                </m:r>
                <m:sSubSup>
                  <m:sSubSupPr>
                    <m:ctrlPr>
                      <w:rPr>
                        <w:rFonts w:ascii="Cambria Math" w:hAnsi="Cambria Math"/>
                      </w:rPr>
                    </m:ctrlPr>
                  </m:sSubSupPr>
                  <m:e>
                    <m:r>
                      <w:rPr>
                        <w:rFonts w:ascii="Cambria Math" w:hAnsi="Cambria Math"/>
                      </w:rPr>
                      <m:t>Conv</m:t>
                    </m:r>
                  </m:e>
                  <m:sub>
                    <m:r>
                      <w:rPr>
                        <w:rFonts w:ascii="Cambria Math" w:hAnsi="Cambria Math"/>
                      </w:rPr>
                      <m:t>l</m:t>
                    </m:r>
                  </m:sub>
                  <m:sup>
                    <m:r>
                      <m:rPr>
                        <m:lit/>
                        <m:nor/>
                      </m:rPr>
                      <m:t>-</m:t>
                    </m:r>
                    <m:r>
                      <w:rPr>
                        <w:rFonts w:ascii="Cambria Math" w:hAnsi="Cambria Math"/>
                      </w:rPr>
                      <m:t>1</m:t>
                    </m:r>
                  </m:sup>
                </m:sSubSup>
              </m:oMath>
            </m:oMathPara>
          </w:p>
        </w:tc>
        <w:tc>
          <w:tcPr>
            <w:tcW w:w="568" w:type="dxa"/>
            <w:tcBorders>
              <w:top w:val="nil"/>
              <w:left w:val="nil"/>
              <w:bottom w:val="nil"/>
              <w:right w:val="nil"/>
            </w:tcBorders>
            <w:vAlign w:val="center"/>
          </w:tcPr>
          <w:p w14:paraId="040854E4"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E6" w14:textId="77777777" w:rsidR="002A1696" w:rsidRDefault="00C30874">
      <w:pPr>
        <w:ind w:firstLineChars="0" w:firstLine="0"/>
      </w:pPr>
      <w:r>
        <w:t xml:space="preserve">where </w:t>
      </w:r>
      <w:r>
        <w:rPr>
          <w:i/>
          <w:iCs/>
        </w:rPr>
        <w:t>Share</w:t>
      </w:r>
      <w:r>
        <w:rPr>
          <w:i/>
          <w:iCs/>
          <w:vertAlign w:val="subscript"/>
        </w:rPr>
        <w:t>l,f</w:t>
      </w:r>
      <w:r>
        <w:rPr>
          <w:i/>
          <w:iCs/>
        </w:rPr>
        <w:t xml:space="preserve"> </w:t>
      </w:r>
      <w:r>
        <w:t xml:space="preserve">is the feed-ration share of feed commodity </w:t>
      </w:r>
      <w:r>
        <w:rPr>
          <w:i/>
          <w:iCs/>
        </w:rPr>
        <w:t>f</w:t>
      </w:r>
      <w:r>
        <w:t xml:space="preserve"> for livestock type </w:t>
      </w:r>
      <w:r>
        <w:rPr>
          <w:i/>
          <w:iCs/>
        </w:rPr>
        <w:t>l</w:t>
      </w:r>
      <w:r>
        <w:t xml:space="preserve">, </w:t>
      </w:r>
      <w:r>
        <w:rPr>
          <w:i/>
          <w:iCs/>
        </w:rPr>
        <w:t>FCR</w:t>
      </w:r>
      <w:r>
        <w:rPr>
          <w:i/>
          <w:iCs/>
          <w:vertAlign w:val="subscript"/>
        </w:rPr>
        <w:t>l</w:t>
      </w:r>
      <w:r>
        <w:t xml:space="preserve"> is the feed conversion ratio, </w:t>
      </w:r>
      <w:r>
        <w:rPr>
          <w:i/>
          <w:iCs/>
        </w:rPr>
        <w:t>CropFrac</w:t>
      </w:r>
      <w:r>
        <w:rPr>
          <w:i/>
          <w:iCs/>
          <w:vertAlign w:val="subscript"/>
        </w:rPr>
        <w:t>l,f</w:t>
      </w:r>
      <w:r>
        <w:rPr>
          <w:i/>
          <w:iCs/>
        </w:rPr>
        <w:t xml:space="preserve"> </w:t>
      </w:r>
      <w:r>
        <w:t xml:space="preserve">is the crop-based feed fraction, and </w:t>
      </w:r>
      <w:r>
        <w:rPr>
          <w:i/>
          <w:iCs/>
        </w:rPr>
        <w:t>Conv</w:t>
      </w:r>
      <w:r>
        <w:rPr>
          <w:i/>
          <w:iCs/>
          <w:vertAlign w:val="subscript"/>
        </w:rPr>
        <w:t>l</w:t>
      </w:r>
      <w:r>
        <w:rPr>
          <w:i/>
          <w:iCs/>
        </w:rPr>
        <w:t xml:space="preserve"> </w:t>
      </w:r>
      <w:r>
        <w:t>is the livestock product conversion factor.</w:t>
      </w:r>
    </w:p>
    <w:p w14:paraId="040854E7" w14:textId="77777777" w:rsidR="002A1696" w:rsidRDefault="00C30874">
      <w:pPr>
        <w:ind w:firstLine="420"/>
      </w:pPr>
      <w:r>
        <w:t>Base-year feed demand was calculated by multiplying livestock production by the scaled feed coefficients and summing across livestock systems. To avoid double counting, the feed component was removed from baseline crop production before calculating non-feed crop demand:</w:t>
      </w:r>
    </w:p>
    <w:tbl>
      <w:tblPr>
        <w:tblStyle w:val="aff3"/>
        <w:tblW w:w="8364" w:type="dxa"/>
        <w:tblLayout w:type="fixed"/>
        <w:tblLook w:val="04A0" w:firstRow="1" w:lastRow="0" w:firstColumn="1" w:lastColumn="0" w:noHBand="0" w:noVBand="1"/>
      </w:tblPr>
      <w:tblGrid>
        <w:gridCol w:w="7796"/>
        <w:gridCol w:w="568"/>
      </w:tblGrid>
      <w:tr w:rsidR="002A1696" w14:paraId="040854EA" w14:textId="77777777">
        <w:trPr>
          <w:cantSplit/>
          <w:trHeight w:val="300"/>
        </w:trPr>
        <w:tc>
          <w:tcPr>
            <w:tcW w:w="7796" w:type="dxa"/>
            <w:tcBorders>
              <w:top w:val="nil"/>
              <w:left w:val="nil"/>
              <w:bottom w:val="nil"/>
              <w:right w:val="nil"/>
            </w:tcBorders>
          </w:tcPr>
          <w:p w14:paraId="040854E8"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Sup>
                  <m:sSubSupPr>
                    <m:ctrlPr>
                      <w:rPr>
                        <w:rFonts w:ascii="Cambria Math" w:hAnsi="Cambria Math"/>
                      </w:rPr>
                    </m:ctrlPr>
                  </m:sSubSupPr>
                  <m:e>
                    <m:r>
                      <w:rPr>
                        <w:rFonts w:ascii="Cambria Math" w:hAnsi="Cambria Math"/>
                      </w:rPr>
                      <m:t>D</m:t>
                    </m:r>
                  </m:e>
                  <m:sub>
                    <m:r>
                      <w:rPr>
                        <w:rFonts w:ascii="Cambria Math" w:hAnsi="Cambria Math"/>
                      </w:rPr>
                      <m:t>crop</m:t>
                    </m:r>
                    <m:r>
                      <w:rPr>
                        <w:rFonts w:ascii="Cambria Math" w:hAnsi="Cambria Math"/>
                      </w:rPr>
                      <m:t>,2010</m:t>
                    </m:r>
                  </m:sub>
                  <m:sup>
                    <m:r>
                      <w:rPr>
                        <w:rFonts w:ascii="Cambria Math" w:hAnsi="Cambria Math"/>
                      </w:rPr>
                      <m:t>non</m:t>
                    </m:r>
                    <m:r>
                      <m:rPr>
                        <m:lit/>
                        <m:nor/>
                      </m:rPr>
                      <m:t>-</m:t>
                    </m:r>
                    <m:r>
                      <w:rPr>
                        <w:rFonts w:ascii="Cambria Math" w:hAnsi="Cambria Math"/>
                      </w:rPr>
                      <m:t>feed</m:t>
                    </m:r>
                  </m:sup>
                </m:sSubSup>
                <m:r>
                  <m:rPr>
                    <m:lit/>
                    <m:nor/>
                  </m:rPr>
                  <m:t xml:space="preserve"> = </m:t>
                </m:r>
                <m:sSub>
                  <m:sSubPr>
                    <m:ctrlPr>
                      <w:rPr>
                        <w:rFonts w:ascii="Cambria Math" w:hAnsi="Cambria Math"/>
                      </w:rPr>
                    </m:ctrlPr>
                  </m:sSubPr>
                  <m:e>
                    <m:r>
                      <w:rPr>
                        <w:rFonts w:ascii="Cambria Math" w:hAnsi="Cambria Math"/>
                      </w:rPr>
                      <m:t>Production</m:t>
                    </m:r>
                  </m:e>
                  <m:sub>
                    <m:r>
                      <w:rPr>
                        <w:rFonts w:ascii="Cambria Math" w:hAnsi="Cambria Math"/>
                      </w:rPr>
                      <m:t>crop</m:t>
                    </m:r>
                    <m:r>
                      <w:rPr>
                        <w:rFonts w:ascii="Cambria Math" w:hAnsi="Cambria Math"/>
                      </w:rPr>
                      <m:t>,2010</m:t>
                    </m:r>
                  </m:sub>
                </m:sSub>
                <m:r>
                  <m:rPr>
                    <m:lit/>
                    <m:nor/>
                  </m:rPr>
                  <m:t xml:space="preserve"> - </m:t>
                </m:r>
                <m:sSub>
                  <m:sSubPr>
                    <m:ctrlPr>
                      <w:rPr>
                        <w:rFonts w:ascii="Cambria Math" w:hAnsi="Cambria Math"/>
                      </w:rPr>
                    </m:ctrlPr>
                  </m:sSubPr>
                  <m:e>
                    <m:r>
                      <w:rPr>
                        <w:rFonts w:ascii="Cambria Math" w:hAnsi="Cambria Math"/>
                      </w:rPr>
                      <m:t>FeedDemand</m:t>
                    </m:r>
                  </m:e>
                  <m:sub>
                    <m:r>
                      <w:rPr>
                        <w:rFonts w:ascii="Cambria Math" w:hAnsi="Cambria Math"/>
                      </w:rPr>
                      <m:t>crop</m:t>
                    </m:r>
                    <m:r>
                      <w:rPr>
                        <w:rFonts w:ascii="Cambria Math" w:hAnsi="Cambria Math"/>
                      </w:rPr>
                      <m:t>,2010</m:t>
                    </m:r>
                  </m:sub>
                </m:sSub>
              </m:oMath>
            </m:oMathPara>
          </w:p>
        </w:tc>
        <w:tc>
          <w:tcPr>
            <w:tcW w:w="568" w:type="dxa"/>
            <w:tcBorders>
              <w:top w:val="nil"/>
              <w:left w:val="nil"/>
              <w:bottom w:val="nil"/>
              <w:right w:val="nil"/>
            </w:tcBorders>
            <w:vAlign w:val="center"/>
          </w:tcPr>
          <w:p w14:paraId="040854E9"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EB" w14:textId="77777777" w:rsidR="002A1696" w:rsidRDefault="00C30874">
      <w:pPr>
        <w:ind w:firstLine="420"/>
      </w:pPr>
      <w:r>
        <w:t>Future non-feed crop demand was then projected using the scenario-specific demand multipliers:</w:t>
      </w:r>
    </w:p>
    <w:tbl>
      <w:tblPr>
        <w:tblStyle w:val="aff3"/>
        <w:tblW w:w="8364" w:type="dxa"/>
        <w:tblLayout w:type="fixed"/>
        <w:tblLook w:val="04A0" w:firstRow="1" w:lastRow="0" w:firstColumn="1" w:lastColumn="0" w:noHBand="0" w:noVBand="1"/>
      </w:tblPr>
      <w:tblGrid>
        <w:gridCol w:w="7796"/>
        <w:gridCol w:w="568"/>
      </w:tblGrid>
      <w:tr w:rsidR="002A1696" w14:paraId="040854EE" w14:textId="77777777">
        <w:trPr>
          <w:cantSplit/>
          <w:trHeight w:val="300"/>
        </w:trPr>
        <w:tc>
          <w:tcPr>
            <w:tcW w:w="7796" w:type="dxa"/>
            <w:tcBorders>
              <w:top w:val="nil"/>
              <w:left w:val="nil"/>
              <w:bottom w:val="nil"/>
              <w:right w:val="nil"/>
            </w:tcBorders>
          </w:tcPr>
          <w:p w14:paraId="040854EC"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Sup>
                  <m:sSubSupPr>
                    <m:ctrlPr>
                      <w:rPr>
                        <w:rFonts w:ascii="Cambria Math" w:hAnsi="Cambria Math"/>
                      </w:rPr>
                    </m:ctrlPr>
                  </m:sSubSupPr>
                  <m:e>
                    <m:r>
                      <w:rPr>
                        <w:rFonts w:ascii="Cambria Math" w:hAnsi="Cambria Math"/>
                      </w:rPr>
                      <m:t>D</m:t>
                    </m:r>
                  </m:e>
                  <m:sub>
                    <m:r>
                      <w:rPr>
                        <w:rFonts w:ascii="Cambria Math" w:hAnsi="Cambria Math"/>
                      </w:rPr>
                      <m:t>crop</m:t>
                    </m:r>
                    <m:r>
                      <w:rPr>
                        <w:rFonts w:ascii="Cambria Math" w:hAnsi="Cambria Math"/>
                      </w:rPr>
                      <m:t>,</m:t>
                    </m:r>
                    <m:r>
                      <w:rPr>
                        <w:rFonts w:ascii="Cambria Math" w:hAnsi="Cambria Math"/>
                      </w:rPr>
                      <m:t>t</m:t>
                    </m:r>
                  </m:sub>
                  <m:sup>
                    <m:r>
                      <w:rPr>
                        <w:rFonts w:ascii="Cambria Math" w:hAnsi="Cambria Math"/>
                      </w:rPr>
                      <m:t>non</m:t>
                    </m:r>
                    <m:r>
                      <m:rPr>
                        <m:lit/>
                        <m:nor/>
                      </m:rPr>
                      <m:t>-</m:t>
                    </m:r>
                    <m:r>
                      <w:rPr>
                        <w:rFonts w:ascii="Cambria Math" w:hAnsi="Cambria Math"/>
                      </w:rPr>
                      <m:t>feed</m:t>
                    </m:r>
                  </m:sup>
                </m:sSubSup>
                <m:r>
                  <m:rPr>
                    <m:lit/>
                    <m:nor/>
                  </m:rPr>
                  <m:t xml:space="preserve"> = </m:t>
                </m:r>
                <m:sSubSup>
                  <m:sSubSupPr>
                    <m:ctrlPr>
                      <w:rPr>
                        <w:rFonts w:ascii="Cambria Math" w:hAnsi="Cambria Math"/>
                      </w:rPr>
                    </m:ctrlPr>
                  </m:sSubSupPr>
                  <m:e>
                    <m:r>
                      <w:rPr>
                        <w:rFonts w:ascii="Cambria Math" w:hAnsi="Cambria Math"/>
                      </w:rPr>
                      <m:t>D</m:t>
                    </m:r>
                  </m:e>
                  <m:sub>
                    <m:r>
                      <w:rPr>
                        <w:rFonts w:ascii="Cambria Math" w:hAnsi="Cambria Math"/>
                      </w:rPr>
                      <m:t>crop</m:t>
                    </m:r>
                    <m:r>
                      <w:rPr>
                        <w:rFonts w:ascii="Cambria Math" w:hAnsi="Cambria Math"/>
                      </w:rPr>
                      <m:t>,2010</m:t>
                    </m:r>
                  </m:sub>
                  <m:sup>
                    <m:r>
                      <w:rPr>
                        <w:rFonts w:ascii="Cambria Math" w:hAnsi="Cambria Math"/>
                      </w:rPr>
                      <m:t>non</m:t>
                    </m:r>
                    <m:r>
                      <m:rPr>
                        <m:lit/>
                        <m:nor/>
                      </m:rPr>
                      <m:t>-</m:t>
                    </m:r>
                    <m:r>
                      <w:rPr>
                        <w:rFonts w:ascii="Cambria Math" w:hAnsi="Cambria Math"/>
                      </w:rPr>
                      <m:t>feed</m:t>
                    </m:r>
                  </m:sup>
                </m:sSubSup>
                <m:r>
                  <m:rPr>
                    <m:lit/>
                    <m:nor/>
                  </m:rPr>
                  <m:t xml:space="preserve"> </m:t>
                </m:r>
                <m:r>
                  <w:rPr>
                    <w:rFonts w:ascii="Cambria Math" w:hAnsi="Cambria Math"/>
                  </w:rPr>
                  <m:t>×</m:t>
                </m:r>
                <m:r>
                  <m:rPr>
                    <m:lit/>
                    <m:nor/>
                  </m:rPr>
                  <m:t xml:space="preserve"> </m:t>
                </m:r>
                <m:sSub>
                  <m:sSubPr>
                    <m:ctrlPr>
                      <w:rPr>
                        <w:rFonts w:ascii="Cambria Math" w:hAnsi="Cambria Math"/>
                      </w:rPr>
                    </m:ctrlPr>
                  </m:sSubPr>
                  <m:e>
                    <m:r>
                      <w:rPr>
                        <w:rFonts w:ascii="Cambria Math" w:hAnsi="Cambria Math"/>
                      </w:rPr>
                      <m:t>M</m:t>
                    </m:r>
                  </m:e>
                  <m:sub>
                    <m:r>
                      <w:rPr>
                        <w:rFonts w:ascii="Cambria Math" w:hAnsi="Cambria Math"/>
                      </w:rPr>
                      <m:t>crop</m:t>
                    </m:r>
                    <m:r>
                      <w:rPr>
                        <w:rFonts w:ascii="Cambria Math" w:hAnsi="Cambria Math"/>
                      </w:rPr>
                      <m:t>,</m:t>
                    </m:r>
                    <m:r>
                      <w:rPr>
                        <w:rFonts w:ascii="Cambria Math" w:hAnsi="Cambria Math"/>
                      </w:rPr>
                      <m:t>t</m:t>
                    </m:r>
                  </m:sub>
                </m:sSub>
              </m:oMath>
            </m:oMathPara>
          </w:p>
        </w:tc>
        <w:tc>
          <w:tcPr>
            <w:tcW w:w="568" w:type="dxa"/>
            <w:tcBorders>
              <w:top w:val="nil"/>
              <w:left w:val="nil"/>
              <w:bottom w:val="nil"/>
              <w:right w:val="nil"/>
            </w:tcBorders>
            <w:vAlign w:val="center"/>
          </w:tcPr>
          <w:p w14:paraId="040854ED"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EF" w14:textId="77777777" w:rsidR="002A1696" w:rsidRDefault="00C30874">
      <w:pPr>
        <w:ind w:firstLine="420"/>
      </w:pPr>
      <w:r>
        <w:t>Future livestock feed demand was calculated as:</w:t>
      </w:r>
    </w:p>
    <w:tbl>
      <w:tblPr>
        <w:tblStyle w:val="aff3"/>
        <w:tblW w:w="8364" w:type="dxa"/>
        <w:tblLayout w:type="fixed"/>
        <w:tblLook w:val="04A0" w:firstRow="1" w:lastRow="0" w:firstColumn="1" w:lastColumn="0" w:noHBand="0" w:noVBand="1"/>
      </w:tblPr>
      <w:tblGrid>
        <w:gridCol w:w="7796"/>
        <w:gridCol w:w="568"/>
      </w:tblGrid>
      <w:tr w:rsidR="002A1696" w14:paraId="040854F2" w14:textId="77777777">
        <w:trPr>
          <w:cantSplit/>
          <w:trHeight w:val="300"/>
        </w:trPr>
        <w:tc>
          <w:tcPr>
            <w:tcW w:w="7796" w:type="dxa"/>
            <w:tcBorders>
              <w:top w:val="nil"/>
              <w:left w:val="nil"/>
              <w:bottom w:val="nil"/>
              <w:right w:val="nil"/>
            </w:tcBorders>
          </w:tcPr>
          <w:p w14:paraId="040854F0"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
                  <m:sSubPr>
                    <m:ctrlPr>
                      <w:rPr>
                        <w:rFonts w:ascii="Cambria Math" w:hAnsi="Cambria Math"/>
                      </w:rPr>
                    </m:ctrlPr>
                  </m:sSubPr>
                  <m:e>
                    <m:r>
                      <w:rPr>
                        <w:rFonts w:ascii="Cambria Math" w:hAnsi="Cambria Math"/>
                      </w:rPr>
                      <m:t>FeedDemand</m:t>
                    </m:r>
                  </m:e>
                  <m:sub>
                    <m:r>
                      <w:rPr>
                        <w:rFonts w:ascii="Cambria Math" w:hAnsi="Cambria Math"/>
                      </w:rPr>
                      <m:t>f</m:t>
                    </m:r>
                    <m:r>
                      <w:rPr>
                        <w:rFonts w:ascii="Cambria Math" w:hAnsi="Cambria Math"/>
                      </w:rPr>
                      <m:t>,</m:t>
                    </m:r>
                    <m:r>
                      <w:rPr>
                        <w:rFonts w:ascii="Cambria Math" w:hAnsi="Cambria Math"/>
                      </w:rPr>
                      <m:t>t</m:t>
                    </m:r>
                  </m:sub>
                </m:sSub>
                <m:r>
                  <m:rPr>
                    <m:lit/>
                    <m:nor/>
                  </m:rPr>
                  <m:t xml:space="preserve"> = </m:t>
                </m:r>
                <m:r>
                  <w:rPr>
                    <w:rFonts w:ascii="Cambria Math" w:hAnsi="Cambria Math"/>
                  </w:rPr>
                  <m:t>Σ</m:t>
                </m:r>
                <m:r>
                  <m:rPr>
                    <m:lit/>
                    <m:nor/>
                  </m:rPr>
                  <m:t xml:space="preserve"> </m:t>
                </m:r>
                <m:sSubSup>
                  <m:sSubSupPr>
                    <m:ctrlPr>
                      <w:rPr>
                        <w:rFonts w:ascii="Cambria Math" w:hAnsi="Cambria Math"/>
                      </w:rPr>
                    </m:ctrlPr>
                  </m:sSubSupPr>
                  <m:e>
                    <m:r>
                      <w:rPr>
                        <w:rFonts w:ascii="Cambria Math" w:hAnsi="Cambria Math"/>
                      </w:rPr>
                      <m:t>FCR</m:t>
                    </m:r>
                  </m:e>
                  <m:sub>
                    <m:r>
                      <w:rPr>
                        <w:rFonts w:ascii="Cambria Math" w:hAnsi="Cambria Math"/>
                      </w:rPr>
                      <m:t>l</m:t>
                    </m:r>
                    <m:r>
                      <w:rPr>
                        <w:rFonts w:ascii="Cambria Math" w:hAnsi="Cambria Math"/>
                      </w:rPr>
                      <m:t>,</m:t>
                    </m:r>
                    <m:r>
                      <w:rPr>
                        <w:rFonts w:ascii="Cambria Math" w:hAnsi="Cambria Math"/>
                      </w:rPr>
                      <m:t>f</m:t>
                    </m:r>
                  </m:sub>
                  <m:sup>
                    <m:r>
                      <w:rPr>
                        <w:rFonts w:ascii="Cambria Math" w:hAnsi="Cambria Math"/>
                      </w:rPr>
                      <m:t>scaled</m:t>
                    </m:r>
                  </m:sup>
                </m:sSubSup>
                <m:r>
                  <m:rPr>
                    <m:lit/>
                    <m:nor/>
                  </m:rPr>
                  <m:t xml:space="preserve"> </m:t>
                </m:r>
                <m:r>
                  <w:rPr>
                    <w:rFonts w:ascii="Cambria Math" w:hAnsi="Cambria Math"/>
                  </w:rPr>
                  <m:t>×</m:t>
                </m:r>
                <m:r>
                  <m:rPr>
                    <m:lit/>
                    <m:nor/>
                  </m:rPr>
                  <m:t xml:space="preserve"> </m:t>
                </m:r>
                <m:sSub>
                  <m:sSubPr>
                    <m:ctrlPr>
                      <w:rPr>
                        <w:rFonts w:ascii="Cambria Math" w:hAnsi="Cambria Math"/>
                      </w:rPr>
                    </m:ctrlPr>
                  </m:sSubPr>
                  <m:e>
                    <m:r>
                      <w:rPr>
                        <w:rFonts w:ascii="Cambria Math" w:hAnsi="Cambria Math"/>
                      </w:rPr>
                      <m:t>Production</m:t>
                    </m:r>
                  </m:e>
                  <m:sub>
                    <m:r>
                      <w:rPr>
                        <w:rFonts w:ascii="Cambria Math" w:hAnsi="Cambria Math"/>
                      </w:rPr>
                      <m:t>l</m:t>
                    </m:r>
                    <m:r>
                      <w:rPr>
                        <w:rFonts w:ascii="Cambria Math" w:hAnsi="Cambria Math"/>
                      </w:rPr>
                      <m:t>,</m:t>
                    </m:r>
                    <m:r>
                      <w:rPr>
                        <w:rFonts w:ascii="Cambria Math" w:hAnsi="Cambria Math"/>
                      </w:rPr>
                      <m:t>t</m:t>
                    </m:r>
                  </m:sub>
                </m:sSub>
              </m:oMath>
            </m:oMathPara>
          </w:p>
        </w:tc>
        <w:tc>
          <w:tcPr>
            <w:tcW w:w="568" w:type="dxa"/>
            <w:tcBorders>
              <w:top w:val="nil"/>
              <w:left w:val="nil"/>
              <w:bottom w:val="nil"/>
              <w:right w:val="nil"/>
            </w:tcBorders>
            <w:vAlign w:val="center"/>
          </w:tcPr>
          <w:p w14:paraId="040854F1"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F3" w14:textId="77777777" w:rsidR="002A1696" w:rsidRDefault="00C30874">
      <w:pPr>
        <w:ind w:firstLineChars="0" w:firstLine="0"/>
      </w:pPr>
      <w:r>
        <w:t xml:space="preserve">where </w:t>
      </w:r>
      <w:r>
        <w:rPr>
          <w:i/>
          <w:iCs/>
        </w:rPr>
        <w:t>Production</w:t>
      </w:r>
      <w:r>
        <w:rPr>
          <w:i/>
          <w:iCs/>
          <w:vertAlign w:val="subscript"/>
        </w:rPr>
        <w:t>l,t</w:t>
      </w:r>
      <w:r>
        <w:rPr>
          <w:i/>
          <w:iCs/>
        </w:rPr>
        <w:t xml:space="preserve"> </w:t>
      </w:r>
      <w:r>
        <w:t xml:space="preserve">is livestock production for livestock system </w:t>
      </w:r>
      <w:r>
        <w:rPr>
          <w:i/>
          <w:iCs/>
        </w:rPr>
        <w:t>l</w:t>
      </w:r>
      <w:r>
        <w:t xml:space="preserve"> in year </w:t>
      </w:r>
      <w:r>
        <w:rPr>
          <w:i/>
          <w:iCs/>
        </w:rPr>
        <w:t>t</w:t>
      </w:r>
      <w:r>
        <w:t>.</w:t>
      </w:r>
    </w:p>
    <w:p w14:paraId="040854F6" w14:textId="0F47204F" w:rsidR="002A1696" w:rsidRDefault="00C30874" w:rsidP="002D24F7">
      <w:pPr>
        <w:ind w:firstLine="420"/>
      </w:pPr>
      <w:r>
        <w:t>Projected feedlot expansion was incorporated into beef feed demand through time-varying cattle production-system coefficients. Total beef demand was partitioned into grass-fed, short-fed, mid-fed, and long-fed production systems using the projected feedlot shares described in Section</w:t>
      </w:r>
      <w:r>
        <w:rPr>
          <w:rFonts w:hint="eastAsia"/>
        </w:rPr>
        <w:t xml:space="preserve"> </w:t>
      </w:r>
      <w:r>
        <w:rPr>
          <w:rFonts w:hint="eastAsia"/>
        </w:rPr>
        <w:fldChar w:fldCharType="begin"/>
      </w:r>
      <w:r>
        <w:rPr>
          <w:rFonts w:hint="eastAsia"/>
        </w:rPr>
        <w:instrText xml:space="preserve"> REF _Ref229393866 \r \r \h </w:instrText>
      </w:r>
      <w:r>
        <w:rPr>
          <w:rFonts w:hint="eastAsia"/>
        </w:rPr>
      </w:r>
      <w:r>
        <w:rPr>
          <w:rFonts w:hint="eastAsia"/>
        </w:rPr>
        <w:fldChar w:fldCharType="separate"/>
      </w:r>
      <w:r>
        <w:t>2.3</w:t>
      </w:r>
      <w:r>
        <w:rPr>
          <w:rFonts w:hint="eastAsia"/>
        </w:rPr>
        <w:fldChar w:fldCharType="end"/>
      </w:r>
      <w:r>
        <w:t>.</w:t>
      </w:r>
    </w:p>
    <w:p w14:paraId="040854F7" w14:textId="77777777" w:rsidR="002A1696" w:rsidRDefault="00C30874">
      <w:pPr>
        <w:ind w:firstLine="420"/>
      </w:pPr>
      <w:r>
        <w:t xml:space="preserve">For each feedlot production system, concentrate feed demand during the finishing period was </w:t>
      </w:r>
      <w:r>
        <w:lastRenderedPageBreak/>
        <w:t>calculated from liveweight gain and feed conversion ratios:</w:t>
      </w:r>
    </w:p>
    <w:tbl>
      <w:tblPr>
        <w:tblStyle w:val="aff3"/>
        <w:tblW w:w="8364" w:type="dxa"/>
        <w:tblLayout w:type="fixed"/>
        <w:tblLook w:val="04A0" w:firstRow="1" w:lastRow="0" w:firstColumn="1" w:lastColumn="0" w:noHBand="0" w:noVBand="1"/>
      </w:tblPr>
      <w:tblGrid>
        <w:gridCol w:w="7796"/>
        <w:gridCol w:w="568"/>
      </w:tblGrid>
      <w:tr w:rsidR="002A1696" w14:paraId="040854FA" w14:textId="77777777">
        <w:trPr>
          <w:cantSplit/>
          <w:trHeight w:val="300"/>
        </w:trPr>
        <w:tc>
          <w:tcPr>
            <w:tcW w:w="7796" w:type="dxa"/>
            <w:tcBorders>
              <w:top w:val="nil"/>
              <w:left w:val="nil"/>
              <w:bottom w:val="nil"/>
              <w:right w:val="nil"/>
            </w:tcBorders>
          </w:tcPr>
          <w:p w14:paraId="040854F8"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i</m:t>
                    </m:r>
                    <m:r>
                      <w:rPr>
                        <w:rFonts w:ascii="Cambria Math" w:hAnsi="Cambria Math"/>
                      </w:rPr>
                      <m:t>,</m:t>
                    </m:r>
                    <m:r>
                      <w:rPr>
                        <w:rFonts w:ascii="Cambria Math" w:hAnsi="Cambria Math"/>
                      </w:rPr>
                      <m:t>f</m:t>
                    </m:r>
                  </m:sub>
                </m:sSub>
                <m:r>
                  <m:rPr>
                    <m:lit/>
                    <m:nor/>
                  </m:rPr>
                  <m:t xml:space="preserve"> = </m:t>
                </m:r>
                <m:r>
                  <w:rPr>
                    <w:rFonts w:ascii="Cambria Math" w:hAnsi="Cambria Math"/>
                  </w:rPr>
                  <m:t>Δ</m:t>
                </m:r>
                <m:sSub>
                  <m:sSubPr>
                    <m:ctrlPr>
                      <w:rPr>
                        <w:rFonts w:ascii="Cambria Math" w:hAnsi="Cambria Math"/>
                      </w:rPr>
                    </m:ctrlPr>
                  </m:sSubPr>
                  <m:e>
                    <m:r>
                      <w:rPr>
                        <w:rFonts w:ascii="Cambria Math" w:hAnsi="Cambria Math"/>
                      </w:rPr>
                      <m:t>W</m:t>
                    </m:r>
                  </m:e>
                  <m:sub>
                    <m:r>
                      <w:rPr>
                        <w:rFonts w:ascii="Cambria Math" w:hAnsi="Cambria Math"/>
                      </w:rPr>
                      <m:t>i</m:t>
                    </m:r>
                  </m:sub>
                </m:sSub>
                <m:r>
                  <m:rPr>
                    <m:lit/>
                    <m:nor/>
                  </m:rPr>
                  <m:t xml:space="preserve"> </m:t>
                </m:r>
                <m:r>
                  <w:rPr>
                    <w:rFonts w:ascii="Cambria Math" w:hAnsi="Cambria Math"/>
                  </w:rPr>
                  <m:t>×</m:t>
                </m:r>
                <m:r>
                  <m:rPr>
                    <m:lit/>
                    <m:nor/>
                  </m:rPr>
                  <m:t xml:space="preserve"> </m:t>
                </m:r>
                <m:sSub>
                  <m:sSubPr>
                    <m:ctrlPr>
                      <w:rPr>
                        <w:rFonts w:ascii="Cambria Math" w:hAnsi="Cambria Math"/>
                      </w:rPr>
                    </m:ctrlPr>
                  </m:sSubPr>
                  <m:e>
                    <m:r>
                      <w:rPr>
                        <w:rFonts w:ascii="Cambria Math" w:hAnsi="Cambria Math"/>
                      </w:rPr>
                      <m:t>FCR</m:t>
                    </m:r>
                  </m:e>
                  <m:sub>
                    <m:r>
                      <w:rPr>
                        <w:rFonts w:ascii="Cambria Math" w:hAnsi="Cambria Math"/>
                      </w:rPr>
                      <m:t>i</m:t>
                    </m:r>
                    <m:r>
                      <w:rPr>
                        <w:rFonts w:ascii="Cambria Math" w:hAnsi="Cambria Math"/>
                      </w:rPr>
                      <m:t>,</m:t>
                    </m:r>
                    <m:r>
                      <w:rPr>
                        <w:rFonts w:ascii="Cambria Math" w:hAnsi="Cambria Math"/>
                      </w:rPr>
                      <m:t>f</m:t>
                    </m:r>
                  </m:sub>
                </m:sSub>
              </m:oMath>
            </m:oMathPara>
          </w:p>
        </w:tc>
        <w:tc>
          <w:tcPr>
            <w:tcW w:w="568" w:type="dxa"/>
            <w:tcBorders>
              <w:top w:val="nil"/>
              <w:left w:val="nil"/>
              <w:bottom w:val="nil"/>
              <w:right w:val="nil"/>
            </w:tcBorders>
            <w:vAlign w:val="center"/>
          </w:tcPr>
          <w:p w14:paraId="040854F9"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4FC" w14:textId="48B090F1" w:rsidR="002A1696" w:rsidRDefault="00C30874" w:rsidP="002D24F7">
      <w:pPr>
        <w:ind w:firstLineChars="0" w:firstLine="0"/>
      </w:pPr>
      <w:r>
        <w:t xml:space="preserve">where </w:t>
      </w:r>
      <w:r>
        <w:rPr>
          <w:i/>
          <w:iCs/>
        </w:rPr>
        <w:t>F</w:t>
      </w:r>
      <w:r>
        <w:rPr>
          <w:vertAlign w:val="subscript"/>
        </w:rPr>
        <w:t>i,f</w:t>
      </w:r>
      <w:r>
        <w:t xml:space="preserve"> is feed demand for feed commodity </w:t>
      </w:r>
      <w:r>
        <w:rPr>
          <w:i/>
          <w:iCs/>
        </w:rPr>
        <w:t>f</w:t>
      </w:r>
      <w:r>
        <w:t xml:space="preserve"> per head of cattle production system </w:t>
      </w:r>
      <w:r>
        <w:rPr>
          <w:i/>
          <w:iCs/>
        </w:rPr>
        <w:t>i</w:t>
      </w:r>
      <w:r>
        <w:t>, Δ</w:t>
      </w:r>
      <w:r>
        <w:rPr>
          <w:i/>
          <w:iCs/>
        </w:rPr>
        <w:t>W</w:t>
      </w:r>
      <w:r>
        <w:rPr>
          <w:vertAlign w:val="subscript"/>
        </w:rPr>
        <w:t>i</w:t>
      </w:r>
      <w:r>
        <w:t xml:space="preserve"> is liveweight gain during the finishing period, and FCR</w:t>
      </w:r>
      <w:r>
        <w:rPr>
          <w:vertAlign w:val="subscript"/>
        </w:rPr>
        <w:t>i,f</w:t>
      </w:r>
      <w:r>
        <w:t xml:space="preserve"> is the feed conversion ratio for that feed commodity and production system. Liveweight gain was calculated from entry and final liveweights</w:t>
      </w:r>
      <w:r>
        <w:rPr>
          <w:rFonts w:hint="eastAsia"/>
        </w:rPr>
        <w:t>.</w:t>
      </w:r>
    </w:p>
    <w:p w14:paraId="040854FD" w14:textId="77777777" w:rsidR="002A1696" w:rsidRDefault="00C30874">
      <w:pPr>
        <w:ind w:firstLine="420"/>
      </w:pPr>
      <w:r>
        <w:t>Total feedlot feed demand for each feed commodity, year, and scenario was:</w:t>
      </w:r>
    </w:p>
    <w:tbl>
      <w:tblPr>
        <w:tblStyle w:val="aff3"/>
        <w:tblW w:w="8364" w:type="dxa"/>
        <w:tblLayout w:type="fixed"/>
        <w:tblLook w:val="04A0" w:firstRow="1" w:lastRow="0" w:firstColumn="1" w:lastColumn="0" w:noHBand="0" w:noVBand="1"/>
      </w:tblPr>
      <w:tblGrid>
        <w:gridCol w:w="7796"/>
        <w:gridCol w:w="568"/>
      </w:tblGrid>
      <w:tr w:rsidR="002A1696" w14:paraId="04085500" w14:textId="77777777">
        <w:trPr>
          <w:cantSplit/>
          <w:trHeight w:val="300"/>
        </w:trPr>
        <w:tc>
          <w:tcPr>
            <w:tcW w:w="7796" w:type="dxa"/>
            <w:tcBorders>
              <w:top w:val="nil"/>
              <w:left w:val="nil"/>
              <w:bottom w:val="nil"/>
              <w:right w:val="nil"/>
            </w:tcBorders>
          </w:tcPr>
          <w:p w14:paraId="040854FE"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Sup>
                  <m:sSubSupPr>
                    <m:ctrlPr>
                      <w:rPr>
                        <w:rFonts w:ascii="Cambria Math" w:hAnsi="Cambria Math"/>
                      </w:rPr>
                    </m:ctrlPr>
                  </m:sSubSupPr>
                  <m:e>
                    <m:r>
                      <w:rPr>
                        <w:rFonts w:ascii="Cambria Math" w:hAnsi="Cambria Math"/>
                      </w:rPr>
                      <m:t>FeedDemand</m:t>
                    </m:r>
                  </m:e>
                  <m:sub>
                    <m:r>
                      <w:rPr>
                        <w:rFonts w:ascii="Cambria Math" w:hAnsi="Cambria Math"/>
                      </w:rPr>
                      <m:t>f</m:t>
                    </m:r>
                    <m:r>
                      <w:rPr>
                        <w:rFonts w:ascii="Cambria Math" w:hAnsi="Cambria Math"/>
                      </w:rPr>
                      <m:t>,</m:t>
                    </m:r>
                    <m:r>
                      <w:rPr>
                        <w:rFonts w:ascii="Cambria Math" w:hAnsi="Cambria Math"/>
                      </w:rPr>
                      <m:t>t</m:t>
                    </m:r>
                    <m:r>
                      <w:rPr>
                        <w:rFonts w:ascii="Cambria Math" w:hAnsi="Cambria Math"/>
                      </w:rPr>
                      <m:t>,</m:t>
                    </m:r>
                    <m:r>
                      <w:rPr>
                        <w:rFonts w:ascii="Cambria Math" w:hAnsi="Cambria Math"/>
                      </w:rPr>
                      <m:t>s</m:t>
                    </m:r>
                  </m:sub>
                  <m:sup>
                    <m:r>
                      <w:rPr>
                        <w:rFonts w:ascii="Cambria Math" w:hAnsi="Cambria Math"/>
                      </w:rPr>
                      <m:t>feedlot</m:t>
                    </m:r>
                  </m:sup>
                </m:sSubSup>
                <m:r>
                  <m:rPr>
                    <m:lit/>
                    <m:nor/>
                  </m:rPr>
                  <m:t xml:space="preserve"> = </m:t>
                </m:r>
                <m:r>
                  <w:rPr>
                    <w:rFonts w:ascii="Cambria Math" w:hAnsi="Cambria Math"/>
                  </w:rPr>
                  <m:t>Σ</m:t>
                </m:r>
                <m:r>
                  <m:rPr>
                    <m:lit/>
                    <m:nor/>
                  </m:rPr>
                  <m:t xml:space="preserve"> </m:t>
                </m:r>
                <m:sSub>
                  <m:sSubPr>
                    <m:ctrlPr>
                      <w:rPr>
                        <w:rFonts w:ascii="Cambria Math" w:hAnsi="Cambria Math"/>
                      </w:rPr>
                    </m:ctrlPr>
                  </m:sSubPr>
                  <m:e>
                    <m:r>
                      <w:rPr>
                        <w:rFonts w:ascii="Cambria Math" w:hAnsi="Cambria Math"/>
                      </w:rPr>
                      <m:t>N</m:t>
                    </m:r>
                  </m:e>
                  <m:sub>
                    <m:r>
                      <w:rPr>
                        <w:rFonts w:ascii="Cambria Math" w:hAnsi="Cambria Math"/>
                      </w:rPr>
                      <m:t>i</m:t>
                    </m:r>
                    <m:r>
                      <w:rPr>
                        <w:rFonts w:ascii="Cambria Math" w:hAnsi="Cambria Math"/>
                      </w:rPr>
                      <m:t>,</m:t>
                    </m:r>
                    <m:r>
                      <w:rPr>
                        <w:rFonts w:ascii="Cambria Math" w:hAnsi="Cambria Math"/>
                      </w:rPr>
                      <m:t>t</m:t>
                    </m:r>
                    <m:r>
                      <w:rPr>
                        <w:rFonts w:ascii="Cambria Math" w:hAnsi="Cambria Math"/>
                      </w:rPr>
                      <m:t>,</m:t>
                    </m:r>
                    <m:r>
                      <w:rPr>
                        <w:rFonts w:ascii="Cambria Math" w:hAnsi="Cambria Math"/>
                      </w:rPr>
                      <m:t>s</m:t>
                    </m:r>
                  </m:sub>
                </m:sSub>
                <m:r>
                  <m:rPr>
                    <m:lit/>
                    <m:nor/>
                  </m:rPr>
                  <m:t xml:space="preserve"> </m:t>
                </m:r>
                <m:r>
                  <w:rPr>
                    <w:rFonts w:ascii="Cambria Math" w:hAnsi="Cambria Math"/>
                  </w:rPr>
                  <m:t>×</m:t>
                </m:r>
                <m:r>
                  <m:rPr>
                    <m:lit/>
                    <m:nor/>
                  </m:rPr>
                  <m:t xml:space="preserve"> </m:t>
                </m:r>
                <m:sSub>
                  <m:sSubPr>
                    <m:ctrlPr>
                      <w:rPr>
                        <w:rFonts w:ascii="Cambria Math" w:hAnsi="Cambria Math"/>
                      </w:rPr>
                    </m:ctrlPr>
                  </m:sSubPr>
                  <m:e>
                    <m:r>
                      <w:rPr>
                        <w:rFonts w:ascii="Cambria Math" w:hAnsi="Cambria Math"/>
                      </w:rPr>
                      <m:t>F</m:t>
                    </m:r>
                  </m:e>
                  <m:sub>
                    <m:r>
                      <w:rPr>
                        <w:rFonts w:ascii="Cambria Math" w:hAnsi="Cambria Math"/>
                      </w:rPr>
                      <m:t>i</m:t>
                    </m:r>
                    <m:r>
                      <w:rPr>
                        <w:rFonts w:ascii="Cambria Math" w:hAnsi="Cambria Math"/>
                      </w:rPr>
                      <m:t>,</m:t>
                    </m:r>
                    <m:r>
                      <w:rPr>
                        <w:rFonts w:ascii="Cambria Math" w:hAnsi="Cambria Math"/>
                      </w:rPr>
                      <m:t>f</m:t>
                    </m:r>
                  </m:sub>
                </m:sSub>
              </m:oMath>
            </m:oMathPara>
          </w:p>
        </w:tc>
        <w:tc>
          <w:tcPr>
            <w:tcW w:w="568" w:type="dxa"/>
            <w:tcBorders>
              <w:top w:val="nil"/>
              <w:left w:val="nil"/>
              <w:bottom w:val="nil"/>
              <w:right w:val="nil"/>
            </w:tcBorders>
            <w:vAlign w:val="center"/>
          </w:tcPr>
          <w:p w14:paraId="040854FF"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502" w14:textId="26E671F0" w:rsidR="002A1696" w:rsidRDefault="00C30874" w:rsidP="002D24F7">
      <w:pPr>
        <w:ind w:firstLineChars="0" w:firstLine="0"/>
      </w:pPr>
      <w:r>
        <w:t xml:space="preserve">where </w:t>
      </w:r>
      <w:r>
        <w:rPr>
          <w:i/>
          <w:iCs/>
        </w:rPr>
        <w:t>N</w:t>
      </w:r>
      <w:r>
        <w:rPr>
          <w:vertAlign w:val="subscript"/>
        </w:rPr>
        <w:t>i,t,s</w:t>
      </w:r>
      <w:r>
        <w:t xml:space="preserve"> is the projected number of feedlot cattle of production system </w:t>
      </w:r>
      <w:r>
        <w:rPr>
          <w:i/>
          <w:iCs/>
        </w:rPr>
        <w:t>i</w:t>
      </w:r>
      <w:r>
        <w:t xml:space="preserve"> in year </w:t>
      </w:r>
      <w:r>
        <w:rPr>
          <w:i/>
          <w:iCs/>
        </w:rPr>
        <w:t>t</w:t>
      </w:r>
      <w:r>
        <w:t xml:space="preserve"> under scenario </w:t>
      </w:r>
      <w:r>
        <w:rPr>
          <w:i/>
          <w:iCs/>
        </w:rPr>
        <w:t>s</w:t>
      </w:r>
      <w:r>
        <w:t>.</w:t>
      </w:r>
    </w:p>
    <w:p w14:paraId="04085503" w14:textId="77777777" w:rsidR="002A1696" w:rsidRDefault="00C30874">
      <w:pPr>
        <w:ind w:firstLine="420"/>
      </w:pPr>
      <w:r>
        <w:t>This feed demand was aggregated by SPREAD feed commodity and used to construct feedlot-adjusted beef feed coefficients:</w:t>
      </w:r>
    </w:p>
    <w:tbl>
      <w:tblPr>
        <w:tblStyle w:val="aff3"/>
        <w:tblW w:w="8364" w:type="dxa"/>
        <w:tblLayout w:type="fixed"/>
        <w:tblLook w:val="04A0" w:firstRow="1" w:lastRow="0" w:firstColumn="1" w:lastColumn="0" w:noHBand="0" w:noVBand="1"/>
      </w:tblPr>
      <w:tblGrid>
        <w:gridCol w:w="7796"/>
        <w:gridCol w:w="568"/>
      </w:tblGrid>
      <w:tr w:rsidR="002A1696" w14:paraId="04085506" w14:textId="77777777">
        <w:trPr>
          <w:cantSplit/>
          <w:trHeight w:val="300"/>
        </w:trPr>
        <w:tc>
          <w:tcPr>
            <w:tcW w:w="7796" w:type="dxa"/>
            <w:tcBorders>
              <w:top w:val="nil"/>
              <w:left w:val="nil"/>
              <w:bottom w:val="nil"/>
              <w:right w:val="nil"/>
            </w:tcBorders>
          </w:tcPr>
          <w:p w14:paraId="04085504"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Sup>
                  <m:sSubSupPr>
                    <m:ctrlPr>
                      <w:rPr>
                        <w:rFonts w:ascii="Cambria Math" w:hAnsi="Cambria Math"/>
                      </w:rPr>
                    </m:ctrlPr>
                  </m:sSubSupPr>
                  <m:e>
                    <m:r>
                      <w:rPr>
                        <w:rFonts w:ascii="Cambria Math" w:hAnsi="Cambria Math"/>
                      </w:rPr>
                      <m:t>FCR</m:t>
                    </m:r>
                  </m:e>
                  <m:sub>
                    <m:r>
                      <w:rPr>
                        <w:rFonts w:ascii="Cambria Math" w:hAnsi="Cambria Math"/>
                      </w:rPr>
                      <m:t>f</m:t>
                    </m:r>
                    <m:r>
                      <w:rPr>
                        <w:rFonts w:ascii="Cambria Math" w:hAnsi="Cambria Math"/>
                      </w:rPr>
                      <m:t>,</m:t>
                    </m:r>
                    <m:r>
                      <w:rPr>
                        <w:rFonts w:ascii="Cambria Math" w:hAnsi="Cambria Math"/>
                      </w:rPr>
                      <m:t>t</m:t>
                    </m:r>
                    <m:r>
                      <w:rPr>
                        <w:rFonts w:ascii="Cambria Math" w:hAnsi="Cambria Math"/>
                      </w:rPr>
                      <m:t>,</m:t>
                    </m:r>
                    <m:r>
                      <w:rPr>
                        <w:rFonts w:ascii="Cambria Math" w:hAnsi="Cambria Math"/>
                      </w:rPr>
                      <m:t>s</m:t>
                    </m:r>
                  </m:sub>
                  <m:sup>
                    <m:r>
                      <w:rPr>
                        <w:rFonts w:ascii="Cambria Math" w:hAnsi="Cambria Math"/>
                      </w:rPr>
                      <m:t>beef</m:t>
                    </m:r>
                  </m:sup>
                </m:sSubSup>
                <m:r>
                  <m:rPr>
                    <m:lit/>
                    <m:nor/>
                  </m:rPr>
                  <m:t xml:space="preserve"> = </m:t>
                </m:r>
                <m:f>
                  <m:fPr>
                    <m:ctrlPr>
                      <w:rPr>
                        <w:rFonts w:ascii="Cambria Math" w:hAnsi="Cambria Math"/>
                      </w:rPr>
                    </m:ctrlPr>
                  </m:fPr>
                  <m:num>
                    <m:sSubSup>
                      <m:sSubSupPr>
                        <m:ctrlPr>
                          <w:rPr>
                            <w:rFonts w:ascii="Cambria Math" w:hAnsi="Cambria Math"/>
                          </w:rPr>
                        </m:ctrlPr>
                      </m:sSubSupPr>
                      <m:e>
                        <m:r>
                          <w:rPr>
                            <w:rFonts w:ascii="Cambria Math" w:hAnsi="Cambria Math"/>
                          </w:rPr>
                          <m:t>FeedDemand</m:t>
                        </m:r>
                      </m:e>
                      <m:sub>
                        <m:r>
                          <w:rPr>
                            <w:rFonts w:ascii="Cambria Math" w:hAnsi="Cambria Math"/>
                          </w:rPr>
                          <m:t>f</m:t>
                        </m:r>
                        <m:r>
                          <w:rPr>
                            <w:rFonts w:ascii="Cambria Math" w:hAnsi="Cambria Math"/>
                          </w:rPr>
                          <m:t>,</m:t>
                        </m:r>
                        <m:r>
                          <w:rPr>
                            <w:rFonts w:ascii="Cambria Math" w:hAnsi="Cambria Math"/>
                          </w:rPr>
                          <m:t>t</m:t>
                        </m:r>
                        <m:r>
                          <w:rPr>
                            <w:rFonts w:ascii="Cambria Math" w:hAnsi="Cambria Math"/>
                          </w:rPr>
                          <m:t>,</m:t>
                        </m:r>
                        <m:r>
                          <w:rPr>
                            <w:rFonts w:ascii="Cambria Math" w:hAnsi="Cambria Math"/>
                          </w:rPr>
                          <m:t>s</m:t>
                        </m:r>
                      </m:sub>
                      <m:sup>
                        <m:r>
                          <w:rPr>
                            <w:rFonts w:ascii="Cambria Math" w:hAnsi="Cambria Math"/>
                          </w:rPr>
                          <m:t>beef</m:t>
                        </m:r>
                      </m:sup>
                    </m:sSubSup>
                  </m:num>
                  <m:den>
                    <m:sSubSup>
                      <m:sSubSupPr>
                        <m:ctrlPr>
                          <w:rPr>
                            <w:rFonts w:ascii="Cambria Math" w:hAnsi="Cambria Math"/>
                          </w:rPr>
                        </m:ctrlPr>
                      </m:sSubSupPr>
                      <m:e>
                        <m:r>
                          <w:rPr>
                            <w:rFonts w:ascii="Cambria Math" w:hAnsi="Cambria Math"/>
                          </w:rPr>
                          <m:t>Production</m:t>
                        </m:r>
                      </m:e>
                      <m:sub>
                        <m:r>
                          <w:rPr>
                            <w:rFonts w:ascii="Cambria Math" w:hAnsi="Cambria Math"/>
                          </w:rPr>
                          <m:t>t</m:t>
                        </m:r>
                        <m:r>
                          <w:rPr>
                            <w:rFonts w:ascii="Cambria Math" w:hAnsi="Cambria Math"/>
                          </w:rPr>
                          <m:t>,</m:t>
                        </m:r>
                        <m:r>
                          <w:rPr>
                            <w:rFonts w:ascii="Cambria Math" w:hAnsi="Cambria Math"/>
                          </w:rPr>
                          <m:t>s</m:t>
                        </m:r>
                      </m:sub>
                      <m:sup>
                        <m:r>
                          <w:rPr>
                            <w:rFonts w:ascii="Cambria Math" w:hAnsi="Cambria Math"/>
                          </w:rPr>
                          <m:t>beef</m:t>
                        </m:r>
                      </m:sup>
                    </m:sSubSup>
                  </m:den>
                </m:f>
              </m:oMath>
            </m:oMathPara>
          </w:p>
        </w:tc>
        <w:tc>
          <w:tcPr>
            <w:tcW w:w="568" w:type="dxa"/>
            <w:tcBorders>
              <w:top w:val="nil"/>
              <w:left w:val="nil"/>
              <w:bottom w:val="nil"/>
              <w:right w:val="nil"/>
            </w:tcBorders>
            <w:vAlign w:val="center"/>
          </w:tcPr>
          <w:p w14:paraId="04085505"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507" w14:textId="77777777" w:rsidR="002A1696" w:rsidRDefault="00C30874">
      <w:pPr>
        <w:ind w:firstLineChars="0" w:firstLine="0"/>
      </w:pPr>
      <w:r>
        <w:t>where FeedDemand</w:t>
      </w:r>
      <w:r>
        <w:rPr>
          <w:vertAlign w:val="superscript"/>
        </w:rPr>
        <w:t>beef</w:t>
      </w:r>
      <w:r>
        <w:rPr>
          <w:vertAlign w:val="subscript"/>
        </w:rPr>
        <w:t>f,t,s</w:t>
      </w:r>
      <w:r>
        <w:t xml:space="preserve"> is total beef feed demand for feed commodity </w:t>
      </w:r>
      <w:r>
        <w:rPr>
          <w:i/>
          <w:iCs/>
        </w:rPr>
        <w:t>f</w:t>
      </w:r>
      <w:r>
        <w:t>, and Production</w:t>
      </w:r>
      <w:r>
        <w:rPr>
          <w:vertAlign w:val="superscript"/>
        </w:rPr>
        <w:t>beef</w:t>
      </w:r>
      <w:r>
        <w:rPr>
          <w:vertAlign w:val="subscript"/>
        </w:rPr>
        <w:t>t,s</w:t>
      </w:r>
      <w:r>
        <w:t xml:space="preserve"> is total beef production. These feedlot-adjusted coefficients replaced the generic historical beef feed coefficients in the FoodDemand model wherever scenario-specific values were available. Consequently, future beef feed demand was determined not only by total beef demand, but also by changes in the composition of grass-fed, short-fed, mid-fed, and long-fed beef production under each Ag2050 scenario.</w:t>
      </w:r>
    </w:p>
    <w:p w14:paraId="04085508" w14:textId="77777777" w:rsidR="002A1696" w:rsidRDefault="00C30874">
      <w:pPr>
        <w:pStyle w:val="3"/>
      </w:pPr>
      <w:r>
        <w:t>Final commodity demand</w:t>
      </w:r>
    </w:p>
    <w:p w14:paraId="04085509" w14:textId="77777777" w:rsidR="002A1696" w:rsidRDefault="00C30874">
      <w:pPr>
        <w:ind w:firstLine="420"/>
      </w:pPr>
      <w:r>
        <w:t>Final commodity demand was calculated by combining non-feed demand and livestock feed demand:</w:t>
      </w:r>
    </w:p>
    <w:tbl>
      <w:tblPr>
        <w:tblStyle w:val="aff3"/>
        <w:tblW w:w="8364" w:type="dxa"/>
        <w:tblLayout w:type="fixed"/>
        <w:tblLook w:val="04A0" w:firstRow="1" w:lastRow="0" w:firstColumn="1" w:lastColumn="0" w:noHBand="0" w:noVBand="1"/>
      </w:tblPr>
      <w:tblGrid>
        <w:gridCol w:w="7796"/>
        <w:gridCol w:w="568"/>
      </w:tblGrid>
      <w:tr w:rsidR="002A1696" w14:paraId="0408550C" w14:textId="77777777">
        <w:trPr>
          <w:cantSplit/>
          <w:trHeight w:val="300"/>
        </w:trPr>
        <w:tc>
          <w:tcPr>
            <w:tcW w:w="7796" w:type="dxa"/>
            <w:tcBorders>
              <w:top w:val="nil"/>
              <w:left w:val="nil"/>
              <w:bottom w:val="nil"/>
              <w:right w:val="nil"/>
            </w:tcBorders>
          </w:tcPr>
          <w:p w14:paraId="0408550A" w14:textId="77777777" w:rsidR="002A1696" w:rsidRDefault="0066677A">
            <w:pPr>
              <w:spacing w:before="156" w:after="156"/>
              <w:ind w:firstLineChars="0" w:firstLine="0"/>
              <w:jc w:val="center"/>
              <w:rPr>
                <w:rFonts w:eastAsiaTheme="minorEastAsia" w:cs="Times New Roman"/>
                <w:sz w:val="18"/>
                <w:szCs w:val="18"/>
              </w:rPr>
            </w:pPr>
            <m:oMathPara>
              <m:oMathParaPr>
                <m:jc m:val="center"/>
              </m:oMathParaPr>
              <m:oMath>
                <m:sSubSup>
                  <m:sSubSupPr>
                    <m:ctrlPr>
                      <w:rPr>
                        <w:rFonts w:ascii="Cambria Math" w:hAnsi="Cambria Math"/>
                      </w:rPr>
                    </m:ctrlPr>
                  </m:sSubSupPr>
                  <m:e>
                    <m:r>
                      <w:rPr>
                        <w:rFonts w:ascii="Cambria Math" w:hAnsi="Cambria Math"/>
                      </w:rPr>
                      <m:t>D</m:t>
                    </m:r>
                  </m:e>
                  <m:sub>
                    <m:r>
                      <w:rPr>
                        <w:rFonts w:ascii="Cambria Math" w:hAnsi="Cambria Math"/>
                      </w:rPr>
                      <m:t>c</m:t>
                    </m:r>
                    <m:r>
                      <w:rPr>
                        <w:rFonts w:ascii="Cambria Math" w:hAnsi="Cambria Math"/>
                      </w:rPr>
                      <m:t>,</m:t>
                    </m:r>
                    <m:r>
                      <w:rPr>
                        <w:rFonts w:ascii="Cambria Math" w:hAnsi="Cambria Math"/>
                      </w:rPr>
                      <m:t>t</m:t>
                    </m:r>
                  </m:sub>
                  <m:sup>
                    <m:r>
                      <w:rPr>
                        <w:rFonts w:ascii="Cambria Math" w:hAnsi="Cambria Math"/>
                      </w:rPr>
                      <m:t>final</m:t>
                    </m:r>
                  </m:sup>
                </m:sSubSup>
                <m:r>
                  <m:rPr>
                    <m:lit/>
                    <m:nor/>
                  </m:rPr>
                  <m:t xml:space="preserve"> = </m:t>
                </m:r>
                <m:sSubSup>
                  <m:sSubSupPr>
                    <m:ctrlPr>
                      <w:rPr>
                        <w:rFonts w:ascii="Cambria Math" w:hAnsi="Cambria Math"/>
                      </w:rPr>
                    </m:ctrlPr>
                  </m:sSubSupPr>
                  <m:e>
                    <m:r>
                      <w:rPr>
                        <w:rFonts w:ascii="Cambria Math" w:hAnsi="Cambria Math"/>
                      </w:rPr>
                      <m:t>D</m:t>
                    </m:r>
                  </m:e>
                  <m:sub>
                    <m:r>
                      <w:rPr>
                        <w:rFonts w:ascii="Cambria Math" w:hAnsi="Cambria Math"/>
                      </w:rPr>
                      <m:t>c</m:t>
                    </m:r>
                    <m:r>
                      <w:rPr>
                        <w:rFonts w:ascii="Cambria Math" w:hAnsi="Cambria Math"/>
                      </w:rPr>
                      <m:t>,</m:t>
                    </m:r>
                    <m:r>
                      <w:rPr>
                        <w:rFonts w:ascii="Cambria Math" w:hAnsi="Cambria Math"/>
                      </w:rPr>
                      <m:t>t</m:t>
                    </m:r>
                  </m:sub>
                  <m:sup>
                    <m:r>
                      <w:rPr>
                        <w:rFonts w:ascii="Cambria Math" w:hAnsi="Cambria Math"/>
                      </w:rPr>
                      <m:t>non</m:t>
                    </m:r>
                    <m:r>
                      <m:rPr>
                        <m:lit/>
                        <m:nor/>
                      </m:rPr>
                      <m:t>-</m:t>
                    </m:r>
                    <m:r>
                      <w:rPr>
                        <w:rFonts w:ascii="Cambria Math" w:hAnsi="Cambria Math"/>
                      </w:rPr>
                      <m:t>feed</m:t>
                    </m:r>
                  </m:sup>
                </m:sSubSup>
                <m:r>
                  <m:rPr>
                    <m:lit/>
                    <m:nor/>
                  </m:rPr>
                  <m:t xml:space="preserve"> + </m:t>
                </m:r>
                <m:sSub>
                  <m:sSubPr>
                    <m:ctrlPr>
                      <w:rPr>
                        <w:rFonts w:ascii="Cambria Math" w:hAnsi="Cambria Math"/>
                      </w:rPr>
                    </m:ctrlPr>
                  </m:sSubPr>
                  <m:e>
                    <m:r>
                      <w:rPr>
                        <w:rFonts w:ascii="Cambria Math" w:hAnsi="Cambria Math"/>
                      </w:rPr>
                      <m:t>FeedDemand</m:t>
                    </m:r>
                  </m:e>
                  <m:sub>
                    <m:r>
                      <w:rPr>
                        <w:rFonts w:ascii="Cambria Math" w:hAnsi="Cambria Math"/>
                      </w:rPr>
                      <m:t>c</m:t>
                    </m:r>
                    <m:r>
                      <w:rPr>
                        <w:rFonts w:ascii="Cambria Math" w:hAnsi="Cambria Math"/>
                      </w:rPr>
                      <m:t>,</m:t>
                    </m:r>
                    <m:r>
                      <w:rPr>
                        <w:rFonts w:ascii="Cambria Math" w:hAnsi="Cambria Math"/>
                      </w:rPr>
                      <m:t>t</m:t>
                    </m:r>
                  </m:sub>
                </m:sSub>
              </m:oMath>
            </m:oMathPara>
          </w:p>
        </w:tc>
        <w:tc>
          <w:tcPr>
            <w:tcW w:w="568" w:type="dxa"/>
            <w:tcBorders>
              <w:top w:val="nil"/>
              <w:left w:val="nil"/>
              <w:bottom w:val="nil"/>
              <w:right w:val="nil"/>
            </w:tcBorders>
            <w:vAlign w:val="center"/>
          </w:tcPr>
          <w:p w14:paraId="0408550B" w14:textId="77777777" w:rsidR="002A1696" w:rsidRDefault="00C30874">
            <w:pPr>
              <w:spacing w:before="156" w:after="156"/>
              <w:ind w:firstLineChars="0" w:firstLine="0"/>
              <w:jc w:val="right"/>
              <w:rPr>
                <w:rFonts w:eastAsiaTheme="minorEastAsia" w:cs="Times New Roman"/>
                <w:sz w:val="18"/>
                <w:szCs w:val="18"/>
              </w:rPr>
            </w:pPr>
            <w:r>
              <w:rPr>
                <w:rFonts w:ascii="Arial" w:hAnsi="Arial" w:cs="Arial"/>
                <w:sz w:val="18"/>
                <w:szCs w:val="18"/>
              </w:rPr>
              <w:t>(</w:t>
            </w:r>
            <w:r>
              <w:rPr>
                <w:rFonts w:ascii="Arial" w:hAnsi="Arial" w:cs="Arial"/>
              </w:rPr>
              <w:fldChar w:fldCharType="begin"/>
            </w:r>
            <w:r>
              <w:rPr>
                <w:rFonts w:ascii="Arial" w:hAnsi="Arial" w:cs="Arial"/>
                <w:sz w:val="18"/>
                <w:szCs w:val="18"/>
              </w:rPr>
              <w:instrText>LISTNUM  NumberDefault \l 0</w:instrText>
            </w:r>
            <w:r>
              <w:rPr>
                <w:rFonts w:ascii="Arial" w:hAnsi="Arial" w:cs="Arial"/>
                <w:sz w:val="18"/>
                <w:szCs w:val="18"/>
              </w:rPr>
              <w:fldChar w:fldCharType="separate"/>
            </w:r>
            <w:r>
              <w:rPr>
                <w:rFonts w:ascii="Arial" w:hAnsi="Arial" w:cs="Arial"/>
                <w:sz w:val="18"/>
                <w:szCs w:val="18"/>
              </w:rPr>
              <w:fldChar w:fldCharType="end"/>
            </w:r>
          </w:p>
        </w:tc>
      </w:tr>
    </w:tbl>
    <w:p w14:paraId="0408550D" w14:textId="77777777" w:rsidR="002A1696" w:rsidRDefault="00C30874">
      <w:pPr>
        <w:ind w:firstLine="420"/>
      </w:pPr>
      <w:r>
        <w:t>For commodities assumed to be imported feed sources, feed demand contributed to imports rather than domestic production requirements. The resulting demand trajectories therefore represent the total LUTO-compatible commodity demand required to satisfy domestic food consumption, exports, imports, and livestock feed requirements under each Ag2050 scenario.</w:t>
      </w:r>
    </w:p>
    <w:p w14:paraId="0408550E" w14:textId="77777777" w:rsidR="002A1696" w:rsidRDefault="00C30874">
      <w:pPr>
        <w:pStyle w:val="2"/>
        <w:rPr>
          <w:rFonts w:eastAsia="宋体"/>
        </w:rPr>
      </w:pPr>
      <w:r>
        <w:rPr>
          <w:rFonts w:eastAsia="宋体"/>
        </w:rPr>
        <w:t>Scenario-specific targets</w:t>
      </w:r>
    </w:p>
    <w:p w14:paraId="0408550F" w14:textId="1EFE4844" w:rsidR="002A1696" w:rsidRDefault="00C30874">
      <w:pPr>
        <w:spacing w:before="156" w:after="120"/>
        <w:ind w:firstLine="420"/>
        <w:rPr>
          <w:rFonts w:eastAsiaTheme="minorEastAsia" w:cs="Times New Roman"/>
        </w:rPr>
      </w:pPr>
      <w:r>
        <w:rPr>
          <w:rFonts w:eastAsiaTheme="minorEastAsia" w:cs="Times New Roman"/>
        </w:rPr>
        <w:t>Beyond the time-varying input parameters described above, each Ag2050 scenario also specifies the policy targets that LUTO2 must satisfy during optimisation. These targets are imposed as hard constraints on net GHG emissions, biodiversity</w:t>
      </w:r>
      <w:r>
        <w:rPr>
          <w:rFonts w:eastAsiaTheme="minorEastAsia" w:cs="Times New Roman" w:hint="eastAsia"/>
        </w:rPr>
        <w:t xml:space="preserve"> </w:t>
      </w:r>
      <w:r>
        <w:t>contribution-weighted biodiversity score, and agri-food demand. The agri-food demand target is enforced in every scenario. The GHG and biodiversity targets are scenario-specific and are enforced only when activated by the scenario narrative. The three targets are described in turn below.</w:t>
      </w:r>
    </w:p>
    <w:p w14:paraId="04085510" w14:textId="77777777" w:rsidR="002A1696" w:rsidRDefault="00C30874">
      <w:pPr>
        <w:pStyle w:val="3"/>
        <w:rPr>
          <w:rFonts w:eastAsia="宋体"/>
        </w:rPr>
      </w:pPr>
      <w:r>
        <w:rPr>
          <w:rFonts w:eastAsia="宋体"/>
        </w:rPr>
        <w:t>GHG emissions targets</w:t>
      </w:r>
    </w:p>
    <w:p w14:paraId="04085511" w14:textId="567924CA" w:rsidR="002A1696" w:rsidRDefault="00651B8D">
      <w:pPr>
        <w:spacing w:before="156" w:after="120"/>
        <w:ind w:firstLine="420"/>
        <w:rPr>
          <w:rFonts w:eastAsiaTheme="minorEastAsia" w:cs="Times New Roman"/>
        </w:rPr>
      </w:pPr>
      <w:r>
        <w:rPr>
          <w:rFonts w:eastAsiaTheme="minorEastAsia" w:cs="Times New Roman"/>
        </w:rPr>
        <w:t xml:space="preserve">GHG emissions targets in this study are scenario-specific and reflect the contrasting climate ambition of each Ag2050 narrative. Under Regional Ag Capitals, annual net land-sector emissions </w:t>
      </w:r>
      <w:r>
        <w:rPr>
          <w:rFonts w:eastAsiaTheme="minorEastAsia" w:cs="Times New Roman"/>
        </w:rPr>
        <w:lastRenderedPageBreak/>
        <w:t xml:space="preserve">are constrained at or below the 2010 baseline of 65.6 Mt CO₂e yr⁻¹, so that future emissions cannot exceed the level observed at the start of the simulation. Under Landscape Stewardship, a more ambitious mitigation pathway is imposed following a climate pathway with a 67% probability of limiting global warming to 1.8 °C, based on emissions trajectories derived from the AusTIMES integrated assessment model. This pathway requires annual net land-sector emissions to decline progressively from the 2010 baseline to −73.72 Mt CO₂e yr⁻¹ by 2050, consistent with Australia’s commitment towards net-zero land-sector emissions under the </w:t>
      </w:r>
      <w:r>
        <w:rPr>
          <w:rFonts w:eastAsiaTheme="minorEastAsia" w:cs="Times New Roman"/>
          <w:i/>
          <w:iCs/>
        </w:rPr>
        <w:t>National Net Zero Plan</w:t>
      </w:r>
      <w:r>
        <w:rPr>
          <w:rFonts w:eastAsiaTheme="minorEastAsia" w:cs="Times New Roman"/>
        </w:rPr>
        <w:t xml:space="preserve"> </w:t>
      </w:r>
      <w:r>
        <w:rPr>
          <w:rFonts w:eastAsiaTheme="minorEastAsia" w:cs="Times New Roman"/>
        </w:rPr>
        <w:fldChar w:fldCharType="begin"/>
      </w:r>
      <w:r w:rsidR="007C0C3E">
        <w:rPr>
          <w:rFonts w:eastAsiaTheme="minorEastAsia" w:cs="Times New Roman"/>
        </w:rPr>
        <w:instrText xml:space="preserve"> ADDIN EN.CITE &lt;EndNote&gt;&lt;Cite&gt;&lt;Author&gt;DCCEEW&lt;/Author&gt;&lt;Year&gt;2024&lt;/Year&gt;&lt;RecNum&gt;186&lt;/RecNum&gt;&lt;DisplayText&gt;&lt;style face="superscript"&gt;48,49&lt;/style&gt;&lt;/DisplayText&gt;&lt;record&gt;&lt;rec-number&gt;186&lt;/rec-number&gt;&lt;foreign-keys&gt;&lt;key app="EN" db-id="st0zxxax1wfadte9s5gpaptza9tfvrzsvaxs" timestamp="1722513931" guid="39780a4a-b8a4-4473-a62e-e377fcfb9a19"&gt;186&lt;/key&gt;&lt;/foreign-keys&gt;&lt;ref-type name="Web Page"&gt;12&lt;/ref-type&gt;&lt;contributors&gt;&lt;authors&gt;&lt;author&gt;DCCEEW&lt;/author&gt;&lt;/authors&gt;&lt;/contributors&gt;&lt;titles&gt;&lt;title&gt;Net Zero Plan&lt;/title&gt;&lt;/titles&gt;&lt;volume&gt;2024&lt;/volume&gt;&lt;number&gt;01/07/2024&lt;/number&gt;&lt;dates&gt;&lt;year&gt;2024&lt;/year&gt;&lt;/dates&gt;&lt;publisher&gt;Department of Climate Change, Energy, the Environment and Water, Australian Government&lt;/publisher&gt;&lt;urls&gt;&lt;related-urls&gt;&lt;url&gt;https://www.dcceew.gov.au/climate-change/emissions-reduction/net-zero&lt;/url&gt;&lt;/related-urls&gt;&lt;/urls&gt;&lt;/record&gt;&lt;/Cite&gt;&lt;Cite&gt;&lt;Author&gt;Li&lt;/Author&gt;&lt;Year&gt;2023&lt;/Year&gt;&lt;RecNum&gt;94&lt;/RecNum&gt;&lt;record&gt;&lt;rec-number&gt;94&lt;/rec-number&gt;&lt;foreign-keys&gt;&lt;key app="EN" db-id="st0zxxax1wfadte9s5gpaptza9tfvrzsvaxs" timestamp="1719465004" guid="7fbef863-74f0-45f8-898c-fd3ab1faebd0"&gt;94&lt;/key&gt;&lt;/foreign-keys&gt;&lt;ref-type name="Report"&gt;27&lt;/ref-type&gt;&lt;contributors&gt;&lt;authors&gt;&lt;author&gt;Li, Michael&lt;/author&gt;&lt;author&gt;Croser, Lauren&lt;/author&gt;&lt;author&gt;Murugesan, Mythili&lt;/author&gt;&lt;author&gt;Whelan, James&lt;/author&gt;&lt;/authors&gt;&lt;/contributors&gt;&lt;titles&gt;&lt;title&gt;Climateworks Centre decarbonisation scenarios 2023: Australia can still meet the Paris Agreement&lt;/title&gt;&lt;/titles&gt;&lt;dates&gt;&lt;year&gt;2023&lt;/year&gt;&lt;/dates&gt;&lt;urls&gt;&lt;/urls&gt;&lt;/record&gt;&lt;/Cite&gt;&lt;/EndNote&gt;</w:instrText>
      </w:r>
      <w:r>
        <w:rPr>
          <w:rFonts w:eastAsiaTheme="minorEastAsia" w:cs="Times New Roman"/>
        </w:rPr>
        <w:fldChar w:fldCharType="separate"/>
      </w:r>
      <w:r w:rsidR="007C0C3E" w:rsidRPr="007C0C3E">
        <w:rPr>
          <w:rFonts w:eastAsiaTheme="minorEastAsia" w:cs="Times New Roman"/>
          <w:noProof/>
          <w:vertAlign w:val="superscript"/>
        </w:rPr>
        <w:t>48,49</w:t>
      </w:r>
      <w:r>
        <w:rPr>
          <w:rFonts w:eastAsiaTheme="minorEastAsia" w:cs="Times New Roman"/>
        </w:rPr>
        <w:fldChar w:fldCharType="end"/>
      </w:r>
      <w:r>
        <w:rPr>
          <w:rFonts w:eastAsiaTheme="minorEastAsia" w:cs="Times New Roman"/>
        </w:rPr>
        <w:t>. No GHG constraint is applied under Climate Survival or System Decline, reflecting the deprioritisation of climate change mitigation in these two narratives. Where active, the constraint is enforced as a hard annual constraint in every simulation year.</w:t>
      </w:r>
    </w:p>
    <w:p w14:paraId="04085512" w14:textId="77777777" w:rsidR="002A1696" w:rsidRDefault="00C30874">
      <w:pPr>
        <w:pStyle w:val="3"/>
        <w:rPr>
          <w:rFonts w:eastAsia="宋体"/>
        </w:rPr>
      </w:pPr>
      <w:r>
        <w:rPr>
          <w:rFonts w:eastAsia="宋体"/>
        </w:rPr>
        <w:t>Biodiversity targets</w:t>
      </w:r>
    </w:p>
    <w:p w14:paraId="04085513" w14:textId="26B2A722" w:rsidR="002A1696" w:rsidRDefault="00C30874">
      <w:pPr>
        <w:spacing w:before="156" w:after="120"/>
        <w:ind w:firstLine="420"/>
        <w:rPr>
          <w:rFonts w:eastAsiaTheme="minorEastAsia" w:cs="Times New Roman"/>
        </w:rPr>
      </w:pPr>
      <w:r>
        <w:rPr>
          <w:rFonts w:eastAsiaTheme="minorEastAsia" w:cs="Times New Roman"/>
        </w:rPr>
        <w:t>Biodiversity targets follow the same scenario-specific logic and operationalise the Ag2050 narratives' positions on nature recovery. Under Regional Ag Capitals, a modest restoration target is imposed, restoring 5% of the priority area within the top 20% of grid cells ranked by biodiversity contribution score by 2050. Under Landscape Stewardship, an ambitious restoration target is imposed consistent with the Kunming-Montreal Global Biodiversity Framework</w:t>
      </w:r>
      <w:r>
        <w:rPr>
          <w:rFonts w:eastAsiaTheme="minorEastAsia" w:cs="Times New Roman" w:hint="eastAsia"/>
        </w:rPr>
        <w:t xml:space="preserve"> </w:t>
      </w:r>
      <w:r>
        <w:rPr>
          <w:rFonts w:eastAsiaTheme="minorEastAsia" w:cs="Times New Roman"/>
        </w:rPr>
        <w:t>Target 2</w:t>
      </w:r>
      <w:r>
        <w:rPr>
          <w:rFonts w:eastAsiaTheme="minorEastAsia" w:cs="Times New Roman" w:hint="eastAsia"/>
        </w:rPr>
        <w:t xml:space="preserve"> (GBF2)</w:t>
      </w:r>
      <w:r>
        <w:rPr>
          <w:rFonts w:eastAsiaTheme="minorEastAsia" w:cs="Times New Roman"/>
        </w:rPr>
        <w:t xml:space="preserve"> </w:t>
      </w:r>
      <w:r>
        <w:rPr>
          <w:rFonts w:eastAsiaTheme="minorEastAsia" w:cs="Times New Roman"/>
        </w:rPr>
        <w:fldChar w:fldCharType="begin"/>
      </w:r>
      <w:r>
        <w:rPr>
          <w:rFonts w:eastAsiaTheme="minorEastAsia" w:cs="Times New Roman"/>
        </w:rPr>
        <w:instrText xml:space="preserve"> ADDIN EN.CITE &lt;EndNote&gt;&lt;Cite&gt;&lt;Author&gt;DCCEEW&lt;/Author&gt;&lt;Year&gt;2025&lt;/Year&gt;&lt;RecNum&gt;592&lt;/RecNum&gt;&lt;DisplayText&gt;&lt;style face="superscript"&gt;8&lt;/style&gt;&lt;/DisplayText&gt;&lt;record&gt;&lt;rec-number&gt;592&lt;/rec-number&gt;&lt;foreign-keys&gt;&lt;key app="EN" db-id="st0zxxax1wfadte9s5gpaptza9tfvrzsvaxs" timestamp="1776683084"&gt;592&lt;/key&gt;&lt;/foreign-keys&gt;&lt;ref-type name="Report"&gt;27&lt;/ref-type&gt;&lt;contributors&gt;&lt;authors&gt;&lt;author&gt;DCCEEW&lt;/author&gt;&lt;/authors&gt;&lt;/contributors&gt;&lt;titles&gt;&lt;title&gt;NBAS Settings: For use with the Nature Repair (Replanting Native Forest and Woodland Ecosystems) Methodology Determination 2025 (Version 1.0)&lt;/title&gt;&lt;/titles&gt;&lt;dates&gt;&lt;year&gt;2025&lt;/year&gt;&lt;pub-dates&gt;&lt;date&gt;2025-02&lt;/date&gt;&lt;/pub-dates&gt;&lt;/dates&gt;&lt;pub-location&gt;Canberra, Australia&lt;/pub-location&gt;&lt;publisher&gt;Australian Government&lt;/publisher&gt;&lt;urls&gt;&lt;/urls&gt;&lt;/record&gt;&lt;/Cite&gt;&lt;/EndNote&gt;</w:instrText>
      </w:r>
      <w:r>
        <w:rPr>
          <w:rFonts w:eastAsiaTheme="minorEastAsia" w:cs="Times New Roman"/>
        </w:rPr>
        <w:fldChar w:fldCharType="separate"/>
      </w:r>
      <w:r>
        <w:rPr>
          <w:rFonts w:eastAsiaTheme="minorEastAsia" w:cs="Times New Roman"/>
          <w:noProof/>
          <w:vertAlign w:val="superscript"/>
        </w:rPr>
        <w:t>8</w:t>
      </w:r>
      <w:r>
        <w:rPr>
          <w:rFonts w:eastAsiaTheme="minorEastAsia" w:cs="Times New Roman"/>
        </w:rPr>
        <w:fldChar w:fldCharType="end"/>
      </w:r>
      <w:r>
        <w:rPr>
          <w:rFonts w:eastAsiaTheme="minorEastAsia" w:cs="Times New Roman"/>
        </w:rPr>
        <w:t xml:space="preserve">, restoring 50% of the priority area within the top 20% of grid cells ranked by biodiversity contribution score by 2050, with the annual target derived by linear interpolation between the 2010 baseline and the 2050 endpoint. The biodiversity priority ranking uses the Habitat Condition Assessment System </w:t>
      </w:r>
      <w:r>
        <w:rPr>
          <w:rFonts w:eastAsiaTheme="minorEastAsia" w:cs="Times New Roman"/>
        </w:rPr>
        <w:fldChar w:fldCharType="begin"/>
      </w:r>
      <w:r>
        <w:rPr>
          <w:rFonts w:eastAsiaTheme="minorEastAsia" w:cs="Times New Roman"/>
        </w:rPr>
        <w:instrText xml:space="preserve"> ADDIN EN.CITE &lt;EndNote&gt;&lt;Cite&gt;&lt;Author&gt;Munroe&lt;/Author&gt;&lt;Year&gt;2024&lt;/Year&gt;&lt;RecNum&gt;196&lt;/RecNum&gt;&lt;DisplayText&gt;&lt;style face="superscript"&gt;6&lt;/style&gt;&lt;/DisplayText&gt;&lt;record&gt;&lt;rec-number&gt;196&lt;/rec-number&gt;&lt;foreign-keys&gt;&lt;key app="EN" db-id="st0zxxax1wfadte9s5gpaptza9tfvrzsvaxs" timestamp="1728951929" guid="8d1544aa-8cc7-48ce-a9b9-4ebb9219911c"&gt;196&lt;/key&gt;&lt;/foreign-keys&gt;&lt;ref-type name="Report"&gt;27&lt;/ref-type&gt;&lt;contributors&gt;&lt;authors&gt;&lt;author&gt;Munroe, Samantha&lt;/author&gt;&lt;author&gt;Malley, Cassandra&lt;/author&gt;&lt;author&gt;Tetreault Campbell, Sally&lt;/author&gt;&lt;author&gt;Hazelwood, Liz&lt;/author&gt;&lt;author&gt;Gunawardana, Dayani&lt;/author&gt;&lt;author&gt;Perrott, Louise&lt;/author&gt;&lt;author&gt;Williams, Kristen&lt;/author&gt;&lt;/authors&gt;&lt;/contributors&gt;&lt;titles&gt;&lt;title&gt;Redesign kicks off for the Habitat Condition Assessment System&lt;/title&gt;&lt;/titles&gt;&lt;dates&gt;&lt;year&gt;2024&lt;/year&gt;&lt;/dates&gt;&lt;pub-location&gt;Australian Government Department of Climate Change, Energy, the Environment and Water&lt;/pub-location&gt;&lt;publisher&gt;CSIRO&lt;/publisher&gt;&lt;urls&gt;&lt;related-urls&gt;&lt;url&gt;http://hdl.handle.net/102.100.100/609036?index=1&lt;/url&gt;&lt;/related-urls&gt;&lt;/urls&gt;&lt;/record&gt;&lt;/Cite&gt;&lt;/EndNote&gt;</w:instrText>
      </w:r>
      <w:r>
        <w:rPr>
          <w:rFonts w:eastAsiaTheme="minorEastAsia" w:cs="Times New Roman"/>
        </w:rPr>
        <w:fldChar w:fldCharType="separate"/>
      </w:r>
      <w:r>
        <w:rPr>
          <w:rFonts w:eastAsiaTheme="minorEastAsia" w:cs="Times New Roman"/>
          <w:noProof/>
          <w:vertAlign w:val="superscript"/>
        </w:rPr>
        <w:t>6</w:t>
      </w:r>
      <w:r>
        <w:rPr>
          <w:rFonts w:eastAsiaTheme="minorEastAsia" w:cs="Times New Roman"/>
        </w:rPr>
        <w:fldChar w:fldCharType="end"/>
      </w:r>
      <w:r>
        <w:rPr>
          <w:rFonts w:eastAsiaTheme="minorEastAsia" w:cs="Times New Roman"/>
        </w:rPr>
        <w:t xml:space="preserve"> and the spatial prioritisation of </w:t>
      </w:r>
      <w:r>
        <w:rPr>
          <w:rFonts w:eastAsiaTheme="minorEastAsia" w:cs="Times New Roman"/>
        </w:rPr>
        <w:fldChar w:fldCharType="begin"/>
      </w:r>
      <w:r w:rsidR="007C0C3E">
        <w:rPr>
          <w:rFonts w:eastAsiaTheme="minorEastAsia" w:cs="Times New Roman"/>
        </w:rPr>
        <w:instrText xml:space="preserve"> ADDIN EN.CITE &lt;EndNote&gt;&lt;Cite AuthorYear="1"&gt;&lt;Author&gt;Archibald&lt;/Author&gt;&lt;Year&gt;2024&lt;/Year&gt;&lt;RecNum&gt;98&lt;/RecNum&gt;&lt;DisplayText&gt;Archibald, et al. &lt;style face="superscript"&gt;50&lt;/style&gt;&lt;/DisplayText&gt;&lt;record&gt;&lt;rec-number&gt;98&lt;/rec-number&gt;&lt;foreign-keys&gt;&lt;key app="EN" db-id="st0zxxax1wfadte9s5gpaptza9tfvrzsvaxs" timestamp="1719466140" guid="1901cfc3-d85e-47c6-b3e0-b58622302ad2"&gt;98&lt;/key&gt;&lt;/foreign-keys&gt;&lt;ref-type name="Journal Article"&gt;17&lt;/ref-type&gt;&lt;contributors&gt;&lt;authors&gt;&lt;author&gt;Archibald, Carla L&lt;/author&gt;&lt;author&gt;Summers, David M&lt;/author&gt;&lt;author&gt;Graham, Erin M&lt;/author&gt;&lt;author&gt;Bryan, Brett A&lt;/author&gt;&lt;/authors&gt;&lt;/contributors&gt;&lt;titles&gt;&lt;title&gt;Habitat suitability maps for Australian flora and fauna under CMIP6 climate scenarios&lt;/title&gt;&lt;secondary-title&gt;GigaScience&lt;/secondary-title&gt;&lt;/titles&gt;&lt;periodical&gt;&lt;full-title&gt;GigaScience&lt;/full-title&gt;&lt;/periodical&gt;&lt;pages&gt;giae002&lt;/pages&gt;&lt;volume&gt;13&lt;/volume&gt;&lt;dates&gt;&lt;year&gt;2024&lt;/year&gt;&lt;/dates&gt;&lt;isbn&gt;2047-217X&lt;/isbn&gt;&lt;urls&gt;&lt;/urls&gt;&lt;/record&gt;&lt;/Cite&gt;&lt;/EndNote&gt;</w:instrText>
      </w:r>
      <w:r>
        <w:rPr>
          <w:rFonts w:eastAsiaTheme="minorEastAsia" w:cs="Times New Roman"/>
        </w:rPr>
        <w:fldChar w:fldCharType="separate"/>
      </w:r>
      <w:r w:rsidR="007C0C3E">
        <w:rPr>
          <w:rFonts w:eastAsiaTheme="minorEastAsia" w:cs="Times New Roman"/>
          <w:noProof/>
        </w:rPr>
        <w:t xml:space="preserve">Archibald, et al. </w:t>
      </w:r>
      <w:r w:rsidR="007C0C3E" w:rsidRPr="007C0C3E">
        <w:rPr>
          <w:rFonts w:eastAsiaTheme="minorEastAsia" w:cs="Times New Roman"/>
          <w:noProof/>
          <w:vertAlign w:val="superscript"/>
        </w:rPr>
        <w:t>50</w:t>
      </w:r>
      <w:r>
        <w:rPr>
          <w:rFonts w:eastAsiaTheme="minorEastAsia" w:cs="Times New Roman"/>
        </w:rPr>
        <w:fldChar w:fldCharType="end"/>
      </w:r>
      <w:r>
        <w:rPr>
          <w:rFonts w:eastAsiaTheme="minorEastAsia" w:cs="Times New Roman"/>
        </w:rPr>
        <w:t>. No biodiversity constraint is applied under Climate Survival or System Decline.</w:t>
      </w:r>
    </w:p>
    <w:p w14:paraId="04085514" w14:textId="77777777" w:rsidR="002A1696" w:rsidRDefault="00C30874">
      <w:pPr>
        <w:pStyle w:val="3"/>
        <w:rPr>
          <w:rFonts w:eastAsia="宋体"/>
        </w:rPr>
      </w:pPr>
      <w:r>
        <w:rPr>
          <w:rFonts w:eastAsia="宋体"/>
        </w:rPr>
        <w:t>Agri-food demand targets</w:t>
      </w:r>
    </w:p>
    <w:p w14:paraId="04085515" w14:textId="3B2293C9" w:rsidR="002A1696" w:rsidRDefault="00C30874">
      <w:pPr>
        <w:spacing w:before="156" w:after="120"/>
        <w:ind w:firstLine="420"/>
        <w:rPr>
          <w:rFonts w:eastAsiaTheme="minorEastAsia" w:cs="Times New Roman"/>
        </w:rPr>
      </w:pPr>
      <w:r>
        <w:rPr>
          <w:rFonts w:eastAsiaTheme="minorEastAsia" w:cs="Times New Roman"/>
        </w:rPr>
        <w:t>Agri-food demand targets are imposed in every scenario as a hard constraint. For 27 of the 28 agricultural commodities tracked in LUTO2, the annual production in year</w:t>
      </w:r>
      <w:r>
        <w:rPr>
          <w:rFonts w:eastAsiaTheme="minorEastAsia" w:cs="Times New Roman" w:hint="eastAsia"/>
        </w:rPr>
        <w:t xml:space="preserve"> </w:t>
      </w:r>
      <w:r>
        <w:rPr>
          <w:i/>
          <w:iCs/>
        </w:rPr>
        <w:t>t</w:t>
      </w:r>
      <w:r>
        <w:t xml:space="preserve"> is required to equal the projected demand for that commodity. Wool is treated separately because it is jointly produced with sheep meat and cannot be controlled independently, and is instead constrained to remain between 100% and 150% of its demand target. Scenario-specific demand trajectories combine projected domestic consumption, exports, imports, and livestock feed, and are constructed using the procedure described in Section 2.4 above.</w:t>
      </w:r>
    </w:p>
    <w:p w14:paraId="6C32C9D9" w14:textId="3ACAAE85" w:rsidR="00321287" w:rsidRDefault="00C30874" w:rsidP="00AF27D7">
      <w:pPr>
        <w:pStyle w:val="1"/>
        <w:pageBreakBefore/>
      </w:pPr>
      <w:r>
        <w:lastRenderedPageBreak/>
        <w:t>Supplementary Tables</w:t>
      </w:r>
      <w:bookmarkStart w:id="1" w:name="_RefCXSTable1"/>
    </w:p>
    <w:p w14:paraId="0CC6812A" w14:textId="3578F815" w:rsidR="00321287" w:rsidRPr="00682604" w:rsidRDefault="00AF27D7" w:rsidP="00AF27D7">
      <w:pPr>
        <w:pStyle w:val="afe"/>
      </w:pPr>
      <w:r>
        <w:rPr>
          <w:b/>
          <w:bCs/>
        </w:rPr>
        <w:t>Table S</w:t>
      </w:r>
      <w:r>
        <w:rPr>
          <w:b/>
          <w:bCs/>
        </w:rPr>
        <w:fldChar w:fldCharType="begin"/>
      </w:r>
      <w:r>
        <w:rPr>
          <w:b/>
          <w:bCs/>
        </w:rPr>
        <w:instrText xml:space="preserve"> SEQ Table_S \* ARABIC </w:instrText>
      </w:r>
      <w:r>
        <w:rPr>
          <w:b/>
          <w:bCs/>
        </w:rPr>
        <w:fldChar w:fldCharType="separate"/>
      </w:r>
      <w:r>
        <w:rPr>
          <w:b/>
          <w:bCs/>
          <w:noProof/>
        </w:rPr>
        <w:t>1</w:t>
      </w:r>
      <w:r>
        <w:rPr>
          <w:b/>
          <w:bCs/>
        </w:rPr>
        <w:fldChar w:fldCharType="end"/>
      </w:r>
      <w:r>
        <w:rPr>
          <w:b/>
          <w:bCs/>
        </w:rPr>
        <w:t>. Core modelling assumptions and baseline settings used in all LUTO2 simulations.</w:t>
      </w:r>
      <w:r>
        <w:t xml:space="preserve"> The table summarises key assumptions and configuration settings that were held constant across all scenario simulations, including optimisation settings, spatial and temporal resolution, and food demand assumptions.</w:t>
      </w:r>
    </w:p>
    <w:tbl>
      <w:tblPr>
        <w:tblW w:w="14662" w:type="dxa"/>
        <w:tblBorders>
          <w:top w:val="single" w:sz="18" w:space="0" w:color="000000"/>
          <w:bottom w:val="single" w:sz="18" w:space="0" w:color="000000"/>
        </w:tblBorders>
        <w:tblLayout w:type="fixed"/>
        <w:tblLook w:val="0400" w:firstRow="0" w:lastRow="0" w:firstColumn="0" w:lastColumn="0" w:noHBand="0" w:noVBand="1"/>
      </w:tblPr>
      <w:tblGrid>
        <w:gridCol w:w="2967"/>
        <w:gridCol w:w="1853"/>
        <w:gridCol w:w="3458"/>
        <w:gridCol w:w="3192"/>
        <w:gridCol w:w="3192"/>
      </w:tblGrid>
      <w:tr w:rsidR="00321287" w:rsidRPr="00406B5A" w14:paraId="79180ED2" w14:textId="77777777" w:rsidTr="009F7137">
        <w:trPr>
          <w:gridAfter w:val="2"/>
          <w:wAfter w:w="6384" w:type="dxa"/>
          <w:trHeight w:val="289"/>
        </w:trPr>
        <w:tc>
          <w:tcPr>
            <w:tcW w:w="2967" w:type="dxa"/>
            <w:tcBorders>
              <w:top w:val="single" w:sz="12" w:space="0" w:color="000000"/>
              <w:bottom w:val="single" w:sz="8" w:space="0" w:color="000000"/>
            </w:tcBorders>
            <w:vAlign w:val="center"/>
          </w:tcPr>
          <w:p w14:paraId="3655EAB8"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Parameter</w:t>
            </w:r>
          </w:p>
        </w:tc>
        <w:tc>
          <w:tcPr>
            <w:tcW w:w="1853" w:type="dxa"/>
            <w:tcBorders>
              <w:top w:val="single" w:sz="12" w:space="0" w:color="000000"/>
              <w:bottom w:val="single" w:sz="8" w:space="0" w:color="000000"/>
            </w:tcBorders>
            <w:vAlign w:val="center"/>
          </w:tcPr>
          <w:p w14:paraId="191A731B"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Value</w:t>
            </w:r>
          </w:p>
        </w:tc>
        <w:tc>
          <w:tcPr>
            <w:tcW w:w="3458" w:type="dxa"/>
            <w:tcBorders>
              <w:top w:val="single" w:sz="12" w:space="0" w:color="000000"/>
              <w:bottom w:val="single" w:sz="8" w:space="0" w:color="000000"/>
            </w:tcBorders>
            <w:vAlign w:val="center"/>
          </w:tcPr>
          <w:p w14:paraId="26BE999E"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Notes</w:t>
            </w:r>
          </w:p>
        </w:tc>
      </w:tr>
      <w:tr w:rsidR="00321287" w:rsidRPr="00406B5A" w14:paraId="5A4FBA56" w14:textId="77777777" w:rsidTr="00A37C93">
        <w:trPr>
          <w:trHeight w:val="289"/>
        </w:trPr>
        <w:tc>
          <w:tcPr>
            <w:tcW w:w="8278" w:type="dxa"/>
            <w:gridSpan w:val="3"/>
            <w:tcBorders>
              <w:top w:val="single" w:sz="8" w:space="0" w:color="000000"/>
              <w:bottom w:val="nil"/>
            </w:tcBorders>
            <w:vAlign w:val="center"/>
          </w:tcPr>
          <w:p w14:paraId="2AFD98FC" w14:textId="77777777" w:rsidR="00321287" w:rsidRPr="00406B5A" w:rsidRDefault="00321287" w:rsidP="003E1D72">
            <w:pPr>
              <w:keepNext/>
              <w:keepLines/>
              <w:widowControl/>
              <w:suppressAutoHyphens w:val="0"/>
              <w:ind w:firstLineChars="0" w:firstLine="0"/>
              <w:rPr>
                <w:rFonts w:ascii="Arial" w:eastAsia="宋体" w:hAnsi="Arial" w:cs="Arial"/>
                <w:b/>
                <w:bCs/>
                <w:color w:val="000000"/>
                <w:kern w:val="0"/>
                <w:sz w:val="20"/>
                <w:szCs w:val="20"/>
                <w:lang w:val="en"/>
                <w14:ligatures w14:val="none"/>
              </w:rPr>
            </w:pPr>
            <w:r>
              <w:rPr>
                <w:rFonts w:ascii="Arial" w:eastAsia="宋体" w:hAnsi="Arial" w:cs="Arial"/>
                <w:b/>
                <w:bCs/>
                <w:color w:val="000000"/>
                <w:kern w:val="0"/>
                <w:sz w:val="20"/>
                <w:szCs w:val="20"/>
                <w:lang w:val="en"/>
                <w14:ligatures w14:val="none"/>
              </w:rPr>
              <w:t>Model structure</w:t>
            </w:r>
          </w:p>
        </w:tc>
        <w:tc>
          <w:tcPr>
            <w:tcW w:w="3192" w:type="dxa"/>
            <w:vAlign w:val="center"/>
          </w:tcPr>
          <w:p w14:paraId="5DE2B76A" w14:textId="77777777" w:rsidR="00321287" w:rsidRPr="00406B5A" w:rsidRDefault="00321287" w:rsidP="003E1D72">
            <w:pPr>
              <w:keepNext/>
              <w:keepLines/>
              <w:widowControl/>
              <w:suppressAutoHyphens w:val="0"/>
              <w:ind w:firstLineChars="0" w:firstLine="0"/>
              <w:rPr>
                <w:rFonts w:ascii="Arial" w:eastAsia="宋体" w:hAnsi="Arial" w:cs="Arial"/>
                <w:kern w:val="0"/>
                <w:sz w:val="20"/>
                <w:szCs w:val="20"/>
                <w:lang w:val="en"/>
                <w14:ligatures w14:val="none"/>
              </w:rPr>
            </w:pPr>
          </w:p>
        </w:tc>
        <w:tc>
          <w:tcPr>
            <w:tcW w:w="3192" w:type="dxa"/>
            <w:vAlign w:val="center"/>
          </w:tcPr>
          <w:p w14:paraId="5DA33C5E" w14:textId="77777777" w:rsidR="00321287" w:rsidRPr="00406B5A" w:rsidRDefault="00321287" w:rsidP="003E1D72">
            <w:pPr>
              <w:keepNext/>
              <w:keepLines/>
              <w:widowControl/>
              <w:suppressAutoHyphens w:val="0"/>
              <w:ind w:firstLineChars="0" w:firstLine="0"/>
              <w:rPr>
                <w:rFonts w:ascii="Arial" w:eastAsia="宋体" w:hAnsi="Arial" w:cs="Arial"/>
                <w:kern w:val="0"/>
                <w:sz w:val="20"/>
                <w:szCs w:val="20"/>
                <w:lang w:val="en"/>
                <w14:ligatures w14:val="none"/>
              </w:rPr>
            </w:pPr>
          </w:p>
        </w:tc>
      </w:tr>
      <w:tr w:rsidR="00321287" w:rsidRPr="00406B5A" w14:paraId="145D1122" w14:textId="77777777" w:rsidTr="009F7137">
        <w:trPr>
          <w:gridAfter w:val="2"/>
          <w:wAfter w:w="6384" w:type="dxa"/>
          <w:trHeight w:val="289"/>
        </w:trPr>
        <w:tc>
          <w:tcPr>
            <w:tcW w:w="2967" w:type="dxa"/>
            <w:tcBorders>
              <w:top w:val="nil"/>
            </w:tcBorders>
            <w:vAlign w:val="center"/>
          </w:tcPr>
          <w:p w14:paraId="3FAC6D6D"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Objective</w:t>
            </w:r>
          </w:p>
        </w:tc>
        <w:tc>
          <w:tcPr>
            <w:tcW w:w="1853" w:type="dxa"/>
            <w:tcBorders>
              <w:top w:val="nil"/>
            </w:tcBorders>
            <w:vAlign w:val="center"/>
          </w:tcPr>
          <w:p w14:paraId="54EED5EC"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Maximise profit</w:t>
            </w:r>
          </w:p>
        </w:tc>
        <w:tc>
          <w:tcPr>
            <w:tcW w:w="3458" w:type="dxa"/>
            <w:tcBorders>
              <w:top w:val="nil"/>
            </w:tcBorders>
            <w:vAlign w:val="center"/>
          </w:tcPr>
          <w:p w14:paraId="6991AB14"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Pursue maximum net returns</w:t>
            </w:r>
          </w:p>
        </w:tc>
      </w:tr>
      <w:tr w:rsidR="00321287" w:rsidRPr="00406B5A" w14:paraId="66C6B6FC" w14:textId="77777777" w:rsidTr="009F7137">
        <w:trPr>
          <w:gridAfter w:val="2"/>
          <w:wAfter w:w="6384" w:type="dxa"/>
          <w:trHeight w:val="289"/>
        </w:trPr>
        <w:tc>
          <w:tcPr>
            <w:tcW w:w="2967" w:type="dxa"/>
            <w:vAlign w:val="center"/>
          </w:tcPr>
          <w:p w14:paraId="51670A49"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Spatial resolution</w:t>
            </w:r>
          </w:p>
        </w:tc>
        <w:tc>
          <w:tcPr>
            <w:tcW w:w="1853" w:type="dxa"/>
            <w:vAlign w:val="center"/>
          </w:tcPr>
          <w:p w14:paraId="7902708D"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RESFACTOR = 3</w:t>
            </w:r>
          </w:p>
        </w:tc>
        <w:tc>
          <w:tcPr>
            <w:tcW w:w="3458" w:type="dxa"/>
            <w:vAlign w:val="center"/>
          </w:tcPr>
          <w:p w14:paraId="6DA4CFD9"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~900 ha cell</w:t>
            </w:r>
          </w:p>
        </w:tc>
      </w:tr>
      <w:tr w:rsidR="00321287" w:rsidRPr="00406B5A" w14:paraId="00BCB616" w14:textId="77777777" w:rsidTr="009F7137">
        <w:trPr>
          <w:gridAfter w:val="2"/>
          <w:wAfter w:w="6384" w:type="dxa"/>
          <w:trHeight w:val="289"/>
        </w:trPr>
        <w:tc>
          <w:tcPr>
            <w:tcW w:w="2967" w:type="dxa"/>
            <w:vAlign w:val="center"/>
          </w:tcPr>
          <w:p w14:paraId="7066C4D3"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Simulation period</w:t>
            </w:r>
          </w:p>
        </w:tc>
        <w:tc>
          <w:tcPr>
            <w:tcW w:w="1853" w:type="dxa"/>
            <w:vAlign w:val="center"/>
          </w:tcPr>
          <w:p w14:paraId="3199C658"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2010–2050 (annual)</w:t>
            </w:r>
          </w:p>
        </w:tc>
        <w:tc>
          <w:tcPr>
            <w:tcW w:w="3458" w:type="dxa"/>
            <w:vAlign w:val="center"/>
          </w:tcPr>
          <w:p w14:paraId="735AE2D3"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Base year 2010</w:t>
            </w:r>
          </w:p>
        </w:tc>
      </w:tr>
      <w:tr w:rsidR="00321287" w:rsidRPr="00406B5A" w14:paraId="4620020D" w14:textId="77777777" w:rsidTr="009F7137">
        <w:trPr>
          <w:gridAfter w:val="2"/>
          <w:wAfter w:w="6384" w:type="dxa"/>
          <w:trHeight w:val="289"/>
        </w:trPr>
        <w:tc>
          <w:tcPr>
            <w:tcW w:w="2967" w:type="dxa"/>
            <w:vAlign w:val="center"/>
          </w:tcPr>
          <w:p w14:paraId="62A22004"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Carbon accumulation window</w:t>
            </w:r>
          </w:p>
        </w:tc>
        <w:tc>
          <w:tcPr>
            <w:tcW w:w="1853" w:type="dxa"/>
            <w:vAlign w:val="center"/>
          </w:tcPr>
          <w:p w14:paraId="00B311E0"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60 years</w:t>
            </w:r>
          </w:p>
        </w:tc>
        <w:tc>
          <w:tcPr>
            <w:tcW w:w="3458" w:type="dxa"/>
            <w:vAlign w:val="center"/>
          </w:tcPr>
          <w:p w14:paraId="70C163D6"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For tree-planting sequestration averaging</w:t>
            </w:r>
          </w:p>
        </w:tc>
      </w:tr>
      <w:tr w:rsidR="00321287" w:rsidRPr="00406B5A" w14:paraId="22238359" w14:textId="77777777" w:rsidTr="009F7137">
        <w:trPr>
          <w:gridAfter w:val="2"/>
          <w:wAfter w:w="6384" w:type="dxa"/>
          <w:trHeight w:val="289"/>
        </w:trPr>
        <w:tc>
          <w:tcPr>
            <w:tcW w:w="2967" w:type="dxa"/>
            <w:vAlign w:val="center"/>
          </w:tcPr>
          <w:p w14:paraId="54FB94F2"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kern w:val="0"/>
                <w:sz w:val="20"/>
                <w:szCs w:val="20"/>
                <w:lang w:val="en"/>
                <w14:ligatures w14:val="none"/>
              </w:rPr>
              <w:t>Natural Resource Management</w:t>
            </w:r>
          </w:p>
        </w:tc>
        <w:tc>
          <w:tcPr>
            <w:tcW w:w="1853" w:type="dxa"/>
            <w:vAlign w:val="center"/>
          </w:tcPr>
          <w:p w14:paraId="528DFB27"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Enable</w:t>
            </w:r>
          </w:p>
        </w:tc>
        <w:tc>
          <w:tcPr>
            <w:tcW w:w="3458" w:type="dxa"/>
            <w:vAlign w:val="center"/>
          </w:tcPr>
          <w:p w14:paraId="2BE8EEF2"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The constraint limits the combined area allocated to all non-agricultural land uses to no more than 15% of the modelled land area within each natural resource management region.</w:t>
            </w:r>
          </w:p>
        </w:tc>
      </w:tr>
      <w:tr w:rsidR="00321287" w:rsidRPr="00406B5A" w14:paraId="139B765B" w14:textId="77777777" w:rsidTr="00A37C93">
        <w:trPr>
          <w:gridAfter w:val="2"/>
          <w:wAfter w:w="6384" w:type="dxa"/>
          <w:trHeight w:val="289"/>
        </w:trPr>
        <w:tc>
          <w:tcPr>
            <w:tcW w:w="8278" w:type="dxa"/>
            <w:gridSpan w:val="3"/>
            <w:vAlign w:val="center"/>
          </w:tcPr>
          <w:p w14:paraId="4772A11B" w14:textId="77777777" w:rsidR="00321287" w:rsidRPr="00406B5A" w:rsidRDefault="00321287" w:rsidP="003E1D72">
            <w:pPr>
              <w:keepNext/>
              <w:keepLines/>
              <w:widowControl/>
              <w:suppressAutoHyphens w:val="0"/>
              <w:ind w:firstLineChars="0" w:firstLine="0"/>
              <w:jc w:val="left"/>
              <w:rPr>
                <w:rFonts w:ascii="Arial" w:eastAsia="宋体" w:hAnsi="Arial" w:cs="Arial"/>
                <w:b/>
                <w:bCs/>
                <w:color w:val="000000"/>
                <w:kern w:val="0"/>
                <w:sz w:val="20"/>
                <w:szCs w:val="20"/>
                <w:lang w:val="en"/>
                <w14:ligatures w14:val="none"/>
              </w:rPr>
            </w:pPr>
            <w:r>
              <w:rPr>
                <w:rFonts w:ascii="Arial" w:eastAsia="宋体" w:hAnsi="Arial" w:cs="Arial"/>
                <w:b/>
                <w:bCs/>
                <w:color w:val="000000"/>
                <w:kern w:val="0"/>
                <w:sz w:val="20"/>
                <w:szCs w:val="20"/>
                <w:lang w:val="en"/>
                <w14:ligatures w14:val="none"/>
              </w:rPr>
              <w:t>Climate and socioeconomic settings</w:t>
            </w:r>
          </w:p>
        </w:tc>
      </w:tr>
      <w:tr w:rsidR="00321287" w:rsidRPr="00406B5A" w14:paraId="2DDDE445" w14:textId="77777777" w:rsidTr="009F7137">
        <w:trPr>
          <w:gridAfter w:val="2"/>
          <w:wAfter w:w="6384" w:type="dxa"/>
          <w:trHeight w:val="289"/>
        </w:trPr>
        <w:tc>
          <w:tcPr>
            <w:tcW w:w="2967" w:type="dxa"/>
            <w:vAlign w:val="center"/>
          </w:tcPr>
          <w:p w14:paraId="4E1849F7"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Socioeconomic pathway</w:t>
            </w:r>
          </w:p>
        </w:tc>
        <w:tc>
          <w:tcPr>
            <w:tcW w:w="1853" w:type="dxa"/>
            <w:vAlign w:val="center"/>
          </w:tcPr>
          <w:p w14:paraId="14DA5875"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SSP2</w:t>
            </w:r>
          </w:p>
        </w:tc>
        <w:tc>
          <w:tcPr>
            <w:tcW w:w="3458" w:type="dxa"/>
            <w:vAlign w:val="center"/>
          </w:tcPr>
          <w:p w14:paraId="17803E2C"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Business-as-usual socioeconomic development pathway</w:t>
            </w:r>
          </w:p>
        </w:tc>
      </w:tr>
      <w:tr w:rsidR="00321287" w:rsidRPr="00406B5A" w14:paraId="4B25F3A7" w14:textId="77777777" w:rsidTr="009F7137">
        <w:trPr>
          <w:gridAfter w:val="2"/>
          <w:wAfter w:w="6384" w:type="dxa"/>
          <w:trHeight w:val="289"/>
        </w:trPr>
        <w:tc>
          <w:tcPr>
            <w:tcW w:w="2967" w:type="dxa"/>
            <w:vAlign w:val="center"/>
          </w:tcPr>
          <w:p w14:paraId="348AED14"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Climate scenario</w:t>
            </w:r>
          </w:p>
        </w:tc>
        <w:tc>
          <w:tcPr>
            <w:tcW w:w="1853" w:type="dxa"/>
            <w:vAlign w:val="center"/>
          </w:tcPr>
          <w:p w14:paraId="50B5F314"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RCP4.5</w:t>
            </w:r>
          </w:p>
        </w:tc>
        <w:tc>
          <w:tcPr>
            <w:tcW w:w="3458" w:type="dxa"/>
            <w:vAlign w:val="center"/>
          </w:tcPr>
          <w:p w14:paraId="6F3B25CC"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CMIP6 climate forcing pathway</w:t>
            </w:r>
          </w:p>
        </w:tc>
      </w:tr>
      <w:tr w:rsidR="00321287" w:rsidRPr="00406B5A" w14:paraId="6E625EE3" w14:textId="77777777" w:rsidTr="009F7137">
        <w:trPr>
          <w:gridAfter w:val="2"/>
          <w:wAfter w:w="6384" w:type="dxa"/>
          <w:trHeight w:val="289"/>
        </w:trPr>
        <w:tc>
          <w:tcPr>
            <w:tcW w:w="2967" w:type="dxa"/>
            <w:vAlign w:val="center"/>
          </w:tcPr>
          <w:p w14:paraId="0A0120C4"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Climate impacts on productivity</w:t>
            </w:r>
          </w:p>
        </w:tc>
        <w:tc>
          <w:tcPr>
            <w:tcW w:w="1853" w:type="dxa"/>
            <w:vAlign w:val="center"/>
          </w:tcPr>
          <w:p w14:paraId="6852C389"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Enable</w:t>
            </w:r>
          </w:p>
        </w:tc>
        <w:tc>
          <w:tcPr>
            <w:tcW w:w="3458" w:type="dxa"/>
            <w:vAlign w:val="center"/>
          </w:tcPr>
          <w:p w14:paraId="4A2451C9"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GAEZ-derived climate productivity modifiers</w:t>
            </w:r>
          </w:p>
        </w:tc>
      </w:tr>
      <w:tr w:rsidR="00321287" w:rsidRPr="00406B5A" w14:paraId="24FD27E2" w14:textId="77777777" w:rsidTr="009F7137">
        <w:trPr>
          <w:gridAfter w:val="2"/>
          <w:wAfter w:w="6384" w:type="dxa"/>
          <w:trHeight w:val="289"/>
        </w:trPr>
        <w:tc>
          <w:tcPr>
            <w:tcW w:w="2967" w:type="dxa"/>
            <w:vAlign w:val="center"/>
          </w:tcPr>
          <w:p w14:paraId="4EDF269F"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Climate impacts on water yield</w:t>
            </w:r>
          </w:p>
        </w:tc>
        <w:tc>
          <w:tcPr>
            <w:tcW w:w="1853" w:type="dxa"/>
            <w:vAlign w:val="center"/>
          </w:tcPr>
          <w:p w14:paraId="61D97ADA"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Enable</w:t>
            </w:r>
          </w:p>
        </w:tc>
        <w:tc>
          <w:tcPr>
            <w:tcW w:w="3458" w:type="dxa"/>
            <w:vAlign w:val="center"/>
          </w:tcPr>
          <w:p w14:paraId="6F4AD5E8" w14:textId="77777777" w:rsidR="00321287" w:rsidRPr="00406B5A" w:rsidRDefault="00321287" w:rsidP="003E1D72">
            <w:pPr>
              <w:keepNext/>
              <w:keepLines/>
              <w:widowControl/>
              <w:suppressAutoHyphens w:val="0"/>
              <w:ind w:firstLineChars="0" w:firstLine="0"/>
              <w:jc w:val="left"/>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CMIP6 climate projections applied to hydrological modelling</w:t>
            </w:r>
          </w:p>
        </w:tc>
      </w:tr>
      <w:tr w:rsidR="00321287" w:rsidRPr="00406B5A" w14:paraId="7197A39A" w14:textId="77777777" w:rsidTr="00A37C93">
        <w:trPr>
          <w:gridAfter w:val="2"/>
          <w:wAfter w:w="6384" w:type="dxa"/>
          <w:trHeight w:val="289"/>
        </w:trPr>
        <w:tc>
          <w:tcPr>
            <w:tcW w:w="8278" w:type="dxa"/>
            <w:gridSpan w:val="3"/>
            <w:vAlign w:val="center"/>
          </w:tcPr>
          <w:p w14:paraId="1EEFD3A8" w14:textId="77777777" w:rsidR="00321287" w:rsidRPr="00406B5A" w:rsidRDefault="00321287" w:rsidP="003E1D72">
            <w:pPr>
              <w:keepNext/>
              <w:keepLines/>
              <w:widowControl/>
              <w:suppressAutoHyphens w:val="0"/>
              <w:ind w:firstLineChars="0" w:firstLine="0"/>
              <w:rPr>
                <w:rFonts w:ascii="Arial" w:eastAsia="宋体" w:hAnsi="Arial" w:cs="Arial"/>
                <w:b/>
                <w:bCs/>
                <w:kern w:val="0"/>
                <w:sz w:val="20"/>
                <w:szCs w:val="20"/>
                <w:lang w:val="en"/>
                <w14:ligatures w14:val="none"/>
              </w:rPr>
            </w:pPr>
            <w:r>
              <w:rPr>
                <w:rFonts w:ascii="Arial" w:eastAsia="宋体" w:hAnsi="Arial" w:cs="Arial"/>
                <w:b/>
                <w:bCs/>
                <w:color w:val="000000"/>
                <w:kern w:val="0"/>
                <w:sz w:val="20"/>
                <w:szCs w:val="20"/>
                <w:lang w:val="en"/>
                <w14:ligatures w14:val="none"/>
              </w:rPr>
              <w:t>Demand</w:t>
            </w:r>
          </w:p>
        </w:tc>
      </w:tr>
      <w:tr w:rsidR="00321287" w:rsidRPr="00406B5A" w14:paraId="59B12318" w14:textId="77777777" w:rsidTr="009F7137">
        <w:trPr>
          <w:gridAfter w:val="2"/>
          <w:wAfter w:w="6384" w:type="dxa"/>
          <w:trHeight w:val="289"/>
        </w:trPr>
        <w:tc>
          <w:tcPr>
            <w:tcW w:w="2967" w:type="dxa"/>
            <w:vAlign w:val="center"/>
          </w:tcPr>
          <w:p w14:paraId="616C4766"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Domestic diet</w:t>
            </w:r>
          </w:p>
        </w:tc>
        <w:tc>
          <w:tcPr>
            <w:tcW w:w="1853" w:type="dxa"/>
            <w:vAlign w:val="center"/>
          </w:tcPr>
          <w:p w14:paraId="11FC0905"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BAU</w:t>
            </w:r>
          </w:p>
        </w:tc>
        <w:tc>
          <w:tcPr>
            <w:tcW w:w="3458" w:type="dxa"/>
            <w:vAlign w:val="center"/>
          </w:tcPr>
          <w:p w14:paraId="0CF2CD0D"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No dietary shift</w:t>
            </w:r>
          </w:p>
        </w:tc>
      </w:tr>
      <w:tr w:rsidR="00321287" w:rsidRPr="00406B5A" w14:paraId="3E0AEB65" w14:textId="77777777" w:rsidTr="009F7137">
        <w:trPr>
          <w:gridAfter w:val="2"/>
          <w:wAfter w:w="6384" w:type="dxa"/>
          <w:trHeight w:val="289"/>
        </w:trPr>
        <w:tc>
          <w:tcPr>
            <w:tcW w:w="2967" w:type="dxa"/>
            <w:vAlign w:val="center"/>
          </w:tcPr>
          <w:p w14:paraId="7B9C3279"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Global diet</w:t>
            </w:r>
          </w:p>
        </w:tc>
        <w:tc>
          <w:tcPr>
            <w:tcW w:w="1853" w:type="dxa"/>
            <w:vAlign w:val="center"/>
          </w:tcPr>
          <w:p w14:paraId="3249353C"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BAU</w:t>
            </w:r>
          </w:p>
        </w:tc>
        <w:tc>
          <w:tcPr>
            <w:tcW w:w="3458" w:type="dxa"/>
            <w:vAlign w:val="center"/>
          </w:tcPr>
          <w:p w14:paraId="3D8BFA37"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No dietary shift</w:t>
            </w:r>
          </w:p>
        </w:tc>
      </w:tr>
      <w:tr w:rsidR="00321287" w:rsidRPr="00406B5A" w14:paraId="09C25BE5" w14:textId="77777777" w:rsidTr="009F7137">
        <w:trPr>
          <w:gridAfter w:val="2"/>
          <w:wAfter w:w="6384" w:type="dxa"/>
          <w:trHeight w:val="289"/>
        </w:trPr>
        <w:tc>
          <w:tcPr>
            <w:tcW w:w="2967" w:type="dxa"/>
            <w:vAlign w:val="center"/>
          </w:tcPr>
          <w:p w14:paraId="43F54C3F"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Food waste</w:t>
            </w:r>
          </w:p>
        </w:tc>
        <w:tc>
          <w:tcPr>
            <w:tcW w:w="1853" w:type="dxa"/>
            <w:vAlign w:val="center"/>
          </w:tcPr>
          <w:p w14:paraId="347ADC76"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Baseline (×1.0)</w:t>
            </w:r>
          </w:p>
        </w:tc>
        <w:tc>
          <w:tcPr>
            <w:tcW w:w="3458" w:type="dxa"/>
            <w:vAlign w:val="center"/>
          </w:tcPr>
          <w:p w14:paraId="686870F5"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No waste reduction</w:t>
            </w:r>
          </w:p>
        </w:tc>
      </w:tr>
      <w:tr w:rsidR="00321287" w:rsidRPr="00406B5A" w14:paraId="5FD1E99F" w14:textId="77777777" w:rsidTr="009F7137">
        <w:trPr>
          <w:gridAfter w:val="2"/>
          <w:wAfter w:w="6384" w:type="dxa"/>
          <w:trHeight w:val="289"/>
        </w:trPr>
        <w:tc>
          <w:tcPr>
            <w:tcW w:w="2967" w:type="dxa"/>
            <w:vAlign w:val="center"/>
          </w:tcPr>
          <w:p w14:paraId="004C2175"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Feed efficiency</w:t>
            </w:r>
          </w:p>
        </w:tc>
        <w:tc>
          <w:tcPr>
            <w:tcW w:w="1853" w:type="dxa"/>
            <w:vAlign w:val="center"/>
          </w:tcPr>
          <w:p w14:paraId="03AC4100"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BAU</w:t>
            </w:r>
          </w:p>
        </w:tc>
        <w:tc>
          <w:tcPr>
            <w:tcW w:w="3458" w:type="dxa"/>
            <w:vAlign w:val="center"/>
          </w:tcPr>
          <w:p w14:paraId="02465906"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No livestock efficiency improvement</w:t>
            </w:r>
          </w:p>
        </w:tc>
      </w:tr>
      <w:tr w:rsidR="00321287" w:rsidRPr="00406B5A" w14:paraId="09623319" w14:textId="77777777" w:rsidTr="009F7137">
        <w:trPr>
          <w:gridAfter w:val="2"/>
          <w:wAfter w:w="6384" w:type="dxa"/>
          <w:trHeight w:val="289"/>
        </w:trPr>
        <w:tc>
          <w:tcPr>
            <w:tcW w:w="2967" w:type="dxa"/>
            <w:vAlign w:val="center"/>
          </w:tcPr>
          <w:p w14:paraId="12FC5366"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Demand constraint type</w:t>
            </w:r>
          </w:p>
        </w:tc>
        <w:tc>
          <w:tcPr>
            <w:tcW w:w="1853" w:type="dxa"/>
            <w:vAlign w:val="center"/>
          </w:tcPr>
          <w:p w14:paraId="7518233A"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Hard</w:t>
            </w:r>
          </w:p>
        </w:tc>
        <w:tc>
          <w:tcPr>
            <w:tcW w:w="3458" w:type="dxa"/>
            <w:vAlign w:val="center"/>
          </w:tcPr>
          <w:p w14:paraId="3A0C6A99"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Production of 27 commodities must equal demand targets. Wool is constrained to 100–150% of demand because it is jointly produced with sheep meat.</w:t>
            </w:r>
          </w:p>
        </w:tc>
      </w:tr>
      <w:tr w:rsidR="00321287" w:rsidRPr="00406B5A" w14:paraId="49D1AB41" w14:textId="77777777" w:rsidTr="00A37C93">
        <w:trPr>
          <w:gridAfter w:val="2"/>
          <w:wAfter w:w="6384" w:type="dxa"/>
          <w:trHeight w:val="289"/>
        </w:trPr>
        <w:tc>
          <w:tcPr>
            <w:tcW w:w="8278" w:type="dxa"/>
            <w:gridSpan w:val="3"/>
            <w:vAlign w:val="center"/>
          </w:tcPr>
          <w:p w14:paraId="174EEC73" w14:textId="77777777" w:rsidR="00321287" w:rsidRPr="00406B5A" w:rsidRDefault="00321287" w:rsidP="003E1D72">
            <w:pPr>
              <w:keepNext/>
              <w:keepLines/>
              <w:widowControl/>
              <w:suppressAutoHyphens w:val="0"/>
              <w:ind w:firstLineChars="0" w:firstLine="0"/>
              <w:rPr>
                <w:rFonts w:ascii="Arial" w:eastAsia="宋体" w:hAnsi="Arial" w:cs="Arial"/>
                <w:b/>
                <w:bCs/>
                <w:kern w:val="0"/>
                <w:sz w:val="20"/>
                <w:szCs w:val="20"/>
                <w:lang w:val="en"/>
                <w14:ligatures w14:val="none"/>
              </w:rPr>
            </w:pPr>
            <w:r>
              <w:rPr>
                <w:rFonts w:ascii="Arial" w:eastAsia="宋体" w:hAnsi="Arial" w:cs="Arial"/>
                <w:b/>
                <w:bCs/>
                <w:color w:val="000000"/>
                <w:kern w:val="0"/>
                <w:sz w:val="20"/>
                <w:szCs w:val="20"/>
                <w:lang w:val="en"/>
                <w14:ligatures w14:val="none"/>
              </w:rPr>
              <w:t>Water</w:t>
            </w:r>
          </w:p>
        </w:tc>
      </w:tr>
      <w:tr w:rsidR="00321287" w:rsidRPr="00406B5A" w14:paraId="610845C3" w14:textId="77777777" w:rsidTr="009F7137">
        <w:trPr>
          <w:gridAfter w:val="2"/>
          <w:wAfter w:w="6384" w:type="dxa"/>
          <w:trHeight w:val="80"/>
        </w:trPr>
        <w:tc>
          <w:tcPr>
            <w:tcW w:w="2967" w:type="dxa"/>
            <w:tcBorders>
              <w:bottom w:val="single" w:sz="12" w:space="0" w:color="000000"/>
            </w:tcBorders>
            <w:vAlign w:val="center"/>
          </w:tcPr>
          <w:p w14:paraId="0BA3AE4A"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Water licence costs</w:t>
            </w:r>
          </w:p>
        </w:tc>
        <w:tc>
          <w:tcPr>
            <w:tcW w:w="1853" w:type="dxa"/>
            <w:tcBorders>
              <w:bottom w:val="single" w:sz="12" w:space="0" w:color="000000"/>
            </w:tcBorders>
            <w:vAlign w:val="center"/>
          </w:tcPr>
          <w:p w14:paraId="2161FFE9"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Enable</w:t>
            </w:r>
          </w:p>
        </w:tc>
        <w:tc>
          <w:tcPr>
            <w:tcW w:w="3458" w:type="dxa"/>
            <w:tcBorders>
              <w:bottom w:val="single" w:sz="12" w:space="0" w:color="000000"/>
            </w:tcBorders>
            <w:vAlign w:val="center"/>
          </w:tcPr>
          <w:p w14:paraId="47A35BDF" w14:textId="77777777" w:rsidR="00321287" w:rsidRPr="00406B5A" w:rsidRDefault="00321287" w:rsidP="003E1D72">
            <w:pPr>
              <w:keepNext/>
              <w:keepLines/>
              <w:widowControl/>
              <w:suppressAutoHyphens w:val="0"/>
              <w:ind w:firstLineChars="0" w:firstLine="0"/>
              <w:rPr>
                <w:rFonts w:ascii="Arial" w:eastAsia="宋体" w:hAnsi="Arial" w:cs="Arial"/>
                <w:color w:val="000000"/>
                <w:kern w:val="0"/>
                <w:sz w:val="20"/>
                <w:szCs w:val="20"/>
                <w:lang w:val="en"/>
                <w14:ligatures w14:val="none"/>
              </w:rPr>
            </w:pPr>
            <w:r>
              <w:rPr>
                <w:rFonts w:ascii="Arial" w:eastAsia="宋体" w:hAnsi="Arial" w:cs="Arial"/>
                <w:color w:val="000000"/>
                <w:kern w:val="0"/>
                <w:sz w:val="20"/>
                <w:szCs w:val="20"/>
                <w:lang w:val="en"/>
                <w14:ligatures w14:val="none"/>
              </w:rPr>
              <w:t>Included in economic calculations</w:t>
            </w:r>
          </w:p>
        </w:tc>
      </w:tr>
    </w:tbl>
    <w:p w14:paraId="0F19A101" w14:textId="77777777" w:rsidR="00321287" w:rsidRDefault="00321287" w:rsidP="003E1D72">
      <w:pPr>
        <w:keepNext/>
        <w:keepLines/>
        <w:ind w:firstLine="420"/>
      </w:pPr>
    </w:p>
    <w:bookmarkEnd w:id="1"/>
    <w:p w14:paraId="04085545" w14:textId="340F219A" w:rsidR="002A1696" w:rsidRDefault="005472BF" w:rsidP="00AA2FB0">
      <w:pPr>
        <w:pStyle w:val="TableName"/>
        <w:keepNext/>
        <w:keepLines/>
        <w:pageBreakBefore/>
      </w:pPr>
      <w:r>
        <w:rPr>
          <w:b/>
          <w:bCs/>
        </w:rPr>
        <w:lastRenderedPageBreak/>
        <w:t>Table S</w:t>
      </w:r>
      <w:r>
        <w:rPr>
          <w:b/>
          <w:bCs/>
        </w:rPr>
        <w:fldChar w:fldCharType="begin"/>
      </w:r>
      <w:r>
        <w:rPr>
          <w:b/>
          <w:bCs/>
        </w:rPr>
        <w:instrText xml:space="preserve"> SEQ Table_S \* ARABIC </w:instrText>
      </w:r>
      <w:r>
        <w:rPr>
          <w:b/>
          <w:bCs/>
        </w:rPr>
        <w:fldChar w:fldCharType="separate"/>
      </w:r>
      <w:r>
        <w:rPr>
          <w:b/>
          <w:bCs/>
          <w:noProof/>
        </w:rPr>
        <w:t>2</w:t>
      </w:r>
      <w:r>
        <w:rPr>
          <w:b/>
          <w:bCs/>
        </w:rPr>
        <w:fldChar w:fldCharType="end"/>
      </w:r>
      <w:r>
        <w:rPr>
          <w:b/>
          <w:bCs/>
        </w:rPr>
        <w:t>. Definition and description of non-agricultural land-use solutions used in the LUTO2 model.</w:t>
      </w:r>
      <w:r>
        <w:rPr>
          <w:rFonts w:hint="eastAsia"/>
          <w:b/>
          <w:bCs/>
        </w:rPr>
        <w:t xml:space="preserve"> </w:t>
      </w:r>
      <w:r>
        <w:t xml:space="preserve">Each non-agricultural land-use type represents a distinct approach to integrating </w:t>
      </w:r>
      <w:r>
        <w:rPr>
          <w:rFonts w:hint="eastAsia"/>
        </w:rPr>
        <w:t xml:space="preserve">agriculture and </w:t>
      </w:r>
      <w:r>
        <w:t>forestry into Australian landscapes, including varying spatial arrangements (block versus belt formations) and combinations with livestock production.</w:t>
      </w:r>
    </w:p>
    <w:tbl>
      <w:tblPr>
        <w:tblStyle w:val="aff3"/>
        <w:tblW w:w="8399" w:type="dxa"/>
        <w:tblLayout w:type="fixed"/>
        <w:tblCellMar>
          <w:top w:w="57" w:type="dxa"/>
          <w:left w:w="57" w:type="dxa"/>
          <w:bottom w:w="57" w:type="dxa"/>
          <w:right w:w="57" w:type="dxa"/>
        </w:tblCellMar>
        <w:tblLook w:val="04A0" w:firstRow="1" w:lastRow="0" w:firstColumn="1" w:lastColumn="0" w:noHBand="0" w:noVBand="1"/>
      </w:tblPr>
      <w:tblGrid>
        <w:gridCol w:w="2517"/>
        <w:gridCol w:w="5748"/>
        <w:gridCol w:w="134"/>
      </w:tblGrid>
      <w:tr w:rsidR="002A1696" w14:paraId="04085548" w14:textId="77777777">
        <w:trPr>
          <w:cantSplit/>
          <w:trHeight w:val="20"/>
        </w:trPr>
        <w:tc>
          <w:tcPr>
            <w:tcW w:w="2529" w:type="dxa"/>
            <w:tcBorders>
              <w:left w:val="nil"/>
              <w:bottom w:val="single" w:sz="6" w:space="0" w:color="000000"/>
              <w:right w:val="nil"/>
            </w:tcBorders>
          </w:tcPr>
          <w:p w14:paraId="04085546" w14:textId="77777777" w:rsidR="002A1696" w:rsidRDefault="00C30874" w:rsidP="003E1D72">
            <w:pPr>
              <w:keepNext/>
              <w:keepLines/>
              <w:ind w:firstLineChars="0" w:firstLine="0"/>
              <w:jc w:val="left"/>
              <w:rPr>
                <w:rFonts w:ascii="Arial" w:eastAsia="宋体" w:hAnsi="Arial" w:cs="Arial"/>
                <w:b/>
                <w:bCs/>
                <w:sz w:val="16"/>
                <w:szCs w:val="16"/>
              </w:rPr>
            </w:pPr>
            <w:r>
              <w:rPr>
                <w:rFonts w:ascii="Arial" w:hAnsi="Arial" w:cs="Arial"/>
                <w:b/>
                <w:bCs/>
                <w:sz w:val="16"/>
                <w:szCs w:val="16"/>
              </w:rPr>
              <w:t>Non-agricultural land-use</w:t>
            </w:r>
          </w:p>
        </w:tc>
        <w:tc>
          <w:tcPr>
            <w:tcW w:w="5870" w:type="dxa"/>
            <w:gridSpan w:val="2"/>
            <w:tcBorders>
              <w:left w:val="nil"/>
              <w:bottom w:val="single" w:sz="6" w:space="0" w:color="000000"/>
              <w:right w:val="nil"/>
            </w:tcBorders>
          </w:tcPr>
          <w:p w14:paraId="04085547" w14:textId="77777777" w:rsidR="002A1696" w:rsidRDefault="00C30874" w:rsidP="003E1D72">
            <w:pPr>
              <w:keepNext/>
              <w:keepLines/>
              <w:ind w:firstLineChars="0" w:firstLine="0"/>
              <w:jc w:val="left"/>
              <w:rPr>
                <w:rFonts w:ascii="Arial" w:eastAsia="宋体" w:hAnsi="Arial" w:cs="Arial"/>
                <w:b/>
                <w:bCs/>
                <w:sz w:val="16"/>
                <w:szCs w:val="16"/>
              </w:rPr>
            </w:pPr>
            <w:r>
              <w:rPr>
                <w:rFonts w:ascii="Arial" w:hAnsi="Arial" w:cs="Arial"/>
                <w:b/>
                <w:bCs/>
                <w:sz w:val="16"/>
                <w:szCs w:val="16"/>
              </w:rPr>
              <w:t>Definition</w:t>
            </w:r>
          </w:p>
        </w:tc>
      </w:tr>
      <w:tr w:rsidR="002A1696" w14:paraId="0408554C" w14:textId="77777777">
        <w:trPr>
          <w:cantSplit/>
          <w:trHeight w:val="20"/>
        </w:trPr>
        <w:tc>
          <w:tcPr>
            <w:tcW w:w="2529" w:type="dxa"/>
            <w:tcBorders>
              <w:top w:val="nil"/>
              <w:left w:val="nil"/>
              <w:bottom w:val="nil"/>
              <w:right w:val="nil"/>
            </w:tcBorders>
          </w:tcPr>
          <w:p w14:paraId="04085549" w14:textId="77777777" w:rsidR="002A1696" w:rsidRDefault="00C30874" w:rsidP="003E1D72">
            <w:pPr>
              <w:keepNext/>
              <w:keepLines/>
              <w:spacing w:after="50"/>
              <w:ind w:firstLineChars="0" w:firstLine="0"/>
              <w:jc w:val="left"/>
              <w:rPr>
                <w:rFonts w:ascii="Arial" w:eastAsiaTheme="minorEastAsia" w:hAnsi="Arial" w:cs="Arial"/>
                <w:sz w:val="16"/>
                <w:szCs w:val="20"/>
                <w:shd w:val="clear" w:color="auto" w:fill="FFFFFF"/>
              </w:rPr>
            </w:pPr>
            <w:r>
              <w:rPr>
                <w:rFonts w:ascii="Arial" w:hAnsi="Arial" w:cs="Arial"/>
                <w:sz w:val="16"/>
                <w:szCs w:val="20"/>
                <w:shd w:val="clear" w:color="auto" w:fill="FFFFFF"/>
              </w:rPr>
              <w:t>Environmental plantings</w:t>
            </w:r>
          </w:p>
        </w:tc>
        <w:tc>
          <w:tcPr>
            <w:tcW w:w="5777" w:type="dxa"/>
            <w:tcBorders>
              <w:top w:val="nil"/>
              <w:left w:val="nil"/>
              <w:bottom w:val="nil"/>
              <w:right w:val="nil"/>
            </w:tcBorders>
          </w:tcPr>
          <w:p w14:paraId="0408554A" w14:textId="518F1204" w:rsidR="002A1696" w:rsidRDefault="00C30874" w:rsidP="003E1D72">
            <w:pPr>
              <w:keepNext/>
              <w:keepLines/>
              <w:spacing w:after="50"/>
              <w:ind w:firstLineChars="0" w:firstLine="0"/>
              <w:jc w:val="left"/>
              <w:rPr>
                <w:rFonts w:ascii="Arial" w:eastAsia="宋体" w:hAnsi="Arial" w:cs="Arial"/>
                <w:sz w:val="16"/>
                <w:szCs w:val="20"/>
                <w:shd w:val="clear" w:color="auto" w:fill="FFFFFF"/>
                <w:lang w:val="en-AU"/>
              </w:rPr>
            </w:pPr>
            <w:r>
              <w:rPr>
                <w:rFonts w:ascii="Arial" w:hAnsi="Arial" w:cs="Arial"/>
                <w:sz w:val="16"/>
                <w:szCs w:val="20"/>
                <w:shd w:val="clear" w:color="auto" w:fill="FFFFFF"/>
              </w:rPr>
              <w:t xml:space="preserve">Establishment of mixed native tree and shrub species in dense block arrangements across land areas </w:t>
            </w:r>
            <w:r>
              <w:rPr>
                <w:rFonts w:ascii="Arial" w:hAnsi="Arial" w:cs="Arial"/>
                <w:sz w:val="16"/>
                <w:szCs w:val="20"/>
                <w:shd w:val="clear" w:color="auto" w:fill="FFFFFF"/>
              </w:rPr>
              <w:fldChar w:fldCharType="begin"/>
            </w:r>
            <w:r w:rsidR="007C0C3E">
              <w:rPr>
                <w:rFonts w:ascii="Arial" w:hAnsi="Arial" w:cs="Arial"/>
                <w:sz w:val="16"/>
                <w:szCs w:val="20"/>
                <w:shd w:val="clear" w:color="auto" w:fill="FFFFFF"/>
              </w:rPr>
              <w:instrText xml:space="preserve"> ADDIN EN.CITE &lt;EndNote&gt;&lt;Cite&gt;&lt;Author&gt;DCCEEW&lt;/Author&gt;&lt;Year&gt;2024&lt;/Year&gt;&lt;RecNum&gt;410&lt;/RecNum&gt;&lt;DisplayText&gt;&lt;style face="superscript"&gt;51&lt;/style&gt;&lt;/DisplayText&gt;&lt;record&gt;&lt;rec-number&gt;410&lt;/rec-number&gt;&lt;foreign-keys&gt;&lt;key app="EN" db-id="st0zxxax1wfadte9s5gpaptza9tfvrzsvaxs" timestamp="1747880566" guid="2fc5792f-f0ae-4087-95f4-164b622532aa"&gt;410&lt;/key&gt;&lt;/foreign-keys&gt;&lt;ref-type name="Report"&gt;27&lt;/ref-type&gt;&lt;contributors&gt;&lt;authors&gt;&lt;author&gt;DCCEEW&lt;/author&gt;&lt;/authors&gt;&lt;/contributors&gt;&lt;titles&gt;&lt;title&gt;FullCAM Guidelines: Requirements for using the Full Carbon Accounting Model (FullCAM) in the Australian Carbon Credit Unit (ACCU) Scheme methodology determination&lt;/title&gt;&lt;/titles&gt;&lt;dates&gt;&lt;year&gt;2024&lt;/year&gt;&lt;/dates&gt;&lt;pub-location&gt;Canberra, Australia&lt;/pub-location&gt;&lt;publisher&gt;Department of Climate Change, Energy, the Environment and Water&lt;/publisher&gt;&lt;urls&gt;&lt;related-urls&gt;&lt;url&gt;https://www.dcceew.gov.au/climate-change/emissions-reduction/accuscheme/methods/reforestation-by-environmental-or-mallee-plantings-fullcam&lt;/url&gt;&lt;/related-urls&gt;&lt;/urls&gt;&lt;/record&gt;&lt;/Cite&gt;&lt;/EndNote&gt;</w:instrText>
            </w:r>
            <w:r>
              <w:rPr>
                <w:rFonts w:ascii="Arial" w:hAnsi="Arial" w:cs="Arial"/>
                <w:sz w:val="16"/>
                <w:szCs w:val="20"/>
                <w:shd w:val="clear" w:color="auto" w:fill="FFFFFF"/>
              </w:rPr>
              <w:fldChar w:fldCharType="separate"/>
            </w:r>
            <w:r w:rsidR="007C0C3E" w:rsidRPr="007C0C3E">
              <w:rPr>
                <w:rFonts w:ascii="Arial" w:hAnsi="Arial" w:cs="Arial"/>
                <w:noProof/>
                <w:sz w:val="16"/>
                <w:szCs w:val="20"/>
                <w:shd w:val="clear" w:color="auto" w:fill="FFFFFF"/>
                <w:vertAlign w:val="superscript"/>
              </w:rPr>
              <w:t>51</w:t>
            </w:r>
            <w:r>
              <w:rPr>
                <w:rFonts w:ascii="Arial" w:hAnsi="Arial" w:cs="Arial"/>
                <w:sz w:val="16"/>
                <w:szCs w:val="20"/>
                <w:shd w:val="clear" w:color="auto" w:fill="FFFFFF"/>
              </w:rPr>
              <w:fldChar w:fldCharType="end"/>
            </w:r>
            <w:r>
              <w:rPr>
                <w:rFonts w:ascii="Arial" w:hAnsi="Arial" w:cs="Arial"/>
                <w:sz w:val="16"/>
                <w:szCs w:val="20"/>
                <w:shd w:val="clear" w:color="auto" w:fill="FFFFFF"/>
              </w:rPr>
              <w:t>.</w:t>
            </w:r>
          </w:p>
        </w:tc>
        <w:tc>
          <w:tcPr>
            <w:tcW w:w="93" w:type="dxa"/>
            <w:tcBorders>
              <w:top w:val="nil"/>
              <w:left w:val="nil"/>
              <w:bottom w:val="nil"/>
              <w:right w:val="nil"/>
            </w:tcBorders>
          </w:tcPr>
          <w:p w14:paraId="0408554B" w14:textId="77777777" w:rsidR="002A1696" w:rsidRDefault="002A1696" w:rsidP="003E1D72">
            <w:pPr>
              <w:keepNext/>
              <w:keepLines/>
              <w:ind w:firstLine="40"/>
              <w:rPr>
                <w:sz w:val="2"/>
              </w:rPr>
            </w:pPr>
          </w:p>
        </w:tc>
      </w:tr>
      <w:tr w:rsidR="002A1696" w14:paraId="04085550" w14:textId="77777777">
        <w:trPr>
          <w:cantSplit/>
          <w:trHeight w:val="20"/>
        </w:trPr>
        <w:tc>
          <w:tcPr>
            <w:tcW w:w="2529" w:type="dxa"/>
            <w:tcBorders>
              <w:top w:val="nil"/>
              <w:left w:val="nil"/>
              <w:bottom w:val="nil"/>
              <w:right w:val="nil"/>
            </w:tcBorders>
          </w:tcPr>
          <w:p w14:paraId="0408554D" w14:textId="77777777" w:rsidR="002A1696" w:rsidRDefault="00C30874" w:rsidP="003E1D72">
            <w:pPr>
              <w:keepNext/>
              <w:keepLines/>
              <w:spacing w:after="50"/>
              <w:ind w:firstLineChars="0" w:firstLine="0"/>
              <w:jc w:val="left"/>
              <w:rPr>
                <w:rFonts w:ascii="Arial" w:eastAsiaTheme="minorEastAsia" w:hAnsi="Arial" w:cs="Arial"/>
                <w:sz w:val="16"/>
                <w:szCs w:val="20"/>
                <w:shd w:val="clear" w:color="auto" w:fill="FFFFFF"/>
              </w:rPr>
            </w:pPr>
            <w:r>
              <w:rPr>
                <w:rFonts w:ascii="Arial" w:hAnsi="Arial" w:cs="Arial"/>
                <w:sz w:val="16"/>
                <w:szCs w:val="20"/>
                <w:shd w:val="clear" w:color="auto" w:fill="FFFFFF"/>
              </w:rPr>
              <w:t>Riparian buffer restoration</w:t>
            </w:r>
          </w:p>
        </w:tc>
        <w:tc>
          <w:tcPr>
            <w:tcW w:w="5777" w:type="dxa"/>
            <w:tcBorders>
              <w:top w:val="nil"/>
              <w:left w:val="nil"/>
              <w:bottom w:val="nil"/>
              <w:right w:val="nil"/>
            </w:tcBorders>
          </w:tcPr>
          <w:p w14:paraId="0408554E" w14:textId="3EF3BF8C" w:rsidR="002A1696" w:rsidRDefault="00C30874" w:rsidP="003E1D72">
            <w:pPr>
              <w:keepNext/>
              <w:keepLines/>
              <w:spacing w:after="50"/>
              <w:ind w:firstLineChars="0" w:firstLine="0"/>
              <w:jc w:val="left"/>
              <w:rPr>
                <w:rFonts w:ascii="Arial" w:eastAsia="宋体" w:hAnsi="Arial" w:cs="Arial"/>
                <w:color w:val="000000" w:themeColor="text1"/>
                <w:sz w:val="16"/>
                <w:szCs w:val="20"/>
                <w:shd w:val="clear" w:color="auto" w:fill="FFFFFF"/>
              </w:rPr>
            </w:pPr>
            <w:r>
              <w:rPr>
                <w:rFonts w:ascii="Arial" w:hAnsi="Arial" w:cs="Arial"/>
                <w:color w:val="000000" w:themeColor="text1"/>
                <w:sz w:val="16"/>
                <w:szCs w:val="20"/>
                <w:shd w:val="clear" w:color="auto" w:fill="FFFFFF"/>
              </w:rPr>
              <w:t>Planting mixed native trees and shrubs along riparian zones (riverbanks and stream edges), typically in linear form</w:t>
            </w:r>
            <w:r>
              <w:rPr>
                <w:rFonts w:ascii="Arial" w:hAnsi="Arial" w:cs="Arial"/>
                <w:color w:val="000000" w:themeColor="text1"/>
                <w:sz w:val="16"/>
                <w:szCs w:val="16"/>
                <w:shd w:val="clear" w:color="auto" w:fill="FFFFFF"/>
              </w:rPr>
              <w:t xml:space="preserve">ations </w:t>
            </w:r>
            <w:r>
              <w:rPr>
                <w:rFonts w:ascii="Arial" w:hAnsi="Arial" w:cs="Arial"/>
                <w:sz w:val="16"/>
                <w:szCs w:val="16"/>
              </w:rPr>
              <w:fldChar w:fldCharType="begin"/>
            </w:r>
            <w:r w:rsidR="007C0C3E">
              <w:rPr>
                <w:rFonts w:ascii="Arial" w:hAnsi="Arial" w:cs="Arial"/>
                <w:sz w:val="16"/>
                <w:szCs w:val="16"/>
              </w:rPr>
              <w:instrText xml:space="preserve"> ADDIN EN.CITE &lt;EndNote&gt;&lt;Cite&gt;&lt;Author&gt;Cole&lt;/Author&gt;&lt;Year&gt;2020&lt;/Year&gt;&lt;RecNum&gt;411&lt;/RecNum&gt;&lt;DisplayText&gt;&lt;style face="superscript"&gt;52&lt;/style&gt;&lt;/DisplayText&gt;&lt;record&gt;&lt;rec-number&gt;411&lt;/rec-number&gt;&lt;foreign-keys&gt;&lt;key app="EN" db-id="st0zxxax1wfadte9s5gpaptza9tfvrzsvaxs" timestamp="1747884246" guid="0a68f914-95ff-4feb-9e04-4e660bac9179"&gt;411&lt;/key&gt;&lt;/foreign-keys&gt;&lt;ref-type name="Journal Article"&gt;17&lt;/ref-type&gt;&lt;contributors&gt;&lt;authors&gt;&lt;author&gt;Cole, Lorna J.&lt;/author&gt;&lt;author&gt;Stockan, Jenni&lt;/author&gt;&lt;author&gt;Helliwell, Rachel&lt;/author&gt;&lt;/authors&gt;&lt;/contributors&gt;&lt;titles&gt;&lt;title&gt;Managing riparian buffer strips to optimise ecosystem services: A review&lt;/title&gt;&lt;secondary-title&gt;Agriculture, Ecosystems &amp;amp; Environment&lt;/secondary-title&gt;&lt;/titles&gt;&lt;periodical&gt;&lt;full-title&gt;Agriculture, Ecosystems &amp;amp; Environment&lt;/full-title&gt;&lt;abbr-1&gt;Agric. Ecosyst. Environ.&lt;/abbr-1&gt;&lt;/periodical&gt;&lt;volume&gt;296&lt;/volume&gt;&lt;section&gt;106891&lt;/section&gt;&lt;dates&gt;&lt;year&gt;2020&lt;/year&gt;&lt;/dates&gt;&lt;isbn&gt;01678809&lt;/isbn&gt;&lt;urls&gt;&lt;/urls&gt;&lt;electronic-resource-num&gt;10.1016/j.agee.2020.106891&lt;/electronic-resource-num&gt;&lt;/record&gt;&lt;/Cite&gt;&lt;/EndNote&gt;</w:instrText>
            </w:r>
            <w:r>
              <w:rPr>
                <w:rFonts w:ascii="Arial" w:hAnsi="Arial" w:cs="Arial"/>
                <w:sz w:val="16"/>
                <w:szCs w:val="16"/>
              </w:rPr>
              <w:fldChar w:fldCharType="separate"/>
            </w:r>
            <w:r w:rsidR="007C0C3E" w:rsidRPr="007C0C3E">
              <w:rPr>
                <w:rFonts w:ascii="Arial" w:hAnsi="Arial" w:cs="Arial"/>
                <w:noProof/>
                <w:sz w:val="16"/>
                <w:szCs w:val="16"/>
                <w:vertAlign w:val="superscript"/>
              </w:rPr>
              <w:t>52</w:t>
            </w:r>
            <w:r>
              <w:rPr>
                <w:rFonts w:ascii="Arial" w:hAnsi="Arial" w:cs="Arial"/>
                <w:sz w:val="16"/>
                <w:szCs w:val="16"/>
              </w:rPr>
              <w:fldChar w:fldCharType="end"/>
            </w:r>
            <w:r>
              <w:rPr>
                <w:rFonts w:ascii="Arial" w:hAnsi="Arial" w:cs="Arial"/>
                <w:color w:val="000000" w:themeColor="text1"/>
                <w:sz w:val="16"/>
                <w:szCs w:val="20"/>
                <w:shd w:val="clear" w:color="auto" w:fill="FFFFFF"/>
              </w:rPr>
              <w:t>.</w:t>
            </w:r>
          </w:p>
        </w:tc>
        <w:tc>
          <w:tcPr>
            <w:tcW w:w="93" w:type="dxa"/>
            <w:tcBorders>
              <w:top w:val="nil"/>
              <w:left w:val="nil"/>
              <w:bottom w:val="nil"/>
              <w:right w:val="nil"/>
            </w:tcBorders>
          </w:tcPr>
          <w:p w14:paraId="0408554F" w14:textId="77777777" w:rsidR="002A1696" w:rsidRDefault="002A1696" w:rsidP="003E1D72">
            <w:pPr>
              <w:keepNext/>
              <w:keepLines/>
              <w:ind w:firstLine="40"/>
              <w:rPr>
                <w:sz w:val="2"/>
              </w:rPr>
            </w:pPr>
          </w:p>
        </w:tc>
      </w:tr>
      <w:tr w:rsidR="002A1696" w14:paraId="04085554" w14:textId="77777777">
        <w:trPr>
          <w:cantSplit/>
          <w:trHeight w:val="20"/>
        </w:trPr>
        <w:tc>
          <w:tcPr>
            <w:tcW w:w="2529" w:type="dxa"/>
            <w:tcBorders>
              <w:top w:val="nil"/>
              <w:left w:val="nil"/>
              <w:bottom w:val="nil"/>
              <w:right w:val="nil"/>
            </w:tcBorders>
          </w:tcPr>
          <w:p w14:paraId="04085551" w14:textId="77777777" w:rsidR="002A1696" w:rsidRDefault="00C30874" w:rsidP="003E1D72">
            <w:pPr>
              <w:keepNext/>
              <w:keepLines/>
              <w:spacing w:after="50"/>
              <w:ind w:firstLineChars="0" w:firstLine="0"/>
              <w:jc w:val="left"/>
              <w:rPr>
                <w:rFonts w:ascii="Arial" w:eastAsia="DengXian" w:hAnsi="Arial" w:cs="Arial"/>
                <w:sz w:val="16"/>
                <w:szCs w:val="20"/>
                <w:shd w:val="clear" w:color="auto" w:fill="FFFFFF"/>
              </w:rPr>
            </w:pPr>
            <w:r>
              <w:rPr>
                <w:rFonts w:ascii="Arial" w:hAnsi="Arial" w:cs="Arial"/>
                <w:sz w:val="16"/>
                <w:szCs w:val="20"/>
                <w:shd w:val="clear" w:color="auto" w:fill="FFFFFF"/>
              </w:rPr>
              <w:t>Agroforestry (mixed species + sheep)</w:t>
            </w:r>
          </w:p>
        </w:tc>
        <w:tc>
          <w:tcPr>
            <w:tcW w:w="5777" w:type="dxa"/>
            <w:tcBorders>
              <w:top w:val="nil"/>
              <w:left w:val="nil"/>
              <w:bottom w:val="nil"/>
              <w:right w:val="nil"/>
            </w:tcBorders>
          </w:tcPr>
          <w:p w14:paraId="04085552" w14:textId="4C787919" w:rsidR="002A1696" w:rsidRDefault="00C30874" w:rsidP="003E1D72">
            <w:pPr>
              <w:keepNext/>
              <w:keepLines/>
              <w:spacing w:after="50"/>
              <w:ind w:firstLineChars="0" w:firstLine="0"/>
              <w:jc w:val="left"/>
              <w:rPr>
                <w:rFonts w:ascii="Arial" w:eastAsia="宋体" w:hAnsi="Arial" w:cs="Arial"/>
                <w:color w:val="000000" w:themeColor="text1"/>
                <w:sz w:val="16"/>
                <w:szCs w:val="20"/>
                <w:shd w:val="clear" w:color="auto" w:fill="FFFFFF"/>
              </w:rPr>
            </w:pPr>
            <w:r>
              <w:rPr>
                <w:rFonts w:ascii="Arial" w:hAnsi="Arial" w:cs="Arial"/>
                <w:color w:val="000000" w:themeColor="text1"/>
                <w:sz w:val="16"/>
                <w:szCs w:val="20"/>
                <w:shd w:val="clear" w:color="auto" w:fill="FFFFFF"/>
              </w:rPr>
              <w:t xml:space="preserve">Integration of mixed-species tree plantings in linear belt arrangements with sheep grazing on agricultural land, allowing simultaneous tree growth and livestock management </w:t>
            </w:r>
            <w:r>
              <w:rPr>
                <w:rFonts w:ascii="Arial" w:hAnsi="Arial" w:cs="Arial"/>
                <w:color w:val="000000" w:themeColor="text1"/>
                <w:sz w:val="16"/>
                <w:szCs w:val="20"/>
                <w:shd w:val="clear" w:color="auto" w:fill="FFFFFF"/>
              </w:rPr>
              <w:fldChar w:fldCharType="begin"/>
            </w:r>
            <w:r w:rsidR="007C0C3E">
              <w:rPr>
                <w:rFonts w:ascii="Arial" w:hAnsi="Arial" w:cs="Arial"/>
                <w:color w:val="000000" w:themeColor="text1"/>
                <w:sz w:val="16"/>
                <w:szCs w:val="20"/>
                <w:shd w:val="clear" w:color="auto" w:fill="FFFFFF"/>
              </w:rPr>
              <w:instrText xml:space="preserve"> ADDIN EN.CITE &lt;EndNote&gt;&lt;Cite&gt;&lt;Author&gt;Race&lt;/Author&gt;&lt;Year&gt;2024&lt;/Year&gt;&lt;RecNum&gt;418&lt;/RecNum&gt;&lt;DisplayText&gt;&lt;style face="superscript"&gt;53&lt;/style&gt;&lt;/DisplayText&gt;&lt;record&gt;&lt;rec-number&gt;418&lt;/rec-number&gt;&lt;foreign-keys&gt;&lt;key app="EN" db-id="st0zxxax1wfadte9s5gpaptza9tfvrzsvaxs" timestamp="1747886732" guid="a056f3a5-621b-431d-b8f6-be0077b962e7"&gt;418&lt;/key&gt;&lt;/foreign-keys&gt;&lt;ref-type name="Book"&gt;6&lt;/ref-type&gt;&lt;contributors&gt;&lt;authors&gt;&lt;author&gt;Race, Digby&lt;/author&gt;&lt;author&gt;Wettenhall, Gib&lt;/author&gt;&lt;/authors&gt;&lt;/contributors&gt;&lt;titles&gt;&lt;title&gt;Raising trees and livelihoods&lt;/title&gt;&lt;/titles&gt;&lt;dates&gt;&lt;year&gt;2024&lt;/year&gt;&lt;pub-dates&gt;&lt;date&gt;2024/08/29&lt;/date&gt;&lt;/pub-dates&gt;&lt;/dates&gt;&lt;pub-location&gt;Canberra, Australia&lt;/pub-location&gt;&lt;publisher&gt;Australian Centre for International Agricultural Research (ACIAR)&lt;/publisher&gt;&lt;isbn&gt;978-1-923261-04-4&lt;/isbn&gt;&lt;work-type&gt;MN221&lt;/work-type&gt;&lt;urls&gt;&lt;related-urls&gt;&lt;url&gt;https://www.aciar.gov.au/publication/raising-trees-and-livelihoods&lt;/url&gt;&lt;/related-urls&gt;&lt;/urls&gt;&lt;/record&gt;&lt;/Cite&gt;&lt;/EndNote&gt;</w:instrText>
            </w:r>
            <w:r>
              <w:rPr>
                <w:rFonts w:ascii="Arial" w:hAnsi="Arial" w:cs="Arial"/>
                <w:color w:val="000000" w:themeColor="text1"/>
                <w:sz w:val="16"/>
                <w:szCs w:val="20"/>
                <w:shd w:val="clear" w:color="auto" w:fill="FFFFFF"/>
              </w:rPr>
              <w:fldChar w:fldCharType="separate"/>
            </w:r>
            <w:r w:rsidR="007C0C3E" w:rsidRPr="007C0C3E">
              <w:rPr>
                <w:rFonts w:ascii="Arial" w:hAnsi="Arial" w:cs="Arial"/>
                <w:noProof/>
                <w:color w:val="000000" w:themeColor="text1"/>
                <w:sz w:val="16"/>
                <w:szCs w:val="20"/>
                <w:shd w:val="clear" w:color="auto" w:fill="FFFFFF"/>
                <w:vertAlign w:val="superscript"/>
              </w:rPr>
              <w:t>53</w:t>
            </w:r>
            <w:r>
              <w:rPr>
                <w:rFonts w:ascii="Arial" w:hAnsi="Arial" w:cs="Arial"/>
                <w:color w:val="000000" w:themeColor="text1"/>
                <w:sz w:val="16"/>
                <w:szCs w:val="20"/>
                <w:shd w:val="clear" w:color="auto" w:fill="FFFFFF"/>
              </w:rPr>
              <w:fldChar w:fldCharType="end"/>
            </w:r>
            <w:r>
              <w:rPr>
                <w:rFonts w:ascii="Arial" w:hAnsi="Arial" w:cs="Arial"/>
                <w:color w:val="000000" w:themeColor="text1"/>
                <w:sz w:val="16"/>
                <w:szCs w:val="20"/>
                <w:shd w:val="clear" w:color="auto" w:fill="FFFFFF"/>
              </w:rPr>
              <w:t>.</w:t>
            </w:r>
          </w:p>
        </w:tc>
        <w:tc>
          <w:tcPr>
            <w:tcW w:w="93" w:type="dxa"/>
            <w:tcBorders>
              <w:top w:val="nil"/>
              <w:left w:val="nil"/>
              <w:bottom w:val="nil"/>
              <w:right w:val="nil"/>
            </w:tcBorders>
          </w:tcPr>
          <w:p w14:paraId="04085553" w14:textId="77777777" w:rsidR="002A1696" w:rsidRDefault="002A1696" w:rsidP="003E1D72">
            <w:pPr>
              <w:keepNext/>
              <w:keepLines/>
              <w:ind w:firstLine="40"/>
              <w:rPr>
                <w:sz w:val="2"/>
              </w:rPr>
            </w:pPr>
          </w:p>
        </w:tc>
      </w:tr>
      <w:tr w:rsidR="002A1696" w14:paraId="04085558" w14:textId="77777777">
        <w:trPr>
          <w:cantSplit/>
          <w:trHeight w:val="20"/>
        </w:trPr>
        <w:tc>
          <w:tcPr>
            <w:tcW w:w="2529" w:type="dxa"/>
            <w:tcBorders>
              <w:top w:val="nil"/>
              <w:left w:val="nil"/>
              <w:bottom w:val="nil"/>
              <w:right w:val="nil"/>
            </w:tcBorders>
          </w:tcPr>
          <w:p w14:paraId="04085555" w14:textId="77777777" w:rsidR="002A1696" w:rsidRDefault="00C30874" w:rsidP="003E1D72">
            <w:pPr>
              <w:keepNext/>
              <w:keepLines/>
              <w:spacing w:after="50"/>
              <w:ind w:firstLineChars="0" w:firstLine="0"/>
              <w:jc w:val="left"/>
              <w:rPr>
                <w:rFonts w:ascii="Arial" w:eastAsia="DengXian" w:hAnsi="Arial" w:cs="Arial"/>
                <w:sz w:val="16"/>
                <w:szCs w:val="20"/>
                <w:shd w:val="clear" w:color="auto" w:fill="FFFFFF"/>
              </w:rPr>
            </w:pPr>
            <w:r>
              <w:rPr>
                <w:rFonts w:ascii="Arial" w:hAnsi="Arial" w:cs="Arial"/>
                <w:sz w:val="16"/>
                <w:szCs w:val="20"/>
                <w:shd w:val="clear" w:color="auto" w:fill="FFFFFF"/>
              </w:rPr>
              <w:t>Agroforestry (mixed species + beef)</w:t>
            </w:r>
          </w:p>
        </w:tc>
        <w:tc>
          <w:tcPr>
            <w:tcW w:w="5777" w:type="dxa"/>
            <w:tcBorders>
              <w:top w:val="nil"/>
              <w:left w:val="nil"/>
              <w:bottom w:val="nil"/>
              <w:right w:val="nil"/>
            </w:tcBorders>
          </w:tcPr>
          <w:p w14:paraId="04085556" w14:textId="22795EB6" w:rsidR="002A1696" w:rsidRDefault="00C30874" w:rsidP="003E1D72">
            <w:pPr>
              <w:keepNext/>
              <w:keepLines/>
              <w:spacing w:after="50"/>
              <w:ind w:firstLineChars="0" w:firstLine="0"/>
              <w:jc w:val="left"/>
              <w:rPr>
                <w:rFonts w:ascii="Arial" w:eastAsia="宋体" w:hAnsi="Arial" w:cs="Arial"/>
                <w:color w:val="000000" w:themeColor="text1"/>
                <w:sz w:val="16"/>
                <w:szCs w:val="20"/>
                <w:shd w:val="clear" w:color="auto" w:fill="FFFFFF"/>
              </w:rPr>
            </w:pPr>
            <w:r>
              <w:rPr>
                <w:rFonts w:ascii="Arial" w:hAnsi="Arial" w:cs="Arial"/>
                <w:color w:val="000000" w:themeColor="text1"/>
                <w:sz w:val="16"/>
                <w:szCs w:val="20"/>
                <w:shd w:val="clear" w:color="auto" w:fill="FFFFFF"/>
              </w:rPr>
              <w:t xml:space="preserve">Integration of mixed-species tree plantings in linear belt arrangements with beef cattle grazing, combining forestry with cattle production on agricultural land </w:t>
            </w:r>
            <w:r>
              <w:rPr>
                <w:rFonts w:ascii="Arial" w:hAnsi="Arial" w:cs="Arial"/>
                <w:color w:val="000000" w:themeColor="text1"/>
                <w:sz w:val="16"/>
                <w:szCs w:val="20"/>
                <w:shd w:val="clear" w:color="auto" w:fill="FFFFFF"/>
              </w:rPr>
              <w:fldChar w:fldCharType="begin"/>
            </w:r>
            <w:r w:rsidR="007C0C3E">
              <w:rPr>
                <w:rFonts w:ascii="Arial" w:hAnsi="Arial" w:cs="Arial"/>
                <w:color w:val="000000" w:themeColor="text1"/>
                <w:sz w:val="16"/>
                <w:szCs w:val="20"/>
                <w:shd w:val="clear" w:color="auto" w:fill="FFFFFF"/>
              </w:rPr>
              <w:instrText xml:space="preserve"> ADDIN EN.CITE &lt;EndNote&gt;&lt;Cite&gt;&lt;Author&gt;Race&lt;/Author&gt;&lt;Year&gt;2024&lt;/Year&gt;&lt;RecNum&gt;418&lt;/RecNum&gt;&lt;DisplayText&gt;&lt;style face="superscript"&gt;53&lt;/style&gt;&lt;/DisplayText&gt;&lt;record&gt;&lt;rec-number&gt;418&lt;/rec-number&gt;&lt;foreign-keys&gt;&lt;key app="EN" db-id="st0zxxax1wfadte9s5gpaptza9tfvrzsvaxs" timestamp="1747886732" guid="a056f3a5-621b-431d-b8f6-be0077b962e7"&gt;418&lt;/key&gt;&lt;/foreign-keys&gt;&lt;ref-type name="Book"&gt;6&lt;/ref-type&gt;&lt;contributors&gt;&lt;authors&gt;&lt;author&gt;Race, Digby&lt;/author&gt;&lt;author&gt;Wettenhall, Gib&lt;/author&gt;&lt;/authors&gt;&lt;/contributors&gt;&lt;titles&gt;&lt;title&gt;Raising trees and livelihoods&lt;/title&gt;&lt;/titles&gt;&lt;dates&gt;&lt;year&gt;2024&lt;/year&gt;&lt;pub-dates&gt;&lt;date&gt;2024/08/29&lt;/date&gt;&lt;/pub-dates&gt;&lt;/dates&gt;&lt;pub-location&gt;Canberra, Australia&lt;/pub-location&gt;&lt;publisher&gt;Australian Centre for International Agricultural Research (ACIAR)&lt;/publisher&gt;&lt;isbn&gt;978-1-923261-04-4&lt;/isbn&gt;&lt;work-type&gt;MN221&lt;/work-type&gt;&lt;urls&gt;&lt;related-urls&gt;&lt;url&gt;https://www.aciar.gov.au/publication/raising-trees-and-livelihoods&lt;/url&gt;&lt;/related-urls&gt;&lt;/urls&gt;&lt;/record&gt;&lt;/Cite&gt;&lt;/EndNote&gt;</w:instrText>
            </w:r>
            <w:r>
              <w:rPr>
                <w:rFonts w:ascii="Arial" w:hAnsi="Arial" w:cs="Arial"/>
                <w:color w:val="000000" w:themeColor="text1"/>
                <w:sz w:val="16"/>
                <w:szCs w:val="20"/>
                <w:shd w:val="clear" w:color="auto" w:fill="FFFFFF"/>
              </w:rPr>
              <w:fldChar w:fldCharType="separate"/>
            </w:r>
            <w:r w:rsidR="007C0C3E" w:rsidRPr="007C0C3E">
              <w:rPr>
                <w:rFonts w:ascii="Arial" w:hAnsi="Arial" w:cs="Arial"/>
                <w:noProof/>
                <w:color w:val="000000" w:themeColor="text1"/>
                <w:sz w:val="16"/>
                <w:szCs w:val="20"/>
                <w:shd w:val="clear" w:color="auto" w:fill="FFFFFF"/>
                <w:vertAlign w:val="superscript"/>
              </w:rPr>
              <w:t>53</w:t>
            </w:r>
            <w:r>
              <w:rPr>
                <w:rFonts w:ascii="Arial" w:hAnsi="Arial" w:cs="Arial"/>
                <w:color w:val="000000" w:themeColor="text1"/>
                <w:sz w:val="16"/>
                <w:szCs w:val="20"/>
                <w:shd w:val="clear" w:color="auto" w:fill="FFFFFF"/>
              </w:rPr>
              <w:fldChar w:fldCharType="end"/>
            </w:r>
            <w:r>
              <w:rPr>
                <w:rFonts w:ascii="Arial" w:hAnsi="Arial" w:cs="Arial"/>
                <w:color w:val="000000" w:themeColor="text1"/>
                <w:sz w:val="16"/>
                <w:szCs w:val="20"/>
                <w:shd w:val="clear" w:color="auto" w:fill="FFFFFF"/>
              </w:rPr>
              <w:t>.</w:t>
            </w:r>
          </w:p>
        </w:tc>
        <w:tc>
          <w:tcPr>
            <w:tcW w:w="93" w:type="dxa"/>
            <w:tcBorders>
              <w:top w:val="nil"/>
              <w:left w:val="nil"/>
              <w:bottom w:val="nil"/>
              <w:right w:val="nil"/>
            </w:tcBorders>
          </w:tcPr>
          <w:p w14:paraId="04085557" w14:textId="77777777" w:rsidR="002A1696" w:rsidRDefault="002A1696" w:rsidP="003E1D72">
            <w:pPr>
              <w:keepNext/>
              <w:keepLines/>
              <w:ind w:firstLine="40"/>
              <w:rPr>
                <w:sz w:val="2"/>
              </w:rPr>
            </w:pPr>
          </w:p>
        </w:tc>
      </w:tr>
      <w:tr w:rsidR="002A1696" w14:paraId="0408555C" w14:textId="77777777">
        <w:trPr>
          <w:cantSplit/>
          <w:trHeight w:val="20"/>
        </w:trPr>
        <w:tc>
          <w:tcPr>
            <w:tcW w:w="2529" w:type="dxa"/>
            <w:tcBorders>
              <w:top w:val="nil"/>
              <w:left w:val="nil"/>
              <w:bottom w:val="nil"/>
              <w:right w:val="nil"/>
            </w:tcBorders>
          </w:tcPr>
          <w:p w14:paraId="04085559" w14:textId="77777777" w:rsidR="002A1696" w:rsidRDefault="00C30874" w:rsidP="003E1D72">
            <w:pPr>
              <w:keepNext/>
              <w:keepLines/>
              <w:spacing w:after="50"/>
              <w:ind w:firstLineChars="0" w:firstLine="0"/>
              <w:jc w:val="left"/>
              <w:rPr>
                <w:rFonts w:ascii="Arial" w:eastAsia="DengXian" w:hAnsi="Arial" w:cs="Arial"/>
                <w:sz w:val="16"/>
                <w:szCs w:val="20"/>
                <w:shd w:val="clear" w:color="auto" w:fill="FFFFFF"/>
              </w:rPr>
            </w:pPr>
            <w:r>
              <w:rPr>
                <w:rFonts w:ascii="Arial" w:hAnsi="Arial" w:cs="Arial"/>
                <w:sz w:val="16"/>
                <w:szCs w:val="20"/>
                <w:shd w:val="clear" w:color="auto" w:fill="FFFFFF"/>
              </w:rPr>
              <w:t xml:space="preserve">Carbon plantings </w:t>
            </w:r>
          </w:p>
        </w:tc>
        <w:tc>
          <w:tcPr>
            <w:tcW w:w="5777" w:type="dxa"/>
            <w:tcBorders>
              <w:top w:val="nil"/>
              <w:left w:val="nil"/>
              <w:bottom w:val="nil"/>
              <w:right w:val="nil"/>
            </w:tcBorders>
          </w:tcPr>
          <w:p w14:paraId="0408555A" w14:textId="7A788E0D" w:rsidR="002A1696" w:rsidRDefault="00C30874" w:rsidP="003E1D72">
            <w:pPr>
              <w:keepNext/>
              <w:keepLines/>
              <w:spacing w:after="50"/>
              <w:ind w:firstLineChars="0" w:firstLine="0"/>
              <w:jc w:val="left"/>
              <w:rPr>
                <w:rFonts w:ascii="Arial" w:eastAsia="宋体" w:hAnsi="Arial" w:cs="Arial"/>
                <w:color w:val="000000" w:themeColor="text1"/>
                <w:sz w:val="16"/>
                <w:szCs w:val="20"/>
                <w:shd w:val="clear" w:color="auto" w:fill="FFFFFF"/>
              </w:rPr>
            </w:pPr>
            <w:r>
              <w:rPr>
                <w:rFonts w:ascii="Arial" w:hAnsi="Arial" w:cs="Arial"/>
                <w:color w:val="000000" w:themeColor="text1"/>
                <w:sz w:val="16"/>
                <w:szCs w:val="20"/>
                <w:shd w:val="clear" w:color="auto" w:fill="FFFFFF"/>
              </w:rPr>
              <w:t>Establishment of single-species tree plantings in large, contiguous block arrangements</w:t>
            </w:r>
            <w:r>
              <w:rPr>
                <w:rFonts w:ascii="Arial" w:hAnsi="Arial" w:cs="Arial"/>
              </w:rPr>
              <w:t xml:space="preserve"> </w:t>
            </w:r>
            <w:r>
              <w:rPr>
                <w:rFonts w:ascii="Arial" w:hAnsi="Arial" w:cs="Arial"/>
                <w:color w:val="000000" w:themeColor="text1"/>
                <w:sz w:val="16"/>
                <w:szCs w:val="20"/>
                <w:shd w:val="clear" w:color="auto" w:fill="FFFFFF"/>
              </w:rPr>
              <w:fldChar w:fldCharType="begin">
                <w:fldData xml:space="preserve">PEVuZE5vdGU+PENpdGU+PEF1dGhvcj5CdWtvc2tpPC9BdXRob3I+PFllYXI+MjAyMjwvWWVhcj48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</w:fldData>
              </w:fldChar>
            </w:r>
            <w:r w:rsidR="007C0C3E">
              <w:rPr>
                <w:rFonts w:ascii="Arial" w:hAnsi="Arial" w:cs="Arial"/>
                <w:color w:val="000000" w:themeColor="text1"/>
                <w:sz w:val="16"/>
                <w:szCs w:val="20"/>
                <w:shd w:val="clear" w:color="auto" w:fill="FFFFFF"/>
              </w:rPr>
              <w:instrText xml:space="preserve"> ADDIN EN.CITE </w:instrText>
            </w:r>
            <w:r w:rsidR="007C0C3E">
              <w:rPr>
                <w:rFonts w:ascii="Arial" w:hAnsi="Arial" w:cs="Arial"/>
                <w:color w:val="000000" w:themeColor="text1"/>
                <w:sz w:val="16"/>
                <w:szCs w:val="20"/>
                <w:shd w:val="clear" w:color="auto" w:fill="FFFFFF"/>
              </w:rPr>
              <w:fldChar w:fldCharType="begin">
                <w:fldData xml:space="preserve">PEVuZE5vdGU+PENpdGU+PEF1dGhvcj5CdWtvc2tpPC9BdXRob3I+PFllYXI+MjAyMjwvWWVhcj48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</w:fldData>
              </w:fldChar>
            </w:r>
            <w:r w:rsidR="007C0C3E">
              <w:rPr>
                <w:rFonts w:ascii="Arial" w:hAnsi="Arial" w:cs="Arial"/>
                <w:color w:val="000000" w:themeColor="text1"/>
                <w:sz w:val="16"/>
                <w:szCs w:val="20"/>
                <w:shd w:val="clear" w:color="auto" w:fill="FFFFFF"/>
              </w:rPr>
              <w:instrText xml:space="preserve"> ADDIN EN.CITE.DATA </w:instrText>
            </w:r>
            <w:r w:rsidR="007C0C3E">
              <w:rPr>
                <w:rFonts w:ascii="Arial" w:hAnsi="Arial" w:cs="Arial"/>
                <w:color w:val="000000" w:themeColor="text1"/>
                <w:sz w:val="16"/>
                <w:szCs w:val="20"/>
                <w:shd w:val="clear" w:color="auto" w:fill="FFFFFF"/>
              </w:rPr>
            </w:r>
            <w:r w:rsidR="007C0C3E">
              <w:rPr>
                <w:rFonts w:ascii="Arial" w:hAnsi="Arial" w:cs="Arial"/>
                <w:color w:val="000000" w:themeColor="text1"/>
                <w:sz w:val="16"/>
                <w:szCs w:val="20"/>
                <w:shd w:val="clear" w:color="auto" w:fill="FFFFFF"/>
              </w:rPr>
              <w:fldChar w:fldCharType="end"/>
            </w:r>
            <w:r>
              <w:rPr>
                <w:rFonts w:ascii="Arial" w:hAnsi="Arial" w:cs="Arial"/>
                <w:color w:val="000000" w:themeColor="text1"/>
                <w:sz w:val="16"/>
                <w:szCs w:val="20"/>
                <w:shd w:val="clear" w:color="auto" w:fill="FFFFFF"/>
              </w:rPr>
            </w:r>
            <w:r>
              <w:rPr>
                <w:rFonts w:ascii="Arial" w:hAnsi="Arial" w:cs="Arial"/>
                <w:color w:val="000000" w:themeColor="text1"/>
                <w:sz w:val="16"/>
                <w:szCs w:val="20"/>
                <w:shd w:val="clear" w:color="auto" w:fill="FFFFFF"/>
              </w:rPr>
              <w:fldChar w:fldCharType="separate"/>
            </w:r>
            <w:r w:rsidR="007C0C3E" w:rsidRPr="007C0C3E">
              <w:rPr>
                <w:rFonts w:ascii="Arial" w:hAnsi="Arial" w:cs="Arial"/>
                <w:noProof/>
                <w:color w:val="000000" w:themeColor="text1"/>
                <w:sz w:val="16"/>
                <w:szCs w:val="20"/>
                <w:shd w:val="clear" w:color="auto" w:fill="FFFFFF"/>
                <w:vertAlign w:val="superscript"/>
              </w:rPr>
              <w:t>54</w:t>
            </w:r>
            <w:r>
              <w:rPr>
                <w:rFonts w:ascii="Arial" w:hAnsi="Arial" w:cs="Arial"/>
                <w:color w:val="000000" w:themeColor="text1"/>
                <w:sz w:val="16"/>
                <w:szCs w:val="20"/>
                <w:shd w:val="clear" w:color="auto" w:fill="FFFFFF"/>
              </w:rPr>
              <w:fldChar w:fldCharType="end"/>
            </w:r>
            <w:r>
              <w:rPr>
                <w:rFonts w:ascii="Arial" w:hAnsi="Arial" w:cs="Arial"/>
                <w:color w:val="000000" w:themeColor="text1"/>
                <w:sz w:val="16"/>
                <w:szCs w:val="20"/>
                <w:shd w:val="clear" w:color="auto" w:fill="FFFFFF"/>
              </w:rPr>
              <w:t>.</w:t>
            </w:r>
          </w:p>
        </w:tc>
        <w:tc>
          <w:tcPr>
            <w:tcW w:w="93" w:type="dxa"/>
            <w:tcBorders>
              <w:top w:val="nil"/>
              <w:left w:val="nil"/>
              <w:bottom w:val="nil"/>
              <w:right w:val="nil"/>
            </w:tcBorders>
          </w:tcPr>
          <w:p w14:paraId="0408555B" w14:textId="77777777" w:rsidR="002A1696" w:rsidRDefault="002A1696" w:rsidP="003E1D72">
            <w:pPr>
              <w:keepNext/>
              <w:keepLines/>
              <w:ind w:firstLine="40"/>
              <w:rPr>
                <w:sz w:val="2"/>
              </w:rPr>
            </w:pPr>
          </w:p>
        </w:tc>
      </w:tr>
      <w:tr w:rsidR="002A1696" w14:paraId="04085560" w14:textId="77777777">
        <w:trPr>
          <w:cantSplit/>
          <w:trHeight w:val="20"/>
        </w:trPr>
        <w:tc>
          <w:tcPr>
            <w:tcW w:w="2529" w:type="dxa"/>
            <w:tcBorders>
              <w:top w:val="nil"/>
              <w:left w:val="nil"/>
              <w:bottom w:val="nil"/>
              <w:right w:val="nil"/>
            </w:tcBorders>
          </w:tcPr>
          <w:p w14:paraId="0408555D" w14:textId="77777777" w:rsidR="002A1696" w:rsidRDefault="00C30874" w:rsidP="003E1D72">
            <w:pPr>
              <w:keepNext/>
              <w:keepLines/>
              <w:spacing w:after="50"/>
              <w:ind w:firstLineChars="0" w:firstLine="0"/>
              <w:jc w:val="left"/>
              <w:rPr>
                <w:rFonts w:ascii="Arial" w:eastAsia="DengXian" w:hAnsi="Arial" w:cs="Arial"/>
                <w:sz w:val="16"/>
                <w:szCs w:val="20"/>
                <w:shd w:val="clear" w:color="auto" w:fill="FFFFFF"/>
              </w:rPr>
            </w:pPr>
            <w:r>
              <w:rPr>
                <w:rFonts w:ascii="Arial" w:hAnsi="Arial" w:cs="Arial"/>
                <w:sz w:val="16"/>
                <w:szCs w:val="20"/>
                <w:shd w:val="clear" w:color="auto" w:fill="FFFFFF"/>
              </w:rPr>
              <w:t>Farm forestry (hardwood timber + sheep)</w:t>
            </w:r>
          </w:p>
        </w:tc>
        <w:tc>
          <w:tcPr>
            <w:tcW w:w="5777" w:type="dxa"/>
            <w:tcBorders>
              <w:top w:val="nil"/>
              <w:left w:val="nil"/>
              <w:bottom w:val="nil"/>
              <w:right w:val="nil"/>
            </w:tcBorders>
          </w:tcPr>
          <w:p w14:paraId="0408555E" w14:textId="16EDC1C5" w:rsidR="002A1696" w:rsidRDefault="00C30874" w:rsidP="003E1D72">
            <w:pPr>
              <w:keepNext/>
              <w:keepLines/>
              <w:spacing w:after="50"/>
              <w:ind w:firstLineChars="0" w:firstLine="0"/>
              <w:jc w:val="left"/>
              <w:rPr>
                <w:rFonts w:ascii="Arial" w:eastAsia="宋体" w:hAnsi="Arial" w:cs="Arial"/>
                <w:color w:val="000000" w:themeColor="text1"/>
                <w:sz w:val="16"/>
                <w:szCs w:val="20"/>
                <w:shd w:val="clear" w:color="auto" w:fill="FFFFFF"/>
              </w:rPr>
            </w:pPr>
            <w:r>
              <w:rPr>
                <w:rFonts w:ascii="Arial" w:hAnsi="Arial" w:cs="Arial"/>
                <w:color w:val="000000" w:themeColor="text1"/>
                <w:sz w:val="16"/>
                <w:szCs w:val="20"/>
                <w:shd w:val="clear" w:color="auto" w:fill="FFFFFF"/>
              </w:rPr>
              <w:t xml:space="preserve">Single-species hardwood tree plantings established in linear belt arrangements on grazing lands, integrated with sheep production to simultaneously produce timber and livestock </w:t>
            </w:r>
            <w:r>
              <w:rPr>
                <w:rFonts w:ascii="Arial" w:hAnsi="Arial" w:cs="Arial"/>
                <w:color w:val="000000" w:themeColor="text1"/>
                <w:sz w:val="16"/>
                <w:szCs w:val="20"/>
                <w:shd w:val="clear" w:color="auto" w:fill="FFFFFF"/>
              </w:rPr>
              <w:fldChar w:fldCharType="begin"/>
            </w:r>
            <w:r w:rsidR="007C0C3E">
              <w:rPr>
                <w:rFonts w:ascii="Arial" w:hAnsi="Arial" w:cs="Arial"/>
                <w:color w:val="000000" w:themeColor="text1"/>
                <w:sz w:val="16"/>
                <w:szCs w:val="20"/>
                <w:shd w:val="clear" w:color="auto" w:fill="FFFFFF"/>
              </w:rPr>
              <w:instrText xml:space="preserve"> ADDIN EN.CITE &lt;EndNote&gt;&lt;Cite&gt;&lt;Author&gt;DAWE&lt;/Author&gt;&lt;Year&gt;2022&lt;/Year&gt;&lt;RecNum&gt;417&lt;/RecNum&gt;&lt;DisplayText&gt;&lt;style face="superscript"&gt;55&lt;/style&gt;&lt;/DisplayText&gt;&lt;record&gt;&lt;rec-number&gt;417&lt;/rec-number&gt;&lt;foreign-keys&gt;&lt;key app="EN" db-id="st0zxxax1wfadte9s5gpaptza9tfvrzsvaxs" timestamp="1747886272" guid="273c6996-a824-4a88-9586-565699b973fb"&gt;417&lt;/key&gt;&lt;/foreign-keys&gt;&lt;ref-type name="Report"&gt;27&lt;/ref-type&gt;&lt;contributors&gt;&lt;authors&gt;&lt;author&gt;DAWE&lt;/author&gt;&lt;/authors&gt;&lt;/contributors&gt;&lt;titles&gt;&lt;title&gt;Farm Forestry: Growing together&lt;/title&gt;&lt;/titles&gt;&lt;dates&gt;&lt;year&gt;2022&lt;/year&gt;&lt;pub-dates&gt;&lt;date&gt;2022/02&lt;/date&gt;&lt;/pub-dates&gt;&lt;/dates&gt;&lt;pub-location&gt;Canberra, Australia&lt;/pub-location&gt;&lt;publisher&gt;Department of Agriculture, Water and the Environment&lt;/publisher&gt;&lt;isbn&gt;978-1-76003-540-2&lt;/isbn&gt;&lt;urls&gt;&lt;related-urls&gt;&lt;url&gt;https://www.agriculture.gov.au/&lt;/url&gt;&lt;/related-urls&gt;&lt;/urls&gt;&lt;/record&gt;&lt;/Cite&gt;&lt;/EndNote&gt;</w:instrText>
            </w:r>
            <w:r>
              <w:rPr>
                <w:rFonts w:ascii="Arial" w:hAnsi="Arial" w:cs="Arial"/>
                <w:color w:val="000000" w:themeColor="text1"/>
                <w:sz w:val="16"/>
                <w:szCs w:val="20"/>
                <w:shd w:val="clear" w:color="auto" w:fill="FFFFFF"/>
              </w:rPr>
              <w:fldChar w:fldCharType="separate"/>
            </w:r>
            <w:r w:rsidR="007C0C3E" w:rsidRPr="007C0C3E">
              <w:rPr>
                <w:rFonts w:ascii="Arial" w:hAnsi="Arial" w:cs="Arial"/>
                <w:noProof/>
                <w:color w:val="000000" w:themeColor="text1"/>
                <w:sz w:val="16"/>
                <w:szCs w:val="20"/>
                <w:shd w:val="clear" w:color="auto" w:fill="FFFFFF"/>
                <w:vertAlign w:val="superscript"/>
              </w:rPr>
              <w:t>55</w:t>
            </w:r>
            <w:r>
              <w:rPr>
                <w:rFonts w:ascii="Arial" w:hAnsi="Arial" w:cs="Arial"/>
                <w:color w:val="000000" w:themeColor="text1"/>
                <w:sz w:val="16"/>
                <w:szCs w:val="20"/>
                <w:shd w:val="clear" w:color="auto" w:fill="FFFFFF"/>
              </w:rPr>
              <w:fldChar w:fldCharType="end"/>
            </w:r>
            <w:r>
              <w:rPr>
                <w:rFonts w:ascii="Arial" w:hAnsi="Arial" w:cs="Arial"/>
                <w:color w:val="000000" w:themeColor="text1"/>
                <w:sz w:val="16"/>
                <w:szCs w:val="20"/>
                <w:shd w:val="clear" w:color="auto" w:fill="FFFFFF"/>
              </w:rPr>
              <w:t>.</w:t>
            </w:r>
          </w:p>
        </w:tc>
        <w:tc>
          <w:tcPr>
            <w:tcW w:w="93" w:type="dxa"/>
            <w:tcBorders>
              <w:top w:val="nil"/>
              <w:left w:val="nil"/>
              <w:bottom w:val="nil"/>
              <w:right w:val="nil"/>
            </w:tcBorders>
          </w:tcPr>
          <w:p w14:paraId="0408555F" w14:textId="77777777" w:rsidR="002A1696" w:rsidRDefault="002A1696" w:rsidP="003E1D72">
            <w:pPr>
              <w:keepNext/>
              <w:keepLines/>
              <w:ind w:firstLine="40"/>
              <w:rPr>
                <w:sz w:val="2"/>
              </w:rPr>
            </w:pPr>
          </w:p>
        </w:tc>
      </w:tr>
      <w:tr w:rsidR="002A1696" w14:paraId="04085564" w14:textId="77777777">
        <w:trPr>
          <w:cantSplit/>
          <w:trHeight w:val="20"/>
        </w:trPr>
        <w:tc>
          <w:tcPr>
            <w:tcW w:w="2529" w:type="dxa"/>
            <w:tcBorders>
              <w:top w:val="nil"/>
              <w:left w:val="nil"/>
              <w:bottom w:val="nil"/>
              <w:right w:val="nil"/>
            </w:tcBorders>
          </w:tcPr>
          <w:p w14:paraId="04085561" w14:textId="77777777" w:rsidR="002A1696" w:rsidRDefault="00C30874" w:rsidP="003E1D72">
            <w:pPr>
              <w:keepNext/>
              <w:keepLines/>
              <w:spacing w:after="50"/>
              <w:ind w:firstLineChars="0" w:firstLine="0"/>
              <w:jc w:val="left"/>
              <w:rPr>
                <w:rFonts w:ascii="Arial" w:eastAsia="DengXian" w:hAnsi="Arial" w:cs="Arial"/>
                <w:sz w:val="16"/>
                <w:szCs w:val="20"/>
                <w:shd w:val="clear" w:color="auto" w:fill="FFFFFF"/>
              </w:rPr>
            </w:pPr>
            <w:r>
              <w:rPr>
                <w:rFonts w:ascii="Arial" w:hAnsi="Arial" w:cs="Arial"/>
                <w:sz w:val="16"/>
                <w:szCs w:val="20"/>
                <w:shd w:val="clear" w:color="auto" w:fill="FFFFFF"/>
              </w:rPr>
              <w:t>Farm forestry (hardwood timber + beef)</w:t>
            </w:r>
          </w:p>
        </w:tc>
        <w:tc>
          <w:tcPr>
            <w:tcW w:w="5777" w:type="dxa"/>
            <w:tcBorders>
              <w:top w:val="nil"/>
              <w:left w:val="nil"/>
              <w:bottom w:val="nil"/>
              <w:right w:val="nil"/>
            </w:tcBorders>
          </w:tcPr>
          <w:p w14:paraId="04085562" w14:textId="74C5AE11" w:rsidR="002A1696" w:rsidRDefault="00C30874" w:rsidP="003E1D72">
            <w:pPr>
              <w:keepNext/>
              <w:keepLines/>
              <w:spacing w:after="50"/>
              <w:ind w:firstLineChars="0" w:firstLine="0"/>
              <w:jc w:val="left"/>
              <w:rPr>
                <w:rFonts w:ascii="Arial" w:eastAsia="宋体" w:hAnsi="Arial" w:cs="Arial"/>
                <w:color w:val="000000" w:themeColor="text1"/>
                <w:sz w:val="16"/>
                <w:szCs w:val="20"/>
                <w:shd w:val="clear" w:color="auto" w:fill="FFFFFF"/>
              </w:rPr>
            </w:pPr>
            <w:r>
              <w:rPr>
                <w:rFonts w:ascii="Arial" w:hAnsi="Arial" w:cs="Arial"/>
                <w:color w:val="000000" w:themeColor="text1"/>
                <w:sz w:val="16"/>
                <w:szCs w:val="20"/>
                <w:shd w:val="clear" w:color="auto" w:fill="FFFFFF"/>
              </w:rPr>
              <w:t xml:space="preserve">Single-species hardwood tree plantings established in linear belt arrangements on grazing lands, integrated with beef cattle production to simultaneously produce timber and livestock </w:t>
            </w:r>
            <w:r>
              <w:rPr>
                <w:rFonts w:ascii="Arial" w:hAnsi="Arial" w:cs="Arial"/>
                <w:color w:val="000000" w:themeColor="text1"/>
                <w:sz w:val="16"/>
                <w:szCs w:val="20"/>
                <w:shd w:val="clear" w:color="auto" w:fill="FFFFFF"/>
              </w:rPr>
              <w:fldChar w:fldCharType="begin"/>
            </w:r>
            <w:r w:rsidR="007C0C3E">
              <w:rPr>
                <w:rFonts w:ascii="Arial" w:hAnsi="Arial" w:cs="Arial"/>
                <w:color w:val="000000" w:themeColor="text1"/>
                <w:sz w:val="16"/>
                <w:szCs w:val="20"/>
                <w:shd w:val="clear" w:color="auto" w:fill="FFFFFF"/>
              </w:rPr>
              <w:instrText xml:space="preserve"> ADDIN EN.CITE &lt;EndNote&gt;&lt;Cite&gt;&lt;Author&gt;DAWE&lt;/Author&gt;&lt;Year&gt;2022&lt;/Year&gt;&lt;RecNum&gt;417&lt;/RecNum&gt;&lt;DisplayText&gt;&lt;style face="superscript"&gt;55&lt;/style&gt;&lt;/DisplayText&gt;&lt;record&gt;&lt;rec-number&gt;417&lt;/rec-number&gt;&lt;foreign-keys&gt;&lt;key app="EN" db-id="st0zxxax1wfadte9s5gpaptza9tfvrzsvaxs" timestamp="1747886272" guid="273c6996-a824-4a88-9586-565699b973fb"&gt;417&lt;/key&gt;&lt;/foreign-keys&gt;&lt;ref-type name="Report"&gt;27&lt;/ref-type&gt;&lt;contributors&gt;&lt;authors&gt;&lt;author&gt;DAWE&lt;/author&gt;&lt;/authors&gt;&lt;/contributors&gt;&lt;titles&gt;&lt;title&gt;Farm Forestry: Growing together&lt;/title&gt;&lt;/titles&gt;&lt;dates&gt;&lt;year&gt;2022&lt;/year&gt;&lt;pub-dates&gt;&lt;date&gt;2022/02&lt;/date&gt;&lt;/pub-dates&gt;&lt;/dates&gt;&lt;pub-location&gt;Canberra, Australia&lt;/pub-location&gt;&lt;publisher&gt;Department of Agriculture, Water and the Environment&lt;/publisher&gt;&lt;isbn&gt;978-1-76003-540-2&lt;/isbn&gt;&lt;urls&gt;&lt;related-urls&gt;&lt;url&gt;https://www.agriculture.gov.au/&lt;/url&gt;&lt;/related-urls&gt;&lt;/urls&gt;&lt;/record&gt;&lt;/Cite&gt;&lt;/EndNote&gt;</w:instrText>
            </w:r>
            <w:r>
              <w:rPr>
                <w:rFonts w:ascii="Arial" w:hAnsi="Arial" w:cs="Arial"/>
                <w:color w:val="000000" w:themeColor="text1"/>
                <w:sz w:val="16"/>
                <w:szCs w:val="20"/>
                <w:shd w:val="clear" w:color="auto" w:fill="FFFFFF"/>
              </w:rPr>
              <w:fldChar w:fldCharType="separate"/>
            </w:r>
            <w:r w:rsidR="007C0C3E" w:rsidRPr="007C0C3E">
              <w:rPr>
                <w:rFonts w:ascii="Arial" w:hAnsi="Arial" w:cs="Arial"/>
                <w:noProof/>
                <w:color w:val="000000" w:themeColor="text1"/>
                <w:sz w:val="16"/>
                <w:szCs w:val="20"/>
                <w:shd w:val="clear" w:color="auto" w:fill="FFFFFF"/>
                <w:vertAlign w:val="superscript"/>
              </w:rPr>
              <w:t>55</w:t>
            </w:r>
            <w:r>
              <w:rPr>
                <w:rFonts w:ascii="Arial" w:hAnsi="Arial" w:cs="Arial"/>
                <w:color w:val="000000" w:themeColor="text1"/>
                <w:sz w:val="16"/>
                <w:szCs w:val="20"/>
                <w:shd w:val="clear" w:color="auto" w:fill="FFFFFF"/>
              </w:rPr>
              <w:fldChar w:fldCharType="end"/>
            </w:r>
            <w:r>
              <w:rPr>
                <w:rFonts w:ascii="Arial" w:hAnsi="Arial" w:cs="Arial"/>
                <w:color w:val="000000" w:themeColor="text1"/>
                <w:sz w:val="16"/>
                <w:szCs w:val="20"/>
                <w:shd w:val="clear" w:color="auto" w:fill="FFFFFF"/>
              </w:rPr>
              <w:t>.</w:t>
            </w:r>
          </w:p>
        </w:tc>
        <w:tc>
          <w:tcPr>
            <w:tcW w:w="93" w:type="dxa"/>
            <w:tcBorders>
              <w:top w:val="nil"/>
              <w:left w:val="nil"/>
              <w:bottom w:val="nil"/>
              <w:right w:val="nil"/>
            </w:tcBorders>
          </w:tcPr>
          <w:p w14:paraId="04085563" w14:textId="77777777" w:rsidR="002A1696" w:rsidRDefault="002A1696" w:rsidP="003E1D72">
            <w:pPr>
              <w:keepNext/>
              <w:keepLines/>
              <w:ind w:firstLine="40"/>
              <w:rPr>
                <w:sz w:val="2"/>
              </w:rPr>
            </w:pPr>
          </w:p>
        </w:tc>
      </w:tr>
      <w:tr w:rsidR="002A1696" w14:paraId="04085568" w14:textId="77777777">
        <w:trPr>
          <w:cantSplit/>
          <w:trHeight w:val="20"/>
        </w:trPr>
        <w:tc>
          <w:tcPr>
            <w:tcW w:w="2529" w:type="dxa"/>
            <w:tcBorders>
              <w:top w:val="nil"/>
              <w:left w:val="nil"/>
              <w:right w:val="nil"/>
            </w:tcBorders>
          </w:tcPr>
          <w:p w14:paraId="04085565" w14:textId="77777777" w:rsidR="002A1696" w:rsidRDefault="00C30874" w:rsidP="003E1D72">
            <w:pPr>
              <w:keepNext/>
              <w:keepLines/>
              <w:spacing w:after="50"/>
              <w:ind w:firstLineChars="0" w:firstLine="0"/>
              <w:jc w:val="left"/>
              <w:rPr>
                <w:rFonts w:ascii="Arial" w:eastAsia="Arial" w:hAnsi="Arial" w:cs="Arial"/>
                <w:sz w:val="16"/>
                <w:szCs w:val="20"/>
                <w:shd w:val="clear" w:color="auto" w:fill="FFFFFF"/>
              </w:rPr>
            </w:pPr>
            <w:r>
              <w:rPr>
                <w:rFonts w:ascii="Arial" w:hAnsi="Arial" w:cs="Arial"/>
                <w:sz w:val="16"/>
                <w:szCs w:val="20"/>
                <w:shd w:val="clear" w:color="auto" w:fill="FFFFFF"/>
              </w:rPr>
              <w:t>Destocked natural land</w:t>
            </w:r>
          </w:p>
        </w:tc>
        <w:tc>
          <w:tcPr>
            <w:tcW w:w="5777" w:type="dxa"/>
            <w:tcBorders>
              <w:top w:val="nil"/>
              <w:left w:val="nil"/>
              <w:right w:val="nil"/>
            </w:tcBorders>
          </w:tcPr>
          <w:p w14:paraId="04085566" w14:textId="2A98316F" w:rsidR="002A1696" w:rsidRDefault="00C30874" w:rsidP="003E1D72">
            <w:pPr>
              <w:keepNext/>
              <w:keepLines/>
              <w:spacing w:after="50"/>
              <w:ind w:firstLineChars="0" w:firstLine="0"/>
              <w:jc w:val="left"/>
              <w:rPr>
                <w:rFonts w:ascii="Arial" w:eastAsiaTheme="minorEastAsia" w:hAnsi="Arial" w:cs="Arial"/>
                <w:color w:val="000000" w:themeColor="text1"/>
                <w:sz w:val="16"/>
                <w:szCs w:val="20"/>
                <w:shd w:val="clear" w:color="auto" w:fill="FFFFFF"/>
              </w:rPr>
            </w:pPr>
            <w:r>
              <w:rPr>
                <w:rFonts w:ascii="Arial" w:hAnsi="Arial" w:cs="Arial"/>
                <w:color w:val="000000" w:themeColor="text1"/>
                <w:sz w:val="16"/>
                <w:szCs w:val="20"/>
                <w:shd w:val="clear" w:color="auto" w:fill="FFFFFF"/>
              </w:rPr>
              <w:t xml:space="preserve">Complete removal of livestock from natural grazing lands to allow full ecological recovery through passive regeneration. This land-use supports biodiversity and carbon sequestration by eliminating agricultural disturbance and enabling native vegetation to re-establish </w:t>
            </w:r>
            <w:r>
              <w:rPr>
                <w:rFonts w:ascii="Arial" w:hAnsi="Arial" w:cs="Arial"/>
                <w:color w:val="000000" w:themeColor="text1"/>
                <w:sz w:val="16"/>
                <w:szCs w:val="20"/>
                <w:shd w:val="clear" w:color="auto" w:fill="FFFFFF"/>
              </w:rPr>
              <w:fldChar w:fldCharType="begin"/>
            </w:r>
            <w:r w:rsidR="007C0C3E">
              <w:rPr>
                <w:rFonts w:ascii="Arial" w:hAnsi="Arial" w:cs="Arial"/>
                <w:color w:val="000000" w:themeColor="text1"/>
                <w:sz w:val="16"/>
                <w:szCs w:val="20"/>
                <w:shd w:val="clear" w:color="auto" w:fill="FFFFFF"/>
              </w:rPr>
              <w:instrText xml:space="preserve"> ADDIN EN.CITE &lt;EndNote&gt;&lt;Cite&gt;&lt;Author&gt;Forrester&lt;/Author&gt;&lt;Year&gt;2025&lt;/Year&gt;&lt;RecNum&gt;430&lt;/RecNum&gt;&lt;DisplayText&gt;&lt;style face="superscript"&gt;56&lt;/style&gt;&lt;/DisplayText&gt;&lt;record&gt;&lt;rec-number&gt;430&lt;/rec-number&gt;&lt;foreign-keys&gt;&lt;key app="EN" db-id="st0zxxax1wfadte9s5gpaptza9tfvrzsvaxs" timestamp="1749176031" guid="fbc87eb6-0b97-4ce1-a0dd-e3751259867e"&gt;430&lt;/key&gt;&lt;/foreign-keys&gt;&lt;ref-type name="Journal Article"&gt;17&lt;/ref-type&gt;&lt;contributors&gt;&lt;authors&gt;&lt;author&gt;Forrester, David I.&lt;/author&gt;&lt;author&gt;England, Jacqueline R.&lt;/author&gt;&lt;author&gt;Ng, Ee Ling&lt;/author&gt;&lt;author&gt;Piper, Melissa&lt;/author&gt;&lt;author&gt;Hodgkinson, Ken C.&lt;/author&gt;&lt;author&gt;Bray, Steven G.&lt;/author&gt;&lt;author&gt;Roxburgh, Stephen H.&lt;/author&gt;&lt;author&gt;Paul, Keryn I.&lt;/author&gt;&lt;/authors&gt;&lt;/contributors&gt;&lt;titles&gt;&lt;title&gt;Does grazing exclusion in Australia’s rangelands affect biomass and debris carbon stocks?&lt;/title&gt;&lt;secondary-title&gt;The Rangeland Journal&lt;/secondary-title&gt;&lt;/titles&gt;&lt;periodical&gt;&lt;full-title&gt;The Rangeland Journal&lt;/full-title&gt;&lt;/periodical&gt;&lt;volume&gt;47&lt;/volume&gt;&lt;number&gt;3&lt;/number&gt;&lt;dates&gt;&lt;year&gt;2025&lt;/year&gt;&lt;/dates&gt;&lt;isbn&gt;1036-9872&amp;#xD;1834-7541&lt;/isbn&gt;&lt;urls&gt;&lt;/urls&gt;&lt;electronic-resource-num&gt;10.1071/rj24028&lt;/electronic-resource-num&gt;&lt;/record&gt;&lt;/Cite&gt;&lt;/EndNote&gt;</w:instrText>
            </w:r>
            <w:r>
              <w:rPr>
                <w:rFonts w:ascii="Arial" w:hAnsi="Arial" w:cs="Arial"/>
                <w:color w:val="000000" w:themeColor="text1"/>
                <w:sz w:val="16"/>
                <w:szCs w:val="20"/>
                <w:shd w:val="clear" w:color="auto" w:fill="FFFFFF"/>
              </w:rPr>
              <w:fldChar w:fldCharType="separate"/>
            </w:r>
            <w:r w:rsidR="007C0C3E" w:rsidRPr="007C0C3E">
              <w:rPr>
                <w:rFonts w:ascii="Arial" w:hAnsi="Arial" w:cs="Arial"/>
                <w:noProof/>
                <w:color w:val="000000" w:themeColor="text1"/>
                <w:sz w:val="16"/>
                <w:szCs w:val="20"/>
                <w:shd w:val="clear" w:color="auto" w:fill="FFFFFF"/>
                <w:vertAlign w:val="superscript"/>
              </w:rPr>
              <w:t>56</w:t>
            </w:r>
            <w:r>
              <w:rPr>
                <w:rFonts w:ascii="Arial" w:hAnsi="Arial" w:cs="Arial"/>
                <w:color w:val="000000" w:themeColor="text1"/>
                <w:sz w:val="16"/>
                <w:szCs w:val="20"/>
                <w:shd w:val="clear" w:color="auto" w:fill="FFFFFF"/>
              </w:rPr>
              <w:fldChar w:fldCharType="end"/>
            </w:r>
            <w:r>
              <w:rPr>
                <w:rFonts w:ascii="Arial" w:hAnsi="Arial" w:cs="Arial"/>
                <w:color w:val="000000" w:themeColor="text1"/>
                <w:sz w:val="16"/>
                <w:szCs w:val="20"/>
                <w:shd w:val="clear" w:color="auto" w:fill="FFFFFF"/>
              </w:rPr>
              <w:t>.</w:t>
            </w:r>
          </w:p>
        </w:tc>
        <w:tc>
          <w:tcPr>
            <w:tcW w:w="93" w:type="dxa"/>
            <w:tcBorders>
              <w:top w:val="nil"/>
              <w:left w:val="nil"/>
              <w:bottom w:val="nil"/>
              <w:right w:val="nil"/>
            </w:tcBorders>
          </w:tcPr>
          <w:p w14:paraId="04085567" w14:textId="77777777" w:rsidR="002A1696" w:rsidRDefault="002A1696" w:rsidP="003E1D72">
            <w:pPr>
              <w:keepNext/>
              <w:keepLines/>
              <w:ind w:firstLine="40"/>
              <w:rPr>
                <w:sz w:val="2"/>
              </w:rPr>
            </w:pPr>
          </w:p>
        </w:tc>
      </w:tr>
    </w:tbl>
    <w:p w14:paraId="04085569" w14:textId="77777777" w:rsidR="002A1696" w:rsidRDefault="00C30874" w:rsidP="003E1D72">
      <w:pPr>
        <w:pStyle w:val="TableName"/>
        <w:keepNext/>
        <w:keepLines/>
        <w:jc w:val="left"/>
      </w:pPr>
      <w:r>
        <w:br w:type="page"/>
      </w:r>
    </w:p>
    <w:p w14:paraId="6AA0A643" w14:textId="26DC96F2" w:rsidR="002A5257" w:rsidRPr="005472BF" w:rsidRDefault="005472BF" w:rsidP="002A5257">
      <w:pPr>
        <w:pStyle w:val="TableName"/>
        <w:keepNext/>
        <w:keepLines/>
        <w:jc w:val="left"/>
        <w:rPr>
          <w:b/>
          <w:bCs/>
        </w:rPr>
      </w:pPr>
      <w:bookmarkStart w:id="2" w:name="_RefCXSTable3"/>
      <w:r>
        <w:rPr>
          <w:b/>
          <w:bCs/>
        </w:rPr>
        <w:lastRenderedPageBreak/>
        <w:t>Table S</w:t>
      </w:r>
      <w:r>
        <w:rPr>
          <w:b/>
          <w:bCs/>
        </w:rPr>
        <w:fldChar w:fldCharType="begin"/>
      </w:r>
      <w:r>
        <w:rPr>
          <w:b/>
          <w:bCs/>
        </w:rPr>
        <w:instrText xml:space="preserve"> SEQ Table_S \* ARABIC </w:instrText>
      </w:r>
      <w:r>
        <w:rPr>
          <w:b/>
          <w:bCs/>
        </w:rPr>
        <w:fldChar w:fldCharType="separate"/>
      </w:r>
      <w:r>
        <w:rPr>
          <w:b/>
          <w:bCs/>
          <w:noProof/>
        </w:rPr>
        <w:t>3</w:t>
      </w:r>
      <w:r>
        <w:rPr>
          <w:b/>
          <w:bCs/>
        </w:rPr>
        <w:fldChar w:fldCharType="end"/>
      </w:r>
      <w:r>
        <w:rPr>
          <w:b/>
          <w:bCs/>
        </w:rPr>
        <w:t>. Definition and description of agricultural management solutions employed in the LUTO2 model.</w:t>
      </w:r>
      <w:r>
        <w:rPr>
          <w:rFonts w:hint="eastAsia"/>
          <w:b/>
          <w:bCs/>
        </w:rPr>
        <w:t xml:space="preserve"> </w:t>
      </w:r>
    </w:p>
    <w:tbl>
      <w:tblPr>
        <w:tblStyle w:val="aff3"/>
        <w:tblW w:w="8399" w:type="dxa"/>
        <w:tblLayout w:type="fixed"/>
        <w:tblCellMar>
          <w:top w:w="57" w:type="dxa"/>
          <w:left w:w="57" w:type="dxa"/>
          <w:bottom w:w="57" w:type="dxa"/>
          <w:right w:w="57" w:type="dxa"/>
        </w:tblCellMar>
        <w:tblLook w:val="04A0" w:firstRow="1" w:lastRow="0" w:firstColumn="1" w:lastColumn="0" w:noHBand="0" w:noVBand="1"/>
      </w:tblPr>
      <w:tblGrid>
        <w:gridCol w:w="2516"/>
        <w:gridCol w:w="5749"/>
        <w:gridCol w:w="134"/>
      </w:tblGrid>
      <w:tr w:rsidR="002A5257" w14:paraId="38FB310A" w14:textId="77777777" w:rsidTr="00A37C93">
        <w:trPr>
          <w:cantSplit/>
          <w:trHeight w:val="20"/>
        </w:trPr>
        <w:tc>
          <w:tcPr>
            <w:tcW w:w="2528" w:type="dxa"/>
            <w:tcBorders>
              <w:left w:val="nil"/>
              <w:bottom w:val="single" w:sz="6" w:space="0" w:color="000000"/>
              <w:right w:val="nil"/>
            </w:tcBorders>
          </w:tcPr>
          <w:p w14:paraId="3017504D" w14:textId="77777777" w:rsidR="002A5257" w:rsidRDefault="002A5257" w:rsidP="00A37C93">
            <w:pPr>
              <w:keepNext/>
              <w:keepLines/>
              <w:ind w:firstLineChars="0" w:firstLine="0"/>
              <w:jc w:val="left"/>
              <w:rPr>
                <w:rFonts w:ascii="Arial" w:eastAsia="宋体" w:hAnsi="Arial" w:cs="Arial"/>
                <w:b/>
                <w:bCs/>
                <w:sz w:val="16"/>
                <w:szCs w:val="16"/>
              </w:rPr>
            </w:pPr>
            <w:r>
              <w:rPr>
                <w:rFonts w:ascii="Arial" w:hAnsi="Arial" w:cs="Arial"/>
                <w:b/>
                <w:bCs/>
                <w:sz w:val="16"/>
                <w:szCs w:val="16"/>
              </w:rPr>
              <w:t>Agricultural management</w:t>
            </w:r>
          </w:p>
        </w:tc>
        <w:tc>
          <w:tcPr>
            <w:tcW w:w="5871" w:type="dxa"/>
            <w:gridSpan w:val="2"/>
            <w:tcBorders>
              <w:left w:val="nil"/>
              <w:bottom w:val="single" w:sz="6" w:space="0" w:color="000000"/>
              <w:right w:val="nil"/>
            </w:tcBorders>
          </w:tcPr>
          <w:p w14:paraId="09706C66" w14:textId="77777777" w:rsidR="002A5257" w:rsidRDefault="002A5257" w:rsidP="00A37C93">
            <w:pPr>
              <w:keepNext/>
              <w:keepLines/>
              <w:ind w:firstLineChars="0" w:firstLine="0"/>
              <w:jc w:val="left"/>
              <w:rPr>
                <w:rFonts w:ascii="Arial" w:eastAsia="宋体" w:hAnsi="Arial" w:cs="Arial"/>
                <w:b/>
                <w:bCs/>
                <w:sz w:val="16"/>
                <w:szCs w:val="16"/>
              </w:rPr>
            </w:pPr>
            <w:r>
              <w:rPr>
                <w:rFonts w:ascii="Arial" w:hAnsi="Arial" w:cs="Arial"/>
                <w:b/>
                <w:bCs/>
                <w:sz w:val="16"/>
                <w:szCs w:val="16"/>
              </w:rPr>
              <w:t>Definition</w:t>
            </w:r>
          </w:p>
        </w:tc>
      </w:tr>
      <w:tr w:rsidR="002A5257" w14:paraId="37580CD5" w14:textId="77777777" w:rsidTr="00A37C93">
        <w:trPr>
          <w:cantSplit/>
          <w:trHeight w:val="20"/>
        </w:trPr>
        <w:tc>
          <w:tcPr>
            <w:tcW w:w="2528" w:type="dxa"/>
            <w:tcBorders>
              <w:top w:val="single" w:sz="6" w:space="0" w:color="000000"/>
              <w:left w:val="nil"/>
              <w:bottom w:val="nil"/>
              <w:right w:val="nil"/>
            </w:tcBorders>
          </w:tcPr>
          <w:p w14:paraId="17951803" w14:textId="77777777" w:rsidR="002A5257" w:rsidRDefault="002A5257" w:rsidP="00A37C93">
            <w:pPr>
              <w:keepNext/>
              <w:keepLines/>
              <w:ind w:firstLineChars="0" w:firstLine="0"/>
              <w:jc w:val="left"/>
              <w:rPr>
                <w:rFonts w:ascii="Arial" w:eastAsia="宋体" w:hAnsi="Arial" w:cs="Arial"/>
                <w:sz w:val="16"/>
                <w:szCs w:val="16"/>
              </w:rPr>
            </w:pPr>
            <w:r>
              <w:rPr>
                <w:rFonts w:ascii="Arial" w:hAnsi="Arial" w:cs="Arial"/>
                <w:sz w:val="16"/>
                <w:szCs w:val="16"/>
              </w:rPr>
              <w:t>Agricultural technology (fertiliser)</w:t>
            </w:r>
          </w:p>
        </w:tc>
        <w:tc>
          <w:tcPr>
            <w:tcW w:w="5778" w:type="dxa"/>
            <w:tcBorders>
              <w:top w:val="single" w:sz="6" w:space="0" w:color="000000"/>
              <w:left w:val="nil"/>
              <w:bottom w:val="nil"/>
              <w:right w:val="nil"/>
            </w:tcBorders>
          </w:tcPr>
          <w:p w14:paraId="4DC6FA97" w14:textId="58994644" w:rsidR="002A5257" w:rsidRDefault="002A5257" w:rsidP="00A37C93">
            <w:pPr>
              <w:keepNext/>
              <w:keepLines/>
              <w:ind w:firstLineChars="0" w:firstLine="0"/>
              <w:rPr>
                <w:rFonts w:ascii="Arial" w:eastAsia="宋体" w:hAnsi="Arial" w:cs="Arial"/>
                <w:color w:val="000000" w:themeColor="text1"/>
                <w:sz w:val="16"/>
                <w:szCs w:val="16"/>
              </w:rPr>
            </w:pPr>
            <w:r>
              <w:rPr>
                <w:rFonts w:ascii="Arial" w:hAnsi="Arial" w:cs="Arial"/>
                <w:color w:val="000000" w:themeColor="text1"/>
                <w:sz w:val="16"/>
                <w:szCs w:val="16"/>
              </w:rPr>
              <w:t>A fertiliser-efficiency bundle using enhanced-efficiency fertilisers (slow- and controlled-release formulations) and nitrification inhibitors to improve nitrogen use efficiency and reduce losses. This optimises input use, reduces waste, and improves crop yields</w:t>
            </w:r>
            <w:r>
              <w:rPr>
                <w:rFonts w:ascii="Arial" w:hAnsi="Arial" w:cs="Arial"/>
                <w:color w:val="000000" w:themeColor="text1"/>
                <w:sz w:val="16"/>
                <w:szCs w:val="16"/>
              </w:rPr>
              <w:fldChar w:fldCharType="begin">
                <w:fldData xml:space="preserve">PEVuZE5vdGU+PENpdGU+PEF1dGhvcj5Ib3F1ZTwvQXV0aG9yPjxZZWFyPjIwMjQ8L1llYXI+PFJl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</w:fldData>
              </w:fldChar>
            </w:r>
            <w:r w:rsidR="007C0C3E">
              <w:rPr>
                <w:rFonts w:ascii="Arial" w:hAnsi="Arial" w:cs="Arial"/>
                <w:color w:val="000000" w:themeColor="text1"/>
                <w:sz w:val="16"/>
                <w:szCs w:val="16"/>
              </w:rPr>
              <w:instrText xml:space="preserve"> ADDIN EN.CITE </w:instrText>
            </w:r>
            <w:r w:rsidR="007C0C3E">
              <w:rPr>
                <w:rFonts w:ascii="Arial" w:hAnsi="Arial" w:cs="Arial"/>
                <w:color w:val="000000" w:themeColor="text1"/>
                <w:sz w:val="16"/>
                <w:szCs w:val="16"/>
              </w:rPr>
              <w:fldChar w:fldCharType="begin">
                <w:fldData xml:space="preserve">PEVuZE5vdGU+PENpdGU+PEF1dGhvcj5Ib3F1ZTwvQXV0aG9yPjxZZWFyPjIwMjQ8L1llYXI+PFJl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</w:fldData>
              </w:fldChar>
            </w:r>
            <w:r w:rsidR="007C0C3E">
              <w:rPr>
                <w:rFonts w:ascii="Arial" w:hAnsi="Arial" w:cs="Arial"/>
                <w:color w:val="000000" w:themeColor="text1"/>
                <w:sz w:val="16"/>
                <w:szCs w:val="16"/>
              </w:rPr>
              <w:instrText xml:space="preserve"> ADDIN EN.CITE.DATA </w:instrText>
            </w:r>
            <w:r w:rsidR="007C0C3E">
              <w:rPr>
                <w:rFonts w:ascii="Arial" w:hAnsi="Arial" w:cs="Arial"/>
                <w:color w:val="000000" w:themeColor="text1"/>
                <w:sz w:val="16"/>
                <w:szCs w:val="16"/>
              </w:rPr>
            </w:r>
            <w:r w:rsidR="007C0C3E">
              <w:rPr>
                <w:rFonts w:ascii="Arial" w:hAnsi="Arial" w:cs="Arial"/>
                <w:color w:val="000000" w:themeColor="text1"/>
                <w:sz w:val="16"/>
                <w:szCs w:val="16"/>
              </w:rPr>
              <w:fldChar w:fldCharType="end"/>
            </w:r>
            <w:r>
              <w:rPr>
                <w:rFonts w:ascii="Arial" w:hAnsi="Arial" w:cs="Arial"/>
                <w:color w:val="000000" w:themeColor="text1"/>
                <w:sz w:val="16"/>
                <w:szCs w:val="16"/>
              </w:rPr>
            </w:r>
            <w:r>
              <w:rPr>
                <w:rFonts w:ascii="Arial" w:hAnsi="Arial" w:cs="Arial"/>
                <w:color w:val="000000" w:themeColor="text1"/>
                <w:sz w:val="16"/>
                <w:szCs w:val="16"/>
              </w:rPr>
              <w:fldChar w:fldCharType="separate"/>
            </w:r>
            <w:r w:rsidR="007C0C3E" w:rsidRPr="007C0C3E">
              <w:rPr>
                <w:rFonts w:ascii="Arial" w:hAnsi="Arial" w:cs="Arial"/>
                <w:noProof/>
                <w:color w:val="000000" w:themeColor="text1"/>
                <w:sz w:val="16"/>
                <w:szCs w:val="16"/>
                <w:vertAlign w:val="superscript"/>
              </w:rPr>
              <w:t>57,58</w:t>
            </w:r>
            <w:r>
              <w:rPr>
                <w:rFonts w:ascii="Arial" w:hAnsi="Arial" w:cs="Arial"/>
                <w:color w:val="000000" w:themeColor="text1"/>
                <w:sz w:val="16"/>
                <w:szCs w:val="16"/>
              </w:rPr>
              <w:fldChar w:fldCharType="end"/>
            </w:r>
            <w:r>
              <w:rPr>
                <w:rFonts w:ascii="Arial" w:hAnsi="Arial" w:cs="Arial"/>
                <w:color w:val="000000" w:themeColor="text1"/>
                <w:sz w:val="16"/>
                <w:szCs w:val="16"/>
              </w:rPr>
              <w:t>.</w:t>
            </w:r>
          </w:p>
        </w:tc>
        <w:tc>
          <w:tcPr>
            <w:tcW w:w="93" w:type="dxa"/>
            <w:tcBorders>
              <w:top w:val="nil"/>
              <w:left w:val="nil"/>
              <w:bottom w:val="nil"/>
              <w:right w:val="nil"/>
            </w:tcBorders>
          </w:tcPr>
          <w:p w14:paraId="658841FA" w14:textId="77777777" w:rsidR="002A5257" w:rsidRDefault="002A5257" w:rsidP="00A37C93">
            <w:pPr>
              <w:keepNext/>
              <w:keepLines/>
              <w:ind w:firstLine="40"/>
              <w:rPr>
                <w:sz w:val="2"/>
              </w:rPr>
            </w:pPr>
          </w:p>
        </w:tc>
      </w:tr>
      <w:tr w:rsidR="002A5257" w14:paraId="56BA4E2C" w14:textId="77777777" w:rsidTr="00A37C93">
        <w:trPr>
          <w:cantSplit/>
          <w:trHeight w:val="20"/>
        </w:trPr>
        <w:tc>
          <w:tcPr>
            <w:tcW w:w="2528" w:type="dxa"/>
            <w:tcBorders>
              <w:top w:val="nil"/>
              <w:left w:val="nil"/>
              <w:bottom w:val="nil"/>
              <w:right w:val="nil"/>
            </w:tcBorders>
          </w:tcPr>
          <w:p w14:paraId="47F10844" w14:textId="77777777" w:rsidR="002A5257" w:rsidRDefault="002A5257" w:rsidP="00A37C93">
            <w:pPr>
              <w:keepNext/>
              <w:keepLines/>
              <w:ind w:firstLineChars="0" w:firstLine="0"/>
              <w:jc w:val="left"/>
              <w:rPr>
                <w:rFonts w:ascii="Arial" w:eastAsia="宋体" w:hAnsi="Arial" w:cs="Arial"/>
                <w:sz w:val="16"/>
                <w:szCs w:val="16"/>
              </w:rPr>
            </w:pPr>
            <w:r>
              <w:rPr>
                <w:rFonts w:ascii="Arial" w:hAnsi="Arial" w:cs="Arial"/>
                <w:sz w:val="16"/>
                <w:szCs w:val="16"/>
              </w:rPr>
              <w:t>Agricultural technology (energy)</w:t>
            </w:r>
          </w:p>
        </w:tc>
        <w:tc>
          <w:tcPr>
            <w:tcW w:w="5778" w:type="dxa"/>
            <w:tcBorders>
              <w:top w:val="nil"/>
              <w:left w:val="nil"/>
              <w:bottom w:val="nil"/>
              <w:right w:val="nil"/>
            </w:tcBorders>
          </w:tcPr>
          <w:p w14:paraId="04D6FE16" w14:textId="53ACE4E0" w:rsidR="002A5257" w:rsidRDefault="002A5257" w:rsidP="00A37C93">
            <w:pPr>
              <w:keepNext/>
              <w:keepLines/>
              <w:ind w:firstLineChars="0" w:firstLine="0"/>
              <w:rPr>
                <w:rFonts w:ascii="Arial" w:eastAsia="宋体" w:hAnsi="Arial" w:cs="Arial"/>
                <w:color w:val="000000" w:themeColor="text1"/>
                <w:sz w:val="16"/>
                <w:szCs w:val="16"/>
              </w:rPr>
            </w:pPr>
            <w:r>
              <w:rPr>
                <w:rFonts w:ascii="Arial" w:hAnsi="Arial" w:cs="Arial"/>
                <w:color w:val="000000" w:themeColor="text1"/>
                <w:sz w:val="16"/>
                <w:szCs w:val="16"/>
              </w:rPr>
              <w:t xml:space="preserve">An energy bundle deploying digital (“smart agriculture”) technologies that reduce the energy intensity of on-farm energy use through improved operational efficiency—particularly via variable-rate technologies and precision timing and application of inputs (including precision fertiliser application) </w:t>
            </w:r>
            <w:r>
              <w:rPr>
                <w:rFonts w:ascii="Arial" w:hAnsi="Arial" w:cs="Arial"/>
                <w:color w:val="000000" w:themeColor="text1"/>
                <w:sz w:val="16"/>
                <w:szCs w:val="16"/>
              </w:rPr>
              <w:fldChar w:fldCharType="begin">
                <w:fldData xml:space="preserve">PEVuZE5vdGU+PENpdGU+PEF1dGhvcj5Ob3J0aHJ1cDwvQXV0aG9yPjxZZWFyPjIwMjE8L1llYXI+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</w:fldData>
              </w:fldChar>
            </w:r>
            <w:r w:rsidR="007C0C3E">
              <w:rPr>
                <w:rFonts w:ascii="Arial" w:hAnsi="Arial" w:cs="Arial"/>
                <w:color w:val="000000" w:themeColor="text1"/>
                <w:sz w:val="16"/>
                <w:szCs w:val="16"/>
              </w:rPr>
              <w:instrText xml:space="preserve"> ADDIN EN.CITE </w:instrText>
            </w:r>
            <w:r w:rsidR="007C0C3E">
              <w:rPr>
                <w:rFonts w:ascii="Arial" w:hAnsi="Arial" w:cs="Arial"/>
                <w:color w:val="000000" w:themeColor="text1"/>
                <w:sz w:val="16"/>
                <w:szCs w:val="16"/>
              </w:rPr>
              <w:fldChar w:fldCharType="begin">
                <w:fldData xml:space="preserve">PEVuZE5vdGU+PENpdGU+PEF1dGhvcj5Ob3J0aHJ1cDwvQXV0aG9yPjxZZWFyPjIwMjE8L1llYXI+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</w:fldData>
              </w:fldChar>
            </w:r>
            <w:r w:rsidR="007C0C3E">
              <w:rPr>
                <w:rFonts w:ascii="Arial" w:hAnsi="Arial" w:cs="Arial"/>
                <w:color w:val="000000" w:themeColor="text1"/>
                <w:sz w:val="16"/>
                <w:szCs w:val="16"/>
              </w:rPr>
              <w:instrText xml:space="preserve"> ADDIN EN.CITE.DATA </w:instrText>
            </w:r>
            <w:r w:rsidR="007C0C3E">
              <w:rPr>
                <w:rFonts w:ascii="Arial" w:hAnsi="Arial" w:cs="Arial"/>
                <w:color w:val="000000" w:themeColor="text1"/>
                <w:sz w:val="16"/>
                <w:szCs w:val="16"/>
              </w:rPr>
            </w:r>
            <w:r w:rsidR="007C0C3E">
              <w:rPr>
                <w:rFonts w:ascii="Arial" w:hAnsi="Arial" w:cs="Arial"/>
                <w:color w:val="000000" w:themeColor="text1"/>
                <w:sz w:val="16"/>
                <w:szCs w:val="16"/>
              </w:rPr>
              <w:fldChar w:fldCharType="end"/>
            </w:r>
            <w:r>
              <w:rPr>
                <w:rFonts w:ascii="Arial" w:hAnsi="Arial" w:cs="Arial"/>
                <w:color w:val="000000" w:themeColor="text1"/>
                <w:sz w:val="16"/>
                <w:szCs w:val="16"/>
              </w:rPr>
            </w:r>
            <w:r>
              <w:rPr>
                <w:rFonts w:ascii="Arial" w:hAnsi="Arial" w:cs="Arial"/>
                <w:color w:val="000000" w:themeColor="text1"/>
                <w:sz w:val="16"/>
                <w:szCs w:val="16"/>
              </w:rPr>
              <w:fldChar w:fldCharType="separate"/>
            </w:r>
            <w:r w:rsidR="007C0C3E" w:rsidRPr="007C0C3E">
              <w:rPr>
                <w:rFonts w:ascii="Arial" w:hAnsi="Arial" w:cs="Arial"/>
                <w:noProof/>
                <w:color w:val="000000" w:themeColor="text1"/>
                <w:sz w:val="16"/>
                <w:szCs w:val="16"/>
                <w:vertAlign w:val="superscript"/>
              </w:rPr>
              <w:t>59,60</w:t>
            </w:r>
            <w:r>
              <w:rPr>
                <w:rFonts w:ascii="Arial" w:hAnsi="Arial" w:cs="Arial"/>
                <w:color w:val="000000" w:themeColor="text1"/>
                <w:sz w:val="16"/>
                <w:szCs w:val="16"/>
              </w:rPr>
              <w:fldChar w:fldCharType="end"/>
            </w:r>
            <w:r>
              <w:rPr>
                <w:rFonts w:ascii="Arial" w:hAnsi="Arial" w:cs="Arial"/>
                <w:color w:val="000000" w:themeColor="text1"/>
                <w:sz w:val="16"/>
                <w:szCs w:val="16"/>
              </w:rPr>
              <w:t>.</w:t>
            </w:r>
          </w:p>
        </w:tc>
        <w:tc>
          <w:tcPr>
            <w:tcW w:w="93" w:type="dxa"/>
            <w:tcBorders>
              <w:top w:val="nil"/>
              <w:left w:val="nil"/>
              <w:bottom w:val="nil"/>
              <w:right w:val="nil"/>
            </w:tcBorders>
          </w:tcPr>
          <w:p w14:paraId="46DE3C40" w14:textId="77777777" w:rsidR="002A5257" w:rsidRDefault="002A5257" w:rsidP="00A37C93">
            <w:pPr>
              <w:keepNext/>
              <w:keepLines/>
              <w:ind w:firstLine="40"/>
              <w:rPr>
                <w:sz w:val="2"/>
              </w:rPr>
            </w:pPr>
          </w:p>
        </w:tc>
      </w:tr>
      <w:tr w:rsidR="002A5257" w14:paraId="1A943F9C" w14:textId="77777777" w:rsidTr="00A37C93">
        <w:trPr>
          <w:cantSplit/>
          <w:trHeight w:val="20"/>
        </w:trPr>
        <w:tc>
          <w:tcPr>
            <w:tcW w:w="2528" w:type="dxa"/>
            <w:tcBorders>
              <w:top w:val="nil"/>
              <w:left w:val="nil"/>
              <w:bottom w:val="nil"/>
              <w:right w:val="nil"/>
            </w:tcBorders>
          </w:tcPr>
          <w:p w14:paraId="4455CF8B" w14:textId="77777777" w:rsidR="002A5257" w:rsidRDefault="002A5257" w:rsidP="00A37C93">
            <w:pPr>
              <w:keepNext/>
              <w:keepLines/>
              <w:ind w:firstLineChars="0" w:firstLine="0"/>
              <w:jc w:val="left"/>
              <w:rPr>
                <w:rFonts w:ascii="Arial" w:eastAsia="宋体" w:hAnsi="Arial" w:cs="Arial"/>
                <w:sz w:val="16"/>
                <w:szCs w:val="16"/>
              </w:rPr>
            </w:pPr>
            <w:r>
              <w:rPr>
                <w:rFonts w:ascii="Arial" w:hAnsi="Arial" w:cs="Arial"/>
                <w:sz w:val="16"/>
                <w:szCs w:val="16"/>
              </w:rPr>
              <w:t>Methane reduction (livestock)</w:t>
            </w:r>
          </w:p>
        </w:tc>
        <w:tc>
          <w:tcPr>
            <w:tcW w:w="5778" w:type="dxa"/>
            <w:tcBorders>
              <w:top w:val="nil"/>
              <w:left w:val="nil"/>
              <w:bottom w:val="nil"/>
              <w:right w:val="nil"/>
            </w:tcBorders>
          </w:tcPr>
          <w:p w14:paraId="2B07CE01" w14:textId="5C833007" w:rsidR="002A5257" w:rsidRDefault="002A5257" w:rsidP="00A37C93">
            <w:pPr>
              <w:keepNext/>
              <w:keepLines/>
              <w:ind w:firstLineChars="0" w:firstLine="0"/>
              <w:rPr>
                <w:rFonts w:ascii="Arial" w:eastAsia="宋体" w:hAnsi="Arial" w:cs="Arial"/>
                <w:color w:val="000000" w:themeColor="text1"/>
                <w:sz w:val="16"/>
                <w:szCs w:val="16"/>
              </w:rPr>
            </w:pPr>
            <w:r>
              <w:rPr>
                <w:rFonts w:ascii="Arial" w:hAnsi="Arial" w:cs="Arial"/>
                <w:color w:val="000000" w:themeColor="text1"/>
                <w:sz w:val="16"/>
                <w:szCs w:val="16"/>
              </w:rPr>
              <w:t xml:space="preserve">A livestock diet supplementation bundle for methane reduction involving the use of </w:t>
            </w:r>
            <w:r>
              <w:rPr>
                <w:rFonts w:ascii="Arial" w:hAnsi="Arial" w:cs="Arial"/>
                <w:i/>
                <w:iCs/>
                <w:color w:val="000000" w:themeColor="text1"/>
                <w:sz w:val="16"/>
                <w:szCs w:val="16"/>
              </w:rPr>
              <w:t>Asparagopsis taxiformis</w:t>
            </w:r>
            <w:r>
              <w:rPr>
                <w:rFonts w:ascii="Arial" w:hAnsi="Arial" w:cs="Arial"/>
                <w:color w:val="000000" w:themeColor="text1"/>
                <w:sz w:val="16"/>
                <w:szCs w:val="16"/>
              </w:rPr>
              <w:t xml:space="preserve"> (a tropical red seaweed) and 3-nitrooxypropanol (3-NOP). </w:t>
            </w:r>
            <w:r>
              <w:rPr>
                <w:rFonts w:ascii="Arial" w:hAnsi="Arial" w:cs="Arial"/>
                <w:i/>
                <w:iCs/>
                <w:color w:val="000000" w:themeColor="text1"/>
                <w:sz w:val="16"/>
                <w:szCs w:val="16"/>
              </w:rPr>
              <w:t>Asparagopsis</w:t>
            </w:r>
            <w:r>
              <w:rPr>
                <w:rFonts w:ascii="Arial" w:hAnsi="Arial" w:cs="Arial"/>
                <w:color w:val="000000" w:themeColor="text1"/>
                <w:sz w:val="16"/>
                <w:szCs w:val="16"/>
              </w:rPr>
              <w:t xml:space="preserve"> contains bromoform, which inhibits methanogenic archaea in the rumen, while 3-NOP targets the enzyme methyl-coenzyme M reductase. This bundle also includes manure management interventions—such as anaerobic lagoons and related capture systems—to reduce methane from manure and recover biogas </w:t>
            </w:r>
            <w:r w:rsidRPr="00614CF4">
              <w:rPr>
                <w:sz w:val="16"/>
                <w:szCs w:val="16"/>
              </w:rPr>
              <w:fldChar w:fldCharType="begin">
                <w:fldData xml:space="preserve">PEVuZE5vdGU+PENpdGU+PEF1dGhvcj5Sb3F1ZTwvQXV0aG9yPjxZZWFyPjIwMjE8L1llYXI+PFJl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</w:fldData>
              </w:fldChar>
            </w:r>
            <w:r w:rsidR="00332A60" w:rsidRPr="00614CF4">
              <w:rPr>
                <w:sz w:val="16"/>
                <w:szCs w:val="16"/>
              </w:rPr>
              <w:instrText xml:space="preserve"> ADDIN EN.CITE </w:instrText>
            </w:r>
            <w:r w:rsidR="00332A60" w:rsidRPr="00614CF4">
              <w:rPr>
                <w:sz w:val="16"/>
                <w:szCs w:val="16"/>
              </w:rPr>
              <w:fldChar w:fldCharType="begin">
                <w:fldData xml:space="preserve">PEVuZE5vdGU+PENpdGU+PEF1dGhvcj5Sb3F1ZTwvQXV0aG9yPjxZZWFyPjIwMjE8L1llYXI+PFJl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</w:fldData>
              </w:fldChar>
            </w:r>
            <w:r w:rsidR="00332A60" w:rsidRPr="00614CF4">
              <w:rPr>
                <w:sz w:val="16"/>
                <w:szCs w:val="16"/>
              </w:rPr>
              <w:instrText xml:space="preserve"> ADDIN EN.CITE.DATA </w:instrText>
            </w:r>
            <w:r w:rsidR="00332A60" w:rsidRPr="00614CF4">
              <w:rPr>
                <w:sz w:val="16"/>
                <w:szCs w:val="16"/>
              </w:rPr>
            </w:r>
            <w:r w:rsidR="00332A60" w:rsidRPr="00614CF4">
              <w:rPr>
                <w:sz w:val="16"/>
                <w:szCs w:val="16"/>
              </w:rPr>
              <w:fldChar w:fldCharType="end"/>
            </w:r>
            <w:r w:rsidRPr="00614CF4">
              <w:rPr>
                <w:sz w:val="16"/>
                <w:szCs w:val="16"/>
              </w:rPr>
            </w:r>
            <w:r w:rsidRPr="00614CF4">
              <w:rPr>
                <w:sz w:val="16"/>
                <w:szCs w:val="16"/>
              </w:rPr>
              <w:fldChar w:fldCharType="separate"/>
            </w:r>
            <w:r w:rsidR="007C0C3E" w:rsidRPr="00614CF4">
              <w:rPr>
                <w:noProof/>
                <w:sz w:val="16"/>
                <w:szCs w:val="16"/>
                <w:vertAlign w:val="superscript"/>
              </w:rPr>
              <w:t>61-63</w:t>
            </w:r>
            <w:r w:rsidRPr="00614CF4">
              <w:rPr>
                <w:sz w:val="16"/>
                <w:szCs w:val="16"/>
              </w:rPr>
              <w:fldChar w:fldCharType="end"/>
            </w:r>
            <w:r>
              <w:rPr>
                <w:rFonts w:ascii="Arial" w:hAnsi="Arial" w:cs="Arial"/>
                <w:color w:val="000000" w:themeColor="text1"/>
                <w:sz w:val="16"/>
                <w:szCs w:val="16"/>
              </w:rPr>
              <w:t>.</w:t>
            </w:r>
          </w:p>
        </w:tc>
        <w:tc>
          <w:tcPr>
            <w:tcW w:w="93" w:type="dxa"/>
            <w:tcBorders>
              <w:top w:val="nil"/>
              <w:left w:val="nil"/>
              <w:bottom w:val="nil"/>
              <w:right w:val="nil"/>
            </w:tcBorders>
          </w:tcPr>
          <w:p w14:paraId="6576D347" w14:textId="77777777" w:rsidR="002A5257" w:rsidRDefault="002A5257" w:rsidP="00A37C93">
            <w:pPr>
              <w:keepNext/>
              <w:keepLines/>
              <w:ind w:firstLine="40"/>
              <w:rPr>
                <w:sz w:val="2"/>
              </w:rPr>
            </w:pPr>
          </w:p>
        </w:tc>
      </w:tr>
      <w:tr w:rsidR="002A5257" w14:paraId="557241CB" w14:textId="77777777" w:rsidTr="00A37C93">
        <w:trPr>
          <w:cantSplit/>
          <w:trHeight w:val="20"/>
        </w:trPr>
        <w:tc>
          <w:tcPr>
            <w:tcW w:w="2528" w:type="dxa"/>
            <w:tcBorders>
              <w:top w:val="nil"/>
              <w:left w:val="nil"/>
              <w:bottom w:val="nil"/>
              <w:right w:val="nil"/>
            </w:tcBorders>
          </w:tcPr>
          <w:p w14:paraId="4458FDF7" w14:textId="77777777" w:rsidR="002A5257" w:rsidRDefault="002A5257" w:rsidP="00A37C93">
            <w:pPr>
              <w:keepNext/>
              <w:keepLines/>
              <w:ind w:firstLineChars="0" w:firstLine="0"/>
              <w:jc w:val="left"/>
              <w:rPr>
                <w:rFonts w:ascii="Arial" w:eastAsia="宋体" w:hAnsi="Arial" w:cs="Arial"/>
                <w:sz w:val="16"/>
                <w:szCs w:val="16"/>
              </w:rPr>
            </w:pPr>
            <w:r>
              <w:rPr>
                <w:rFonts w:ascii="Arial" w:hAnsi="Arial" w:cs="Arial"/>
                <w:sz w:val="16"/>
                <w:szCs w:val="16"/>
              </w:rPr>
              <w:t>Early dry-season savanna burning</w:t>
            </w:r>
          </w:p>
        </w:tc>
        <w:tc>
          <w:tcPr>
            <w:tcW w:w="5778" w:type="dxa"/>
            <w:tcBorders>
              <w:top w:val="nil"/>
              <w:left w:val="nil"/>
              <w:bottom w:val="nil"/>
              <w:right w:val="nil"/>
            </w:tcBorders>
          </w:tcPr>
          <w:p w14:paraId="2513D2B6" w14:textId="404A0A0A" w:rsidR="002A5257" w:rsidRDefault="002A5257" w:rsidP="00A37C93">
            <w:pPr>
              <w:keepNext/>
              <w:keepLines/>
              <w:ind w:firstLineChars="0" w:firstLine="0"/>
              <w:rPr>
                <w:rFonts w:ascii="Arial" w:eastAsia="宋体" w:hAnsi="Arial" w:cs="Arial"/>
                <w:color w:val="000000" w:themeColor="text1"/>
                <w:sz w:val="16"/>
                <w:szCs w:val="16"/>
              </w:rPr>
            </w:pPr>
            <w:r>
              <w:rPr>
                <w:rFonts w:ascii="Arial" w:hAnsi="Arial" w:cs="Arial"/>
                <w:color w:val="000000" w:themeColor="text1"/>
                <w:sz w:val="16"/>
                <w:szCs w:val="16"/>
              </w:rPr>
              <w:t xml:space="preserve">An early dry-season fire management strategy in tropical savannas involving controlled, low-intensity burns. Early burns consume less biomass, reducing emissions compared to late dry-season wildfires </w:t>
            </w:r>
            <w:r w:rsidRPr="00614CF4">
              <w:rPr>
                <w:sz w:val="16"/>
                <w:szCs w:val="16"/>
              </w:rPr>
              <w:fldChar w:fldCharType="begin">
                <w:fldData xml:space="preserve">PEVuZE5vdGU+PENpdGU+PEF1dGhvcj5FZHdhcmRzPC9BdXRob3I+PFllYXI+MjAyMTwvWWVhcj48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</w:fldData>
              </w:fldChar>
            </w:r>
            <w:r w:rsidRPr="00614CF4">
              <w:rPr>
                <w:sz w:val="16"/>
                <w:szCs w:val="16"/>
              </w:rPr>
              <w:instrText xml:space="preserve"> ADDIN EN.CITE </w:instrText>
            </w:r>
            <w:r w:rsidRPr="00614CF4">
              <w:rPr>
                <w:sz w:val="16"/>
                <w:szCs w:val="16"/>
              </w:rPr>
              <w:fldChar w:fldCharType="begin">
                <w:fldData xml:space="preserve">PEVuZE5vdGU+PENpdGU+PEF1dGhvcj5FZHdhcmRzPC9BdXRob3I+PFllYXI+MjAyMTwvWWVhcj48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</w:fldData>
              </w:fldChar>
            </w:r>
            <w:r w:rsidRPr="00614CF4">
              <w:rPr>
                <w:sz w:val="16"/>
                <w:szCs w:val="16"/>
              </w:rPr>
              <w:instrText xml:space="preserve"> ADDIN EN.CITE.DATA </w:instrText>
            </w:r>
            <w:r w:rsidRPr="00614CF4">
              <w:rPr>
                <w:sz w:val="16"/>
                <w:szCs w:val="16"/>
              </w:rPr>
            </w:r>
            <w:r w:rsidRPr="00614CF4">
              <w:rPr>
                <w:sz w:val="16"/>
                <w:szCs w:val="16"/>
              </w:rPr>
              <w:fldChar w:fldCharType="end"/>
            </w:r>
            <w:r w:rsidRPr="00614CF4">
              <w:rPr>
                <w:sz w:val="16"/>
                <w:szCs w:val="16"/>
              </w:rPr>
            </w:r>
            <w:r w:rsidRPr="00614CF4">
              <w:rPr>
                <w:sz w:val="16"/>
                <w:szCs w:val="16"/>
              </w:rPr>
              <w:fldChar w:fldCharType="separate"/>
            </w:r>
            <w:r w:rsidRPr="00614CF4">
              <w:rPr>
                <w:noProof/>
                <w:sz w:val="16"/>
                <w:szCs w:val="16"/>
                <w:vertAlign w:val="superscript"/>
              </w:rPr>
              <w:t>10,11</w:t>
            </w:r>
            <w:r w:rsidRPr="00614CF4">
              <w:rPr>
                <w:sz w:val="16"/>
                <w:szCs w:val="16"/>
              </w:rPr>
              <w:fldChar w:fldCharType="end"/>
            </w:r>
            <w:r w:rsidRPr="00614CF4">
              <w:rPr>
                <w:rFonts w:ascii="Arial" w:hAnsi="Arial" w:cs="Arial"/>
                <w:color w:val="000000" w:themeColor="text1"/>
                <w:sz w:val="16"/>
                <w:szCs w:val="16"/>
              </w:rPr>
              <w:t>.</w:t>
            </w:r>
          </w:p>
        </w:tc>
        <w:tc>
          <w:tcPr>
            <w:tcW w:w="93" w:type="dxa"/>
            <w:tcBorders>
              <w:top w:val="nil"/>
              <w:left w:val="nil"/>
              <w:bottom w:val="nil"/>
              <w:right w:val="nil"/>
            </w:tcBorders>
          </w:tcPr>
          <w:p w14:paraId="04874BC4" w14:textId="77777777" w:rsidR="002A5257" w:rsidRDefault="002A5257" w:rsidP="00A37C93">
            <w:pPr>
              <w:keepNext/>
              <w:keepLines/>
              <w:ind w:firstLine="40"/>
              <w:rPr>
                <w:sz w:val="2"/>
              </w:rPr>
            </w:pPr>
          </w:p>
        </w:tc>
      </w:tr>
      <w:tr w:rsidR="002A5257" w14:paraId="4113A587" w14:textId="77777777" w:rsidTr="00A37C93">
        <w:trPr>
          <w:cantSplit/>
          <w:trHeight w:val="20"/>
        </w:trPr>
        <w:tc>
          <w:tcPr>
            <w:tcW w:w="2528" w:type="dxa"/>
            <w:tcBorders>
              <w:top w:val="nil"/>
              <w:left w:val="nil"/>
              <w:bottom w:val="nil"/>
              <w:right w:val="nil"/>
            </w:tcBorders>
          </w:tcPr>
          <w:p w14:paraId="1B52ED4D" w14:textId="77777777" w:rsidR="002A5257" w:rsidRDefault="002A5257" w:rsidP="00A37C93">
            <w:pPr>
              <w:keepNext/>
              <w:keepLines/>
              <w:ind w:firstLineChars="0" w:firstLine="0"/>
              <w:jc w:val="left"/>
              <w:rPr>
                <w:rFonts w:ascii="Arial" w:eastAsia="宋体" w:hAnsi="Arial" w:cs="Arial"/>
                <w:sz w:val="16"/>
                <w:szCs w:val="16"/>
              </w:rPr>
            </w:pPr>
            <w:r>
              <w:rPr>
                <w:rFonts w:ascii="Arial" w:hAnsi="Arial" w:cs="Arial"/>
                <w:sz w:val="16"/>
                <w:szCs w:val="16"/>
              </w:rPr>
              <w:t>Biochar</w:t>
            </w:r>
          </w:p>
        </w:tc>
        <w:tc>
          <w:tcPr>
            <w:tcW w:w="5778" w:type="dxa"/>
            <w:tcBorders>
              <w:top w:val="nil"/>
              <w:left w:val="nil"/>
              <w:bottom w:val="nil"/>
              <w:right w:val="nil"/>
            </w:tcBorders>
          </w:tcPr>
          <w:p w14:paraId="576673AB" w14:textId="22786327" w:rsidR="002A5257" w:rsidRDefault="002A5257" w:rsidP="00A37C93">
            <w:pPr>
              <w:keepNext/>
              <w:keepLines/>
              <w:ind w:firstLineChars="0" w:firstLine="0"/>
              <w:rPr>
                <w:rFonts w:ascii="Arial" w:eastAsia="宋体" w:hAnsi="Arial" w:cs="Arial"/>
                <w:color w:val="000000" w:themeColor="text1"/>
                <w:sz w:val="16"/>
                <w:szCs w:val="16"/>
              </w:rPr>
            </w:pPr>
            <w:r>
              <w:rPr>
                <w:rFonts w:ascii="Arial" w:hAnsi="Arial" w:cs="Arial"/>
                <w:color w:val="000000" w:themeColor="text1"/>
                <w:sz w:val="16"/>
                <w:szCs w:val="16"/>
              </w:rPr>
              <w:t xml:space="preserve">A biochar soil amendment method where pyrolyzed biomass (burned in low-oxygen conditions) is added to soils. The carbon-rich biochar forms a stable, long-term carbon repository, sequestering carbon for centuries while improving soil fertility and water retention </w:t>
            </w:r>
            <w:r w:rsidRPr="00614CF4">
              <w:rPr>
                <w:sz w:val="16"/>
                <w:szCs w:val="16"/>
              </w:rPr>
              <w:fldChar w:fldCharType="begin">
                <w:fldData xml:space="preserve">PEVuZE5vdGU+PENpdGU+PEF1dGhvcj5BbnRvbmFuZ2VsbzwvQXV0aG9yPjxZZWFyPjIwMjU8L1ll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</w:fldData>
              </w:fldChar>
            </w:r>
            <w:r w:rsidR="007C0C3E" w:rsidRPr="00614CF4">
              <w:rPr>
                <w:sz w:val="16"/>
                <w:szCs w:val="16"/>
              </w:rPr>
              <w:instrText xml:space="preserve"> ADDIN EN.CITE </w:instrText>
            </w:r>
            <w:r w:rsidR="007C0C3E" w:rsidRPr="00614CF4">
              <w:rPr>
                <w:sz w:val="16"/>
                <w:szCs w:val="16"/>
              </w:rPr>
              <w:fldChar w:fldCharType="begin">
                <w:fldData xml:space="preserve">PEVuZE5vdGU+PENpdGU+PEF1dGhvcj5BbnRvbmFuZ2VsbzwvQXV0aG9yPjxZZWFyPjIwMjU8L1ll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</w:fldData>
              </w:fldChar>
            </w:r>
            <w:r w:rsidR="007C0C3E" w:rsidRPr="00614CF4">
              <w:rPr>
                <w:sz w:val="16"/>
                <w:szCs w:val="16"/>
              </w:rPr>
              <w:instrText xml:space="preserve"> ADDIN EN.CITE.DATA </w:instrText>
            </w:r>
            <w:r w:rsidR="007C0C3E" w:rsidRPr="00614CF4">
              <w:rPr>
                <w:sz w:val="16"/>
                <w:szCs w:val="16"/>
              </w:rPr>
            </w:r>
            <w:r w:rsidR="007C0C3E" w:rsidRPr="00614CF4">
              <w:rPr>
                <w:sz w:val="16"/>
                <w:szCs w:val="16"/>
              </w:rPr>
              <w:fldChar w:fldCharType="end"/>
            </w:r>
            <w:r w:rsidRPr="00614CF4">
              <w:rPr>
                <w:sz w:val="16"/>
                <w:szCs w:val="16"/>
              </w:rPr>
            </w:r>
            <w:r w:rsidRPr="00614CF4">
              <w:rPr>
                <w:sz w:val="16"/>
                <w:szCs w:val="16"/>
              </w:rPr>
              <w:fldChar w:fldCharType="separate"/>
            </w:r>
            <w:r w:rsidR="007C0C3E" w:rsidRPr="00614CF4">
              <w:rPr>
                <w:noProof/>
                <w:sz w:val="16"/>
                <w:szCs w:val="16"/>
                <w:vertAlign w:val="superscript"/>
              </w:rPr>
              <w:t>64,65</w:t>
            </w:r>
            <w:r w:rsidRPr="00614CF4">
              <w:rPr>
                <w:sz w:val="16"/>
                <w:szCs w:val="16"/>
              </w:rPr>
              <w:fldChar w:fldCharType="end"/>
            </w:r>
            <w:r>
              <w:rPr>
                <w:rFonts w:ascii="Arial" w:hAnsi="Arial" w:cs="Arial"/>
                <w:color w:val="000000" w:themeColor="text1"/>
                <w:sz w:val="16"/>
                <w:szCs w:val="16"/>
              </w:rPr>
              <w:t>.</w:t>
            </w:r>
          </w:p>
        </w:tc>
        <w:tc>
          <w:tcPr>
            <w:tcW w:w="93" w:type="dxa"/>
            <w:tcBorders>
              <w:top w:val="nil"/>
              <w:left w:val="nil"/>
              <w:bottom w:val="nil"/>
              <w:right w:val="nil"/>
            </w:tcBorders>
          </w:tcPr>
          <w:p w14:paraId="10705904" w14:textId="77777777" w:rsidR="002A5257" w:rsidRDefault="002A5257" w:rsidP="00A37C93">
            <w:pPr>
              <w:keepNext/>
              <w:keepLines/>
              <w:ind w:firstLine="40"/>
              <w:rPr>
                <w:sz w:val="2"/>
              </w:rPr>
            </w:pPr>
          </w:p>
        </w:tc>
      </w:tr>
      <w:tr w:rsidR="002A5257" w14:paraId="6A6AA5B6" w14:textId="77777777" w:rsidTr="00836E16">
        <w:trPr>
          <w:cantSplit/>
          <w:trHeight w:val="20"/>
        </w:trPr>
        <w:tc>
          <w:tcPr>
            <w:tcW w:w="2528" w:type="dxa"/>
            <w:tcBorders>
              <w:top w:val="nil"/>
              <w:left w:val="nil"/>
              <w:bottom w:val="nil"/>
              <w:right w:val="nil"/>
            </w:tcBorders>
          </w:tcPr>
          <w:p w14:paraId="29C1F2ED" w14:textId="77777777" w:rsidR="002A5257" w:rsidRDefault="002A5257" w:rsidP="00A37C93">
            <w:pPr>
              <w:keepNext/>
              <w:keepLines/>
              <w:ind w:firstLineChars="0" w:firstLine="0"/>
              <w:jc w:val="left"/>
              <w:rPr>
                <w:rFonts w:ascii="Arial" w:eastAsia="DengXian" w:hAnsi="Arial" w:cs="Arial"/>
                <w:sz w:val="16"/>
                <w:szCs w:val="16"/>
              </w:rPr>
            </w:pPr>
            <w:r>
              <w:rPr>
                <w:rFonts w:ascii="Arial" w:hAnsi="Arial" w:cs="Arial"/>
                <w:sz w:val="16"/>
                <w:szCs w:val="16"/>
              </w:rPr>
              <w:t>Managed regeneration (beef)</w:t>
            </w:r>
          </w:p>
        </w:tc>
        <w:tc>
          <w:tcPr>
            <w:tcW w:w="5778" w:type="dxa"/>
            <w:tcBorders>
              <w:top w:val="nil"/>
              <w:left w:val="nil"/>
              <w:bottom w:val="nil"/>
              <w:right w:val="nil"/>
            </w:tcBorders>
          </w:tcPr>
          <w:p w14:paraId="1091417F" w14:textId="2DB35106" w:rsidR="002A5257" w:rsidRDefault="002A5257" w:rsidP="00A37C93">
            <w:pPr>
              <w:keepNext/>
              <w:keepLines/>
              <w:ind w:firstLineChars="0" w:firstLine="0"/>
              <w:rPr>
                <w:rFonts w:ascii="Arial" w:eastAsia="宋体" w:hAnsi="Arial" w:cs="Arial"/>
                <w:color w:val="000000" w:themeColor="text1"/>
                <w:sz w:val="16"/>
                <w:szCs w:val="16"/>
              </w:rPr>
            </w:pPr>
            <w:r>
              <w:rPr>
                <w:rFonts w:ascii="Arial" w:hAnsi="Arial" w:cs="Arial"/>
                <w:color w:val="000000" w:themeColor="text1"/>
                <w:sz w:val="16"/>
                <w:szCs w:val="16"/>
              </w:rPr>
              <w:t xml:space="preserve">A land regeneration strategy applied to natural land grazed by cattle, where grazing pressure from cattle is halved to promote natural recovery of native vegetation communities and ecological function </w:t>
            </w:r>
            <w:r>
              <w:rPr>
                <w:rFonts w:ascii="Arial" w:hAnsi="Arial" w:cs="Arial"/>
                <w:color w:val="000000" w:themeColor="text1"/>
                <w:sz w:val="16"/>
                <w:szCs w:val="16"/>
              </w:rPr>
              <w:fldChar w:fldCharType="begin"/>
            </w:r>
            <w:r w:rsidR="007C0C3E">
              <w:rPr>
                <w:rFonts w:ascii="Arial" w:hAnsi="Arial" w:cs="Arial"/>
                <w:color w:val="000000" w:themeColor="text1"/>
                <w:sz w:val="16"/>
                <w:szCs w:val="16"/>
              </w:rPr>
              <w:instrText xml:space="preserve"> ADDIN EN.CITE &lt;EndNote&gt;&lt;Cite&gt;&lt;Author&gt;Macintosh&lt;/Author&gt;&lt;Year&gt;2024&lt;/Year&gt;&lt;RecNum&gt;429&lt;/RecNum&gt;&lt;DisplayText&gt;&lt;style face="superscript"&gt;66,67&lt;/style&gt;&lt;/DisplayText&gt;&lt;record&gt;&lt;rec-number&gt;429&lt;/rec-number&gt;&lt;foreign-keys&gt;&lt;key app="EN" db-id="st0zxxax1wfadte9s5gpaptza9tfvrzsvaxs" timestamp="1749174871" guid="a7ee3379-f654-41d0-9e3b-97b8a8f97a48"&gt;429&lt;/key&gt;&lt;/foreign-keys&gt;&lt;ref-type name="Journal Article"&gt;17&lt;/ref-type&gt;&lt;contributors&gt;&lt;authors&gt;&lt;author&gt;Macintosh, Andrew&lt;/author&gt;&lt;author&gt;Evans, Megan C.&lt;/author&gt;&lt;author&gt;Butler, Don&lt;/author&gt;&lt;author&gt;Larraondo, Pablo&lt;/author&gt;&lt;author&gt;Edirisinghe, Chamith&lt;/author&gt;&lt;author&gt;Hunter, Kristen B.&lt;/author&gt;&lt;author&gt;Evans, Maldwyn J.&lt;/author&gt;&lt;author&gt;Ansell, Dean&lt;/author&gt;&lt;author&gt;Waschka, Marie&lt;/author&gt;&lt;author&gt;Lindenmayer, David&lt;/author&gt;&lt;/authors&gt;&lt;/contributors&gt;&lt;titles&gt;&lt;title&gt;Non-compliance and under-performance in Australian human-induced regeneration projects&lt;/title&gt;&lt;secondary-title&gt;The Rangeland Journal&lt;/secondary-title&gt;&lt;/titles&gt;&lt;periodical&gt;&lt;full-title&gt;The Rangeland Journal&lt;/full-title&gt;&lt;/periodical&gt;&lt;volume&gt;46&lt;/volume&gt;&lt;number&gt;5&lt;/number&gt;&lt;dates&gt;&lt;year&gt;2024&lt;/year&gt;&lt;/dates&gt;&lt;urls&gt;&lt;related-urls&gt;&lt;url&gt;https://doi.org/10.1071/RJ24024&lt;/url&gt;&lt;/related-urls&gt;&lt;/urls&gt;&lt;/record&gt;&lt;/Cite&gt;&lt;Cite&gt;&lt;Author&gt;CER&lt;/Author&gt;&lt;Year&gt;2024&lt;/Year&gt;&lt;RecNum&gt;428&lt;/RecNum&gt;&lt;record&gt;&lt;rec-number&gt;428&lt;/rec-number&gt;&lt;foreign-keys&gt;&lt;key app="EN" db-id="st0zxxax1wfadte9s5gpaptza9tfvrzsvaxs" timestamp="1749174767" guid="42a96188-d046-41fe-9a48-ec8180410d23"&gt;428&lt;/key&gt;&lt;/foreign-keys&gt;&lt;ref-type name="Report"&gt;27&lt;/ref-type&gt;&lt;contributors&gt;&lt;authors&gt;&lt;author&gt;CER&lt;/author&gt;&lt;/authors&gt;&lt;/contributors&gt;&lt;titles&gt;&lt;title&gt;Human-induced regeneration method – Managing project risk to deliver carbon abatement for Australia&lt;/title&gt;&lt;/titles&gt;&lt;dates&gt;&lt;year&gt;2024&lt;/year&gt;&lt;/dates&gt;&lt;pub-location&gt;Canberra&lt;/pub-location&gt;&lt;publisher&gt;Clean Energy Regulator (CER)&lt;/publisher&gt;&lt;urls&gt;&lt;/urls&gt;&lt;/record&gt;&lt;/Cite&gt;&lt;/EndNote&gt;</w:instrText>
            </w:r>
            <w:r>
              <w:rPr>
                <w:rFonts w:ascii="Arial" w:hAnsi="Arial" w:cs="Arial"/>
                <w:color w:val="000000" w:themeColor="text1"/>
                <w:sz w:val="16"/>
                <w:szCs w:val="16"/>
              </w:rPr>
              <w:fldChar w:fldCharType="separate"/>
            </w:r>
            <w:r w:rsidR="007C0C3E" w:rsidRPr="007C0C3E">
              <w:rPr>
                <w:rFonts w:ascii="Arial" w:hAnsi="Arial" w:cs="Arial"/>
                <w:noProof/>
                <w:color w:val="000000" w:themeColor="text1"/>
                <w:sz w:val="16"/>
                <w:szCs w:val="16"/>
                <w:vertAlign w:val="superscript"/>
              </w:rPr>
              <w:t>66,67</w:t>
            </w:r>
            <w:r>
              <w:rPr>
                <w:rFonts w:ascii="Arial" w:hAnsi="Arial" w:cs="Arial"/>
                <w:color w:val="000000" w:themeColor="text1"/>
                <w:sz w:val="16"/>
                <w:szCs w:val="16"/>
              </w:rPr>
              <w:fldChar w:fldCharType="end"/>
            </w:r>
            <w:r>
              <w:rPr>
                <w:rFonts w:ascii="Arial" w:hAnsi="Arial" w:cs="Arial"/>
                <w:color w:val="000000" w:themeColor="text1"/>
                <w:sz w:val="16"/>
                <w:szCs w:val="16"/>
              </w:rPr>
              <w:t xml:space="preserve">. It includes active restoration of native vegetation species. </w:t>
            </w:r>
          </w:p>
        </w:tc>
        <w:tc>
          <w:tcPr>
            <w:tcW w:w="93" w:type="dxa"/>
            <w:tcBorders>
              <w:top w:val="nil"/>
              <w:left w:val="nil"/>
              <w:bottom w:val="nil"/>
              <w:right w:val="nil"/>
            </w:tcBorders>
          </w:tcPr>
          <w:p w14:paraId="2F8A5EFC" w14:textId="77777777" w:rsidR="002A5257" w:rsidRDefault="002A5257" w:rsidP="00A37C93">
            <w:pPr>
              <w:keepNext/>
              <w:keepLines/>
              <w:ind w:firstLine="40"/>
              <w:rPr>
                <w:sz w:val="2"/>
              </w:rPr>
            </w:pPr>
          </w:p>
        </w:tc>
      </w:tr>
      <w:tr w:rsidR="002A5257" w14:paraId="1B2D8167" w14:textId="77777777" w:rsidTr="00836E16">
        <w:trPr>
          <w:cantSplit/>
          <w:trHeight w:val="20"/>
        </w:trPr>
        <w:tc>
          <w:tcPr>
            <w:tcW w:w="2528" w:type="dxa"/>
            <w:tcBorders>
              <w:top w:val="nil"/>
              <w:left w:val="nil"/>
              <w:bottom w:val="nil"/>
              <w:right w:val="nil"/>
            </w:tcBorders>
          </w:tcPr>
          <w:p w14:paraId="186431DA" w14:textId="77777777" w:rsidR="002A5257" w:rsidRDefault="002A5257" w:rsidP="00A37C93">
            <w:pPr>
              <w:keepNext/>
              <w:keepLines/>
              <w:ind w:firstLineChars="0" w:firstLine="0"/>
              <w:jc w:val="left"/>
              <w:rPr>
                <w:rFonts w:ascii="Arial" w:eastAsia="DengXian" w:hAnsi="Arial" w:cs="Arial"/>
                <w:sz w:val="16"/>
                <w:szCs w:val="16"/>
              </w:rPr>
            </w:pPr>
            <w:r>
              <w:rPr>
                <w:rFonts w:ascii="Arial" w:hAnsi="Arial" w:cs="Arial"/>
                <w:sz w:val="16"/>
                <w:szCs w:val="16"/>
              </w:rPr>
              <w:t>Managed regeneration (sheep)</w:t>
            </w:r>
          </w:p>
        </w:tc>
        <w:tc>
          <w:tcPr>
            <w:tcW w:w="5778" w:type="dxa"/>
            <w:tcBorders>
              <w:top w:val="nil"/>
              <w:left w:val="nil"/>
              <w:bottom w:val="nil"/>
              <w:right w:val="nil"/>
            </w:tcBorders>
          </w:tcPr>
          <w:p w14:paraId="56D93FE7" w14:textId="0264DAE7" w:rsidR="002A5257" w:rsidRPr="003C6967" w:rsidRDefault="0066677A" w:rsidP="00A37C93">
            <w:pPr>
              <w:keepNext/>
              <w:keepLines/>
              <w:ind w:firstLineChars="0" w:firstLine="0"/>
              <w:rPr>
                <w:rFonts w:ascii="Arial" w:eastAsia="宋体" w:hAnsi="Arial" w:cs="Arial"/>
                <w:color w:val="000000" w:themeColor="text1"/>
                <w:sz w:val="16"/>
                <w:szCs w:val="16"/>
              </w:rPr>
            </w:pPr>
            <w:sdt>
              <w:sdtPr>
                <w:tag w:val="goog_rdk_258"/>
                <w:id w:val="-1851535189"/>
              </w:sdtPr>
              <w:sdtEndPr/>
              <w:sdtContent/>
            </w:sdt>
            <w:r w:rsidR="002A5257">
              <w:rPr>
                <w:rFonts w:ascii="Arial" w:hAnsi="Arial" w:cs="Arial"/>
                <w:color w:val="000000" w:themeColor="text1"/>
                <w:sz w:val="16"/>
                <w:szCs w:val="16"/>
              </w:rPr>
              <w:t xml:space="preserve">A similar </w:t>
            </w:r>
            <w:sdt>
              <w:sdtPr>
                <w:tag w:val="goog_rdk_260"/>
                <w:id w:val="-1545632807"/>
              </w:sdtPr>
              <w:sdtEndPr/>
              <w:sdtContent>
                <w:r w:rsidR="002A5257">
                  <w:rPr>
                    <w:rFonts w:ascii="Arial" w:hAnsi="Arial" w:cs="Arial"/>
                    <w:color w:val="000000" w:themeColor="text1"/>
                    <w:sz w:val="16"/>
                    <w:szCs w:val="16"/>
                  </w:rPr>
                  <w:t xml:space="preserve">method to managed regeneration (beef), </w:t>
                </w:r>
              </w:sdtContent>
            </w:sdt>
            <w:sdt>
              <w:sdtPr>
                <w:tag w:val="goog_rdk_261"/>
                <w:id w:val="-584359139"/>
              </w:sdtPr>
              <w:sdtEndPr/>
              <w:sdtContent/>
            </w:sdt>
            <w:r w:rsidR="002A5257">
              <w:rPr>
                <w:rFonts w:ascii="Arial" w:hAnsi="Arial" w:cs="Arial"/>
                <w:color w:val="000000" w:themeColor="text1"/>
                <w:sz w:val="16"/>
                <w:szCs w:val="16"/>
              </w:rPr>
              <w:t xml:space="preserve">this strategy is implemented exclusively on </w:t>
            </w:r>
            <w:sdt>
              <w:sdtPr>
                <w:tag w:val="goog_rdk_262"/>
                <w:id w:val="-1125980231"/>
              </w:sdtPr>
              <w:sdtEndPr/>
              <w:sdtContent/>
            </w:sdt>
            <w:r w:rsidR="002A5257">
              <w:rPr>
                <w:rFonts w:ascii="Arial" w:hAnsi="Arial" w:cs="Arial"/>
                <w:color w:val="000000" w:themeColor="text1"/>
                <w:sz w:val="16"/>
                <w:szCs w:val="16"/>
              </w:rPr>
              <w:t>natural land</w:t>
            </w:r>
            <w:sdt>
              <w:sdtPr>
                <w:tag w:val="goog_rdk_263"/>
                <w:id w:val="-862362320"/>
              </w:sdtPr>
              <w:sdtEndPr/>
              <w:sdtContent>
                <w:r w:rsidR="002A5257">
                  <w:rPr>
                    <w:rFonts w:ascii="Arial" w:hAnsi="Arial" w:cs="Arial"/>
                    <w:color w:val="000000" w:themeColor="text1"/>
                    <w:sz w:val="16"/>
                    <w:szCs w:val="16"/>
                  </w:rPr>
                  <w:t xml:space="preserve"> grazed by sheep</w:t>
                </w:r>
              </w:sdtContent>
            </w:sdt>
            <w:r w:rsidR="002A5257">
              <w:rPr>
                <w:rFonts w:ascii="Arial" w:hAnsi="Arial" w:cs="Arial"/>
                <w:color w:val="000000" w:themeColor="text1"/>
                <w:sz w:val="16"/>
                <w:szCs w:val="16"/>
              </w:rPr>
              <w:t xml:space="preserve"> </w:t>
            </w:r>
            <w:r w:rsidR="002A5257">
              <w:rPr>
                <w:rFonts w:ascii="Arial" w:hAnsi="Arial" w:cs="Arial"/>
                <w:color w:val="000000" w:themeColor="text1"/>
                <w:sz w:val="16"/>
                <w:szCs w:val="16"/>
              </w:rPr>
              <w:fldChar w:fldCharType="begin"/>
            </w:r>
            <w:r w:rsidR="007C0C3E">
              <w:rPr>
                <w:rFonts w:ascii="Arial" w:hAnsi="Arial" w:cs="Arial"/>
                <w:color w:val="000000" w:themeColor="text1"/>
                <w:sz w:val="16"/>
                <w:szCs w:val="16"/>
              </w:rPr>
              <w:instrText xml:space="preserve"> ADDIN EN.CITE &lt;EndNote&gt;&lt;Cite&gt;&lt;Author&gt;Macintosh&lt;/Author&gt;&lt;Year&gt;2024&lt;/Year&gt;&lt;RecNum&gt;429&lt;/RecNum&gt;&lt;DisplayText&gt;&lt;style face="superscript"&gt;66,67&lt;/style&gt;&lt;/DisplayText&gt;&lt;record&gt;&lt;rec-number&gt;429&lt;/rec-number&gt;&lt;foreign-keys&gt;&lt;key app="EN" db-id="st0zxxax1wfadte9s5gpaptza9tfvrzsvaxs" timestamp="1749174871" guid="a7ee3379-f654-41d0-9e3b-97b8a8f97a48"&gt;429&lt;/key&gt;&lt;/foreign-keys&gt;&lt;ref-type name="Journal Article"&gt;17&lt;/ref-type&gt;&lt;contributors&gt;&lt;authors&gt;&lt;author&gt;Macintosh, Andrew&lt;/author&gt;&lt;author&gt;Evans, Megan C.&lt;/author&gt;&lt;author&gt;Butler, Don&lt;/author&gt;&lt;author&gt;Larraondo, Pablo&lt;/author&gt;&lt;author&gt;Edirisinghe, Chamith&lt;/author&gt;&lt;author&gt;Hunter, Kristen B.&lt;/author&gt;&lt;author&gt;Evans, Maldwyn J.&lt;/author&gt;&lt;author&gt;Ansell, Dean&lt;/author&gt;&lt;author&gt;Waschka, Marie&lt;/author&gt;&lt;author&gt;Lindenmayer, David&lt;/author&gt;&lt;/authors&gt;&lt;/contributors&gt;&lt;titles&gt;&lt;title&gt;Non-compliance and under-performance in Australian human-induced regeneration projects&lt;/title&gt;&lt;secondary-title&gt;The Rangeland Journal&lt;/secondary-title&gt;&lt;/titles&gt;&lt;periodical&gt;&lt;full-title&gt;The Rangeland Journal&lt;/full-title&gt;&lt;/periodical&gt;&lt;volume&gt;46&lt;/volume&gt;&lt;number&gt;5&lt;/number&gt;&lt;dates&gt;&lt;year&gt;2024&lt;/year&gt;&lt;/dates&gt;&lt;urls&gt;&lt;related-urls&gt;&lt;url&gt;https://doi.org/10.1071/RJ24024&lt;/url&gt;&lt;/related-urls&gt;&lt;/urls&gt;&lt;/record&gt;&lt;/Cite&gt;&lt;Cite&gt;&lt;Author&gt;CER&lt;/Author&gt;&lt;Year&gt;2024&lt;/Year&gt;&lt;RecNum&gt;428&lt;/RecNum&gt;&lt;record&gt;&lt;rec-number&gt;428&lt;/rec-number&gt;&lt;foreign-keys&gt;&lt;key app="EN" db-id="st0zxxax1wfadte9s5gpaptza9tfvrzsvaxs" timestamp="1749174767" guid="42a96188-d046-41fe-9a48-ec8180410d23"&gt;428&lt;/key&gt;&lt;/foreign-keys&gt;&lt;ref-type name="Report"&gt;27&lt;/ref-type&gt;&lt;contributors&gt;&lt;authors&gt;&lt;author&gt;CER&lt;/author&gt;&lt;/authors&gt;&lt;/contributors&gt;&lt;titles&gt;&lt;title&gt;Human-induced regeneration method – Managing project risk to deliver carbon abatement for Australia&lt;/title&gt;&lt;/titles&gt;&lt;dates&gt;&lt;year&gt;2024&lt;/year&gt;&lt;/dates&gt;&lt;pub-location&gt;Canberra&lt;/pub-location&gt;&lt;publisher&gt;Clean Energy Regulator (CER)&lt;/publisher&gt;&lt;urls&gt;&lt;/urls&gt;&lt;/record&gt;&lt;/Cite&gt;&lt;/EndNote&gt;</w:instrText>
            </w:r>
            <w:r w:rsidR="002A5257">
              <w:rPr>
                <w:rFonts w:ascii="Arial" w:hAnsi="Arial" w:cs="Arial"/>
                <w:color w:val="000000" w:themeColor="text1"/>
                <w:sz w:val="16"/>
                <w:szCs w:val="16"/>
              </w:rPr>
              <w:fldChar w:fldCharType="separate"/>
            </w:r>
            <w:r w:rsidR="007C0C3E" w:rsidRPr="007C0C3E">
              <w:rPr>
                <w:rFonts w:ascii="Arial" w:hAnsi="Arial" w:cs="Arial"/>
                <w:noProof/>
                <w:color w:val="000000" w:themeColor="text1"/>
                <w:sz w:val="16"/>
                <w:szCs w:val="16"/>
                <w:vertAlign w:val="superscript"/>
              </w:rPr>
              <w:t>66,67</w:t>
            </w:r>
            <w:r w:rsidR="002A5257">
              <w:rPr>
                <w:rFonts w:ascii="Arial" w:hAnsi="Arial" w:cs="Arial"/>
                <w:color w:val="000000" w:themeColor="text1"/>
                <w:sz w:val="16"/>
                <w:szCs w:val="16"/>
              </w:rPr>
              <w:fldChar w:fldCharType="end"/>
            </w:r>
            <w:r w:rsidR="002A5257">
              <w:rPr>
                <w:rFonts w:ascii="Arial" w:hAnsi="Arial" w:cs="Arial"/>
                <w:color w:val="000000" w:themeColor="text1"/>
                <w:sz w:val="16"/>
                <w:szCs w:val="16"/>
              </w:rPr>
              <w:t>.</w:t>
            </w:r>
          </w:p>
        </w:tc>
        <w:tc>
          <w:tcPr>
            <w:tcW w:w="93" w:type="dxa"/>
            <w:tcBorders>
              <w:top w:val="nil"/>
              <w:left w:val="nil"/>
              <w:bottom w:val="nil"/>
              <w:right w:val="nil"/>
            </w:tcBorders>
          </w:tcPr>
          <w:p w14:paraId="6775543C" w14:textId="77777777" w:rsidR="002A5257" w:rsidRDefault="002A5257" w:rsidP="00A37C93">
            <w:pPr>
              <w:keepNext/>
              <w:keepLines/>
              <w:ind w:firstLine="40"/>
              <w:rPr>
                <w:sz w:val="2"/>
              </w:rPr>
            </w:pPr>
          </w:p>
        </w:tc>
      </w:tr>
      <w:tr w:rsidR="002A5257" w14:paraId="2EDF2632" w14:textId="77777777" w:rsidTr="00836E16">
        <w:trPr>
          <w:cantSplit/>
          <w:trHeight w:val="20"/>
        </w:trPr>
        <w:tc>
          <w:tcPr>
            <w:tcW w:w="2528" w:type="dxa"/>
            <w:tcBorders>
              <w:top w:val="nil"/>
              <w:left w:val="nil"/>
              <w:bottom w:val="single" w:sz="12" w:space="0" w:color="000000"/>
              <w:right w:val="nil"/>
            </w:tcBorders>
          </w:tcPr>
          <w:p w14:paraId="10C74914" w14:textId="77777777" w:rsidR="002A5257" w:rsidRDefault="002A5257" w:rsidP="00A37C93">
            <w:pPr>
              <w:keepNext/>
              <w:keepLines/>
              <w:ind w:firstLineChars="0" w:firstLine="0"/>
              <w:jc w:val="left"/>
              <w:rPr>
                <w:rFonts w:ascii="Arial" w:eastAsia="DengXian" w:hAnsi="Arial" w:cs="Arial"/>
                <w:sz w:val="16"/>
                <w:szCs w:val="16"/>
              </w:rPr>
            </w:pPr>
            <w:r>
              <w:rPr>
                <w:rFonts w:ascii="Arial" w:hAnsi="Arial" w:cs="Arial"/>
                <w:sz w:val="16"/>
                <w:szCs w:val="16"/>
              </w:rPr>
              <w:t>Regenerative agriculture (livestock)</w:t>
            </w:r>
          </w:p>
        </w:tc>
        <w:tc>
          <w:tcPr>
            <w:tcW w:w="5778" w:type="dxa"/>
            <w:tcBorders>
              <w:top w:val="nil"/>
              <w:left w:val="nil"/>
              <w:bottom w:val="single" w:sz="12" w:space="0" w:color="000000"/>
              <w:right w:val="nil"/>
            </w:tcBorders>
          </w:tcPr>
          <w:p w14:paraId="484B3438" w14:textId="1C167375" w:rsidR="002A5257" w:rsidRPr="003C6967" w:rsidRDefault="002A5257" w:rsidP="00A37C93">
            <w:pPr>
              <w:keepNext/>
              <w:keepLines/>
              <w:ind w:firstLineChars="0" w:firstLine="0"/>
              <w:rPr>
                <w:rFonts w:ascii="Arial" w:eastAsia="宋体" w:hAnsi="Arial" w:cs="Arial"/>
                <w:color w:val="000000" w:themeColor="text1"/>
                <w:sz w:val="16"/>
                <w:szCs w:val="16"/>
              </w:rPr>
            </w:pPr>
            <w:r>
              <w:rPr>
                <w:rFonts w:ascii="Arial" w:hAnsi="Arial" w:cs="Arial"/>
                <w:color w:val="000000" w:themeColor="text1"/>
                <w:sz w:val="16"/>
                <w:szCs w:val="16"/>
              </w:rPr>
              <w:t>A regenerative grazing bundle applied to livestock on modified pastures, combining rotational and adaptive grazing, longer pasture rest periods and retention of ground cover to rebuild soil organic carbon and pasture condition. It raises pasture productivity and the associated revenue, increases operating and labour costs, increases soil carbon sequestration and reduces indirect N</w:t>
            </w:r>
            <w:r w:rsidRPr="00B41E3C">
              <w:rPr>
                <w:rFonts w:ascii="Arial" w:hAnsi="Arial" w:cs="Arial"/>
                <w:color w:val="000000" w:themeColor="text1"/>
                <w:sz w:val="16"/>
                <w:szCs w:val="16"/>
                <w:vertAlign w:val="subscript"/>
              </w:rPr>
              <w:t>2</w:t>
            </w:r>
            <w:r>
              <w:rPr>
                <w:rFonts w:ascii="Arial" w:hAnsi="Arial" w:cs="Arial"/>
                <w:color w:val="000000" w:themeColor="text1"/>
                <w:sz w:val="16"/>
                <w:szCs w:val="16"/>
              </w:rPr>
              <w:t>O emissions from nitrogen leaching and runoff, and alters irrigation water requirements</w:t>
            </w:r>
            <w:r w:rsidR="00EE3C15">
              <w:rPr>
                <w:rFonts w:ascii="Arial" w:hAnsi="Arial" w:cs="Arial"/>
                <w:color w:val="000000" w:themeColor="text1"/>
                <w:sz w:val="16"/>
                <w:szCs w:val="16"/>
              </w:rPr>
              <w:t>. I</w:t>
            </w:r>
            <w:r>
              <w:rPr>
                <w:rFonts w:ascii="Arial" w:hAnsi="Arial" w:cs="Arial"/>
                <w:color w:val="000000" w:themeColor="text1"/>
                <w:sz w:val="16"/>
                <w:szCs w:val="16"/>
              </w:rPr>
              <w:t xml:space="preserve">t is assumed to have no direct effect on the biodiversity contribution score </w:t>
            </w:r>
            <w:r w:rsidR="00881CB4">
              <w:rPr>
                <w:rFonts w:ascii="Arial" w:hAnsi="Arial" w:cs="Arial"/>
                <w:color w:val="000000" w:themeColor="text1"/>
                <w:sz w:val="16"/>
                <w:szCs w:val="16"/>
              </w:rPr>
              <w:fldChar w:fldCharType="begin">
                <w:fldData xml:space="preserve">PEVuZE5vdGU+PENpdGU+PEF1dGhvcj5Bc2g8L0F1dGhvcj48WWVhcj4yMDAxPC9ZZWFyPjxSZWNO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</w:fldData>
              </w:fldChar>
            </w:r>
            <w:r w:rsidR="00EE3C15">
              <w:rPr>
                <w:rFonts w:ascii="Arial" w:hAnsi="Arial" w:cs="Arial"/>
                <w:color w:val="000000" w:themeColor="text1"/>
                <w:sz w:val="16"/>
                <w:szCs w:val="16"/>
              </w:rPr>
              <w:instrText xml:space="preserve"> ADDIN EN.CITE </w:instrText>
            </w:r>
            <w:r w:rsidR="00EE3C15">
              <w:rPr>
                <w:rFonts w:ascii="Arial" w:hAnsi="Arial" w:cs="Arial"/>
                <w:color w:val="000000" w:themeColor="text1"/>
                <w:sz w:val="16"/>
                <w:szCs w:val="16"/>
              </w:rPr>
              <w:fldChar w:fldCharType="begin">
                <w:fldData xml:space="preserve">PEVuZE5vdGU+PENpdGU+PEF1dGhvcj5Bc2g8L0F1dGhvcj48WWVhcj4yMDAxPC9ZZWFyPjxSZWNO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</w:fldData>
              </w:fldChar>
            </w:r>
            <w:r w:rsidR="00EE3C15">
              <w:rPr>
                <w:rFonts w:ascii="Arial" w:hAnsi="Arial" w:cs="Arial"/>
                <w:color w:val="000000" w:themeColor="text1"/>
                <w:sz w:val="16"/>
                <w:szCs w:val="16"/>
              </w:rPr>
              <w:instrText xml:space="preserve"> ADDIN EN.CITE.DATA </w:instrText>
            </w:r>
            <w:r w:rsidR="00EE3C15">
              <w:rPr>
                <w:rFonts w:ascii="Arial" w:hAnsi="Arial" w:cs="Arial"/>
                <w:color w:val="000000" w:themeColor="text1"/>
                <w:sz w:val="16"/>
                <w:szCs w:val="16"/>
              </w:rPr>
            </w:r>
            <w:r w:rsidR="00EE3C15">
              <w:rPr>
                <w:rFonts w:ascii="Arial" w:hAnsi="Arial" w:cs="Arial"/>
                <w:color w:val="000000" w:themeColor="text1"/>
                <w:sz w:val="16"/>
                <w:szCs w:val="16"/>
              </w:rPr>
              <w:fldChar w:fldCharType="end"/>
            </w:r>
            <w:r w:rsidR="00881CB4">
              <w:rPr>
                <w:rFonts w:ascii="Arial" w:hAnsi="Arial" w:cs="Arial"/>
                <w:color w:val="000000" w:themeColor="text1"/>
                <w:sz w:val="16"/>
                <w:szCs w:val="16"/>
              </w:rPr>
            </w:r>
            <w:r w:rsidR="00881CB4">
              <w:rPr>
                <w:rFonts w:ascii="Arial" w:hAnsi="Arial" w:cs="Arial"/>
                <w:color w:val="000000" w:themeColor="text1"/>
                <w:sz w:val="16"/>
                <w:szCs w:val="16"/>
              </w:rPr>
              <w:fldChar w:fldCharType="separate"/>
            </w:r>
            <w:r w:rsidR="00EE3C15" w:rsidRPr="00EE3C15">
              <w:rPr>
                <w:rFonts w:ascii="Arial" w:hAnsi="Arial" w:cs="Arial"/>
                <w:noProof/>
                <w:color w:val="000000" w:themeColor="text1"/>
                <w:sz w:val="16"/>
                <w:szCs w:val="16"/>
                <w:vertAlign w:val="superscript"/>
              </w:rPr>
              <w:t>68,69</w:t>
            </w:r>
            <w:r w:rsidR="00881CB4">
              <w:rPr>
                <w:rFonts w:ascii="Arial" w:hAnsi="Arial" w:cs="Arial"/>
                <w:color w:val="000000" w:themeColor="text1"/>
                <w:sz w:val="16"/>
                <w:szCs w:val="16"/>
              </w:rPr>
              <w:fldChar w:fldCharType="end"/>
            </w:r>
            <w:r>
              <w:rPr>
                <w:rFonts w:ascii="Arial" w:hAnsi="Arial" w:cs="Arial"/>
                <w:color w:val="000000" w:themeColor="text1"/>
                <w:sz w:val="16"/>
                <w:szCs w:val="16"/>
              </w:rPr>
              <w:t>.</w:t>
            </w:r>
          </w:p>
        </w:tc>
        <w:tc>
          <w:tcPr>
            <w:tcW w:w="93" w:type="dxa"/>
            <w:tcBorders>
              <w:top w:val="nil"/>
              <w:left w:val="nil"/>
              <w:bottom w:val="nil"/>
              <w:right w:val="nil"/>
            </w:tcBorders>
          </w:tcPr>
          <w:p w14:paraId="081F2BC7" w14:textId="77777777" w:rsidR="002A5257" w:rsidRDefault="002A5257" w:rsidP="00A37C93">
            <w:pPr>
              <w:keepNext/>
              <w:keepLines/>
              <w:ind w:firstLine="40"/>
              <w:rPr>
                <w:sz w:val="2"/>
              </w:rPr>
            </w:pPr>
          </w:p>
        </w:tc>
      </w:tr>
    </w:tbl>
    <w:p w14:paraId="3BCA0CB5" w14:textId="77777777" w:rsidR="002A5257" w:rsidRDefault="002A5257" w:rsidP="002A5257">
      <w:pPr>
        <w:ind w:firstLineChars="0" w:firstLine="0"/>
        <w:rPr>
          <w:rFonts w:eastAsia="宋体"/>
        </w:rPr>
      </w:pPr>
    </w:p>
    <w:p w14:paraId="0408556A" w14:textId="61912B18" w:rsidR="002A1696" w:rsidRDefault="005472BF" w:rsidP="00406B5A">
      <w:pPr>
        <w:pStyle w:val="TableName"/>
        <w:pageBreakBefore/>
        <w:jc w:val="left"/>
        <w:rPr>
          <w:rFonts w:eastAsia="宋体"/>
        </w:rPr>
      </w:pPr>
      <w:bookmarkStart w:id="3" w:name="_RefCXSTable4"/>
      <w:bookmarkEnd w:id="2"/>
      <w:r>
        <w:rPr>
          <w:b/>
          <w:bCs/>
        </w:rPr>
        <w:lastRenderedPageBreak/>
        <w:t>Table S</w:t>
      </w:r>
      <w:r>
        <w:rPr>
          <w:b/>
          <w:bCs/>
        </w:rPr>
        <w:fldChar w:fldCharType="begin"/>
      </w:r>
      <w:r>
        <w:rPr>
          <w:b/>
          <w:bCs/>
        </w:rPr>
        <w:instrText xml:space="preserve"> SEQ Table_S \* ARABIC </w:instrText>
      </w:r>
      <w:r>
        <w:rPr>
          <w:b/>
          <w:bCs/>
        </w:rPr>
        <w:fldChar w:fldCharType="separate"/>
      </w:r>
      <w:r>
        <w:rPr>
          <w:b/>
          <w:bCs/>
          <w:noProof/>
        </w:rPr>
        <w:t>4</w:t>
      </w:r>
      <w:r>
        <w:rPr>
          <w:b/>
          <w:bCs/>
        </w:rPr>
        <w:fldChar w:fldCharType="end"/>
      </w:r>
      <w:bookmarkEnd w:id="3"/>
      <w:r>
        <w:rPr>
          <w:rFonts w:hint="eastAsia"/>
          <w:b/>
          <w:bCs/>
        </w:rPr>
        <w:t xml:space="preserve">. </w:t>
      </w:r>
      <w:r>
        <w:rPr>
          <w:rFonts w:eastAsia="宋体"/>
          <w:b/>
          <w:bCs/>
        </w:rPr>
        <w:t>Agricultural land-use and corresponding agricultural management in LUTO2.</w:t>
      </w:r>
    </w:p>
    <w:tbl>
      <w:tblPr>
        <w:tblStyle w:val="aff3"/>
        <w:tblW w:w="5000" w:type="pct"/>
        <w:jc w:val="center"/>
        <w:tblLayout w:type="fixed"/>
        <w:tblCellMar>
          <w:left w:w="57" w:type="dxa"/>
          <w:right w:w="57" w:type="dxa"/>
        </w:tblCellMar>
        <w:tblLook w:val="04A0" w:firstRow="1" w:lastRow="0" w:firstColumn="1" w:lastColumn="0" w:noHBand="0" w:noVBand="1"/>
      </w:tblPr>
      <w:tblGrid>
        <w:gridCol w:w="2301"/>
        <w:gridCol w:w="749"/>
        <w:gridCol w:w="751"/>
        <w:gridCol w:w="752"/>
        <w:gridCol w:w="750"/>
        <w:gridCol w:w="752"/>
        <w:gridCol w:w="751"/>
        <w:gridCol w:w="750"/>
        <w:gridCol w:w="750"/>
      </w:tblGrid>
      <w:tr w:rsidR="002A1696" w14:paraId="0408556D" w14:textId="77777777">
        <w:trPr>
          <w:trHeight w:val="283"/>
          <w:jc w:val="center"/>
        </w:trPr>
        <w:tc>
          <w:tcPr>
            <w:tcW w:w="2553" w:type="dxa"/>
            <w:vMerge w:val="restart"/>
            <w:tcBorders>
              <w:top w:val="single" w:sz="12" w:space="0" w:color="000000"/>
              <w:left w:val="nil"/>
              <w:right w:val="nil"/>
            </w:tcBorders>
            <w:vAlign w:val="center"/>
          </w:tcPr>
          <w:p w14:paraId="0408556B" w14:textId="77777777" w:rsidR="002A1696" w:rsidRDefault="00C30874">
            <w:pPr>
              <w:pStyle w:val="Equation"/>
              <w:spacing w:before="0" w:after="0"/>
              <w:rPr>
                <w:rFonts w:ascii="Arial" w:eastAsia="宋体" w:hAnsi="Arial" w:cs="Arial"/>
                <w:sz w:val="20"/>
                <w:szCs w:val="20"/>
              </w:rPr>
            </w:pPr>
            <w:r>
              <w:rPr>
                <w:rFonts w:ascii="Arial" w:hAnsi="Arial" w:cs="Arial"/>
                <w:sz w:val="20"/>
                <w:szCs w:val="20"/>
              </w:rPr>
              <w:t>Agricultural land-use</w:t>
            </w:r>
          </w:p>
        </w:tc>
        <w:tc>
          <w:tcPr>
            <w:tcW w:w="5753" w:type="dxa"/>
            <w:gridSpan w:val="8"/>
            <w:tcBorders>
              <w:top w:val="single" w:sz="12" w:space="0" w:color="000000"/>
              <w:left w:val="nil"/>
              <w:bottom w:val="single" w:sz="6" w:space="0" w:color="000000"/>
              <w:right w:val="nil"/>
            </w:tcBorders>
            <w:vAlign w:val="center"/>
          </w:tcPr>
          <w:p w14:paraId="0408556C"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Corresponding agricultural management</w:t>
            </w:r>
          </w:p>
        </w:tc>
      </w:tr>
      <w:tr w:rsidR="002A1696" w14:paraId="04085576" w14:textId="77777777" w:rsidTr="004F1EA7">
        <w:trPr>
          <w:cantSplit/>
          <w:trHeight w:val="1497"/>
          <w:jc w:val="center"/>
        </w:trPr>
        <w:tc>
          <w:tcPr>
            <w:tcW w:w="2553" w:type="dxa"/>
            <w:vMerge/>
            <w:tcBorders>
              <w:top w:val="nil"/>
              <w:left w:val="nil"/>
              <w:right w:val="nil"/>
            </w:tcBorders>
            <w:vAlign w:val="center"/>
          </w:tcPr>
          <w:p w14:paraId="0408556E" w14:textId="77777777" w:rsidR="002A1696" w:rsidRDefault="002A1696">
            <w:pPr>
              <w:pStyle w:val="Equation"/>
              <w:spacing w:before="0" w:after="0"/>
              <w:rPr>
                <w:rFonts w:ascii="Arial" w:eastAsia="宋体" w:hAnsi="Arial" w:cs="Arial"/>
                <w:sz w:val="20"/>
                <w:szCs w:val="20"/>
              </w:rPr>
            </w:pPr>
          </w:p>
        </w:tc>
        <w:tc>
          <w:tcPr>
            <w:tcW w:w="821" w:type="dxa"/>
            <w:tcBorders>
              <w:top w:val="single" w:sz="6" w:space="0" w:color="000000"/>
              <w:left w:val="nil"/>
              <w:right w:val="nil"/>
            </w:tcBorders>
            <w:textDirection w:val="tbRlV"/>
            <w:vAlign w:val="center"/>
          </w:tcPr>
          <w:p w14:paraId="0408556F" w14:textId="17031AEA" w:rsidR="002A1696" w:rsidRDefault="004F1EA7" w:rsidP="004F1EA7">
            <w:pPr>
              <w:pStyle w:val="Equation"/>
              <w:spacing w:before="0" w:after="0"/>
              <w:ind w:left="113" w:right="113"/>
              <w:jc w:val="center"/>
              <w:rPr>
                <w:rFonts w:ascii="Arial" w:eastAsia="宋体" w:hAnsi="Arial" w:cs="Arial"/>
                <w:sz w:val="20"/>
                <w:szCs w:val="20"/>
              </w:rPr>
            </w:pPr>
            <w:r>
              <w:rPr>
                <w:rFonts w:ascii="Arial" w:hAnsi="Arial" w:cs="Arial" w:hint="eastAsia"/>
                <w:sz w:val="20"/>
                <w:szCs w:val="20"/>
              </w:rPr>
              <w:t>A</w:t>
            </w:r>
            <w:r>
              <w:rPr>
                <w:rFonts w:ascii="Arial" w:hAnsi="Arial" w:cs="Arial"/>
                <w:sz w:val="20"/>
                <w:szCs w:val="20"/>
              </w:rPr>
              <w:t>gricultural technology (fertiliser)</w:t>
            </w:r>
          </w:p>
        </w:tc>
        <w:tc>
          <w:tcPr>
            <w:tcW w:w="822" w:type="dxa"/>
            <w:tcBorders>
              <w:top w:val="single" w:sz="6" w:space="0" w:color="000000"/>
              <w:left w:val="nil"/>
              <w:right w:val="nil"/>
            </w:tcBorders>
            <w:textDirection w:val="tbRlV"/>
            <w:vAlign w:val="center"/>
          </w:tcPr>
          <w:p w14:paraId="04085570" w14:textId="4ACC93E1" w:rsidR="002A1696" w:rsidRDefault="004F1EA7" w:rsidP="004F1EA7">
            <w:pPr>
              <w:pStyle w:val="Equation"/>
              <w:spacing w:before="0" w:after="0"/>
              <w:ind w:left="113" w:right="113"/>
              <w:jc w:val="center"/>
              <w:rPr>
                <w:rFonts w:ascii="Arial" w:eastAsia="宋体" w:hAnsi="Arial" w:cs="Arial"/>
                <w:sz w:val="20"/>
                <w:szCs w:val="20"/>
              </w:rPr>
            </w:pPr>
            <w:r>
              <w:rPr>
                <w:rFonts w:ascii="Arial" w:hAnsi="Arial" w:cs="Arial" w:hint="eastAsia"/>
                <w:sz w:val="20"/>
                <w:szCs w:val="20"/>
              </w:rPr>
              <w:t>A</w:t>
            </w:r>
            <w:r>
              <w:rPr>
                <w:rFonts w:ascii="Arial" w:hAnsi="Arial" w:cs="Arial"/>
                <w:sz w:val="20"/>
                <w:szCs w:val="20"/>
              </w:rPr>
              <w:t>gricultural technology (energy)</w:t>
            </w:r>
          </w:p>
        </w:tc>
        <w:tc>
          <w:tcPr>
            <w:tcW w:w="823" w:type="dxa"/>
            <w:tcBorders>
              <w:top w:val="single" w:sz="6" w:space="0" w:color="000000"/>
              <w:left w:val="nil"/>
              <w:right w:val="nil"/>
            </w:tcBorders>
            <w:textDirection w:val="tbRlV"/>
            <w:vAlign w:val="center"/>
          </w:tcPr>
          <w:p w14:paraId="04085571" w14:textId="496BFFCF" w:rsidR="002A1696" w:rsidRDefault="004F1EA7" w:rsidP="004F1EA7">
            <w:pPr>
              <w:pStyle w:val="Equation"/>
              <w:spacing w:before="0" w:after="0"/>
              <w:ind w:left="113" w:right="113"/>
              <w:jc w:val="center"/>
              <w:rPr>
                <w:rFonts w:ascii="Arial" w:eastAsia="宋体" w:hAnsi="Arial" w:cs="Arial"/>
                <w:sz w:val="20"/>
                <w:szCs w:val="20"/>
              </w:rPr>
            </w:pPr>
            <w:r>
              <w:rPr>
                <w:rFonts w:ascii="Arial" w:hAnsi="Arial" w:cs="Arial" w:hint="eastAsia"/>
                <w:sz w:val="20"/>
                <w:szCs w:val="20"/>
              </w:rPr>
              <w:t>M</w:t>
            </w:r>
            <w:r>
              <w:rPr>
                <w:rFonts w:ascii="Arial" w:hAnsi="Arial" w:cs="Arial"/>
                <w:sz w:val="20"/>
                <w:szCs w:val="20"/>
              </w:rPr>
              <w:t>ethane reduction (livestock)</w:t>
            </w:r>
          </w:p>
        </w:tc>
        <w:tc>
          <w:tcPr>
            <w:tcW w:w="821" w:type="dxa"/>
            <w:tcBorders>
              <w:top w:val="single" w:sz="6" w:space="0" w:color="000000"/>
              <w:left w:val="nil"/>
              <w:right w:val="nil"/>
            </w:tcBorders>
            <w:textDirection w:val="tbRlV"/>
            <w:vAlign w:val="center"/>
          </w:tcPr>
          <w:p w14:paraId="04085572" w14:textId="2376A6BD" w:rsidR="002A1696" w:rsidRDefault="004F1EA7" w:rsidP="004F1EA7">
            <w:pPr>
              <w:pStyle w:val="Equation"/>
              <w:spacing w:before="0" w:after="0"/>
              <w:ind w:left="113" w:right="113"/>
              <w:jc w:val="center"/>
              <w:rPr>
                <w:rFonts w:ascii="Arial" w:eastAsia="宋体" w:hAnsi="Arial" w:cs="Arial"/>
                <w:sz w:val="20"/>
                <w:szCs w:val="20"/>
              </w:rPr>
            </w:pPr>
            <w:r>
              <w:rPr>
                <w:rFonts w:ascii="Arial" w:hAnsi="Arial" w:cs="Arial"/>
                <w:sz w:val="20"/>
                <w:szCs w:val="20"/>
              </w:rPr>
              <w:t>Early dry-season savanna burning</w:t>
            </w:r>
          </w:p>
        </w:tc>
        <w:tc>
          <w:tcPr>
            <w:tcW w:w="823" w:type="dxa"/>
            <w:tcBorders>
              <w:top w:val="single" w:sz="6" w:space="0" w:color="000000"/>
              <w:left w:val="nil"/>
              <w:right w:val="nil"/>
            </w:tcBorders>
            <w:textDirection w:val="tbRlV"/>
            <w:vAlign w:val="center"/>
          </w:tcPr>
          <w:p w14:paraId="04085573" w14:textId="5EC9B572" w:rsidR="002A1696" w:rsidRDefault="00C30874" w:rsidP="004F1EA7">
            <w:pPr>
              <w:pStyle w:val="Equation"/>
              <w:spacing w:before="0" w:after="0"/>
              <w:ind w:left="113" w:right="113"/>
              <w:jc w:val="center"/>
              <w:rPr>
                <w:rFonts w:ascii="Arial" w:eastAsia="宋体" w:hAnsi="Arial" w:cs="Arial"/>
                <w:sz w:val="20"/>
                <w:szCs w:val="20"/>
              </w:rPr>
            </w:pPr>
            <w:r>
              <w:rPr>
                <w:rFonts w:ascii="Arial" w:hAnsi="Arial" w:cs="Arial"/>
                <w:sz w:val="20"/>
                <w:szCs w:val="20"/>
              </w:rPr>
              <w:t>B</w:t>
            </w:r>
            <w:r>
              <w:rPr>
                <w:rFonts w:ascii="Arial" w:hAnsi="Arial" w:cs="Arial" w:hint="eastAsia"/>
                <w:sz w:val="20"/>
                <w:szCs w:val="20"/>
              </w:rPr>
              <w:t>iochar</w:t>
            </w:r>
          </w:p>
        </w:tc>
        <w:tc>
          <w:tcPr>
            <w:tcW w:w="822" w:type="dxa"/>
            <w:tcBorders>
              <w:top w:val="single" w:sz="6" w:space="0" w:color="000000"/>
              <w:left w:val="nil"/>
              <w:right w:val="nil"/>
            </w:tcBorders>
            <w:textDirection w:val="tbRlV"/>
            <w:vAlign w:val="center"/>
          </w:tcPr>
          <w:p w14:paraId="04085574" w14:textId="52262497" w:rsidR="002A1696" w:rsidRDefault="00B81C56" w:rsidP="004F1EA7">
            <w:pPr>
              <w:pStyle w:val="Equation"/>
              <w:spacing w:before="0" w:after="0"/>
              <w:ind w:left="113" w:right="113"/>
              <w:jc w:val="center"/>
              <w:rPr>
                <w:rFonts w:ascii="Arial" w:eastAsia="宋体" w:hAnsi="Arial" w:cs="Arial"/>
                <w:sz w:val="20"/>
                <w:szCs w:val="20"/>
              </w:rPr>
            </w:pPr>
            <w:r>
              <w:rPr>
                <w:rFonts w:ascii="Arial" w:hAnsi="Arial" w:cs="Arial"/>
                <w:sz w:val="20"/>
                <w:szCs w:val="20"/>
              </w:rPr>
              <w:t>Managed regeneration</w:t>
            </w:r>
            <w:r>
              <w:rPr>
                <w:rFonts w:ascii="Arial" w:hAnsi="Arial" w:cs="Arial" w:hint="eastAsia"/>
                <w:sz w:val="20"/>
                <w:szCs w:val="20"/>
              </w:rPr>
              <w:t xml:space="preserve"> (Beef)</w:t>
            </w:r>
          </w:p>
        </w:tc>
        <w:tc>
          <w:tcPr>
            <w:tcW w:w="821" w:type="dxa"/>
            <w:tcBorders>
              <w:top w:val="single" w:sz="6" w:space="0" w:color="000000"/>
              <w:left w:val="nil"/>
              <w:right w:val="nil"/>
            </w:tcBorders>
            <w:textDirection w:val="tbRlV"/>
            <w:vAlign w:val="center"/>
          </w:tcPr>
          <w:p w14:paraId="04085575" w14:textId="71C3E26A" w:rsidR="002A1696" w:rsidRDefault="00B81C56" w:rsidP="004F1EA7">
            <w:pPr>
              <w:pStyle w:val="Equation"/>
              <w:spacing w:before="0" w:after="0"/>
              <w:ind w:left="113" w:right="113"/>
              <w:jc w:val="center"/>
              <w:rPr>
                <w:rFonts w:ascii="Arial" w:eastAsia="宋体" w:hAnsi="Arial" w:cs="Arial"/>
                <w:sz w:val="20"/>
                <w:szCs w:val="20"/>
              </w:rPr>
            </w:pPr>
            <w:r>
              <w:rPr>
                <w:rFonts w:ascii="Arial" w:hAnsi="Arial" w:cs="Arial"/>
                <w:sz w:val="20"/>
                <w:szCs w:val="20"/>
              </w:rPr>
              <w:t>Managed regeneration</w:t>
            </w:r>
            <w:r>
              <w:rPr>
                <w:rFonts w:ascii="Arial" w:hAnsi="Arial" w:cs="Arial" w:hint="eastAsia"/>
                <w:sz w:val="20"/>
                <w:szCs w:val="20"/>
              </w:rPr>
              <w:t xml:space="preserve"> (Sheep)</w:t>
            </w:r>
          </w:p>
        </w:tc>
        <w:tc>
          <w:tcPr>
            <w:tcW w:w="821" w:type="dxa"/>
            <w:tcBorders>
              <w:top w:val="single" w:sz="6" w:space="0" w:color="000000"/>
              <w:left w:val="nil"/>
              <w:right w:val="nil"/>
            </w:tcBorders>
            <w:textDirection w:val="tbRlV"/>
            <w:vAlign w:val="center"/>
          </w:tcPr>
          <w:p w14:paraId="41C908C8" w14:textId="77777777" w:rsidR="002A1696" w:rsidRDefault="00B81C56" w:rsidP="004F1EA7">
            <w:pPr>
              <w:pStyle w:val="Equation"/>
              <w:spacing w:before="0" w:after="0"/>
              <w:ind w:left="113" w:right="113"/>
              <w:jc w:val="center"/>
              <w:rPr>
                <w:rFonts w:ascii="Arial" w:eastAsia="宋体" w:hAnsi="Arial" w:cs="Arial"/>
                <w:sz w:val="20"/>
                <w:szCs w:val="20"/>
              </w:rPr>
            </w:pPr>
            <w:r>
              <w:rPr>
                <w:rFonts w:ascii="Arial" w:hAnsi="Arial" w:cs="Arial"/>
                <w:sz w:val="20"/>
                <w:szCs w:val="20"/>
              </w:rPr>
              <w:t>Regenerative agriculture (livestock)</w:t>
            </w:r>
          </w:p>
        </w:tc>
      </w:tr>
      <w:tr w:rsidR="002A1696" w14:paraId="0408557F" w14:textId="77777777">
        <w:trPr>
          <w:trHeight w:val="283"/>
          <w:jc w:val="center"/>
        </w:trPr>
        <w:tc>
          <w:tcPr>
            <w:tcW w:w="2553" w:type="dxa"/>
            <w:tcBorders>
              <w:left w:val="nil"/>
              <w:bottom w:val="nil"/>
              <w:right w:val="nil"/>
            </w:tcBorders>
            <w:vAlign w:val="center"/>
          </w:tcPr>
          <w:p w14:paraId="04085577"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Apples</w:t>
            </w:r>
          </w:p>
        </w:tc>
        <w:tc>
          <w:tcPr>
            <w:tcW w:w="821" w:type="dxa"/>
            <w:tcBorders>
              <w:left w:val="nil"/>
              <w:bottom w:val="nil"/>
              <w:right w:val="nil"/>
            </w:tcBorders>
            <w:vAlign w:val="center"/>
          </w:tcPr>
          <w:p w14:paraId="04085578"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left w:val="nil"/>
              <w:bottom w:val="nil"/>
              <w:right w:val="nil"/>
            </w:tcBorders>
            <w:vAlign w:val="center"/>
          </w:tcPr>
          <w:p w14:paraId="04085579"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left w:val="nil"/>
              <w:bottom w:val="nil"/>
              <w:right w:val="nil"/>
            </w:tcBorders>
            <w:vAlign w:val="center"/>
          </w:tcPr>
          <w:p w14:paraId="0408557A"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left w:val="nil"/>
              <w:bottom w:val="nil"/>
              <w:right w:val="nil"/>
            </w:tcBorders>
            <w:vAlign w:val="center"/>
          </w:tcPr>
          <w:p w14:paraId="0408557B"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left w:val="nil"/>
              <w:bottom w:val="nil"/>
              <w:right w:val="nil"/>
            </w:tcBorders>
            <w:vAlign w:val="center"/>
          </w:tcPr>
          <w:p w14:paraId="0408557C"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left w:val="nil"/>
              <w:bottom w:val="nil"/>
              <w:right w:val="nil"/>
            </w:tcBorders>
            <w:vAlign w:val="center"/>
          </w:tcPr>
          <w:p w14:paraId="0408557D"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left w:val="nil"/>
              <w:bottom w:val="nil"/>
              <w:right w:val="nil"/>
            </w:tcBorders>
            <w:vAlign w:val="center"/>
          </w:tcPr>
          <w:p w14:paraId="0408557E"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left w:val="nil"/>
              <w:bottom w:val="nil"/>
              <w:right w:val="nil"/>
            </w:tcBorders>
            <w:vAlign w:val="center"/>
          </w:tcPr>
          <w:p w14:paraId="5862B879"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588" w14:textId="77777777">
        <w:trPr>
          <w:trHeight w:val="283"/>
          <w:jc w:val="center"/>
        </w:trPr>
        <w:tc>
          <w:tcPr>
            <w:tcW w:w="2553" w:type="dxa"/>
            <w:tcBorders>
              <w:top w:val="nil"/>
              <w:left w:val="nil"/>
              <w:bottom w:val="nil"/>
              <w:right w:val="nil"/>
            </w:tcBorders>
            <w:vAlign w:val="center"/>
          </w:tcPr>
          <w:p w14:paraId="04085580"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Beef - modified land</w:t>
            </w:r>
          </w:p>
        </w:tc>
        <w:tc>
          <w:tcPr>
            <w:tcW w:w="821" w:type="dxa"/>
            <w:tcBorders>
              <w:top w:val="nil"/>
              <w:left w:val="nil"/>
              <w:bottom w:val="nil"/>
              <w:right w:val="nil"/>
            </w:tcBorders>
            <w:vAlign w:val="center"/>
          </w:tcPr>
          <w:p w14:paraId="04085581"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82"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83"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84"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85"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86"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87"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5E4BCF4D"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591" w14:textId="77777777">
        <w:trPr>
          <w:trHeight w:val="283"/>
          <w:jc w:val="center"/>
        </w:trPr>
        <w:tc>
          <w:tcPr>
            <w:tcW w:w="2553" w:type="dxa"/>
            <w:tcBorders>
              <w:top w:val="nil"/>
              <w:left w:val="nil"/>
              <w:bottom w:val="nil"/>
              <w:right w:val="nil"/>
            </w:tcBorders>
            <w:vAlign w:val="center"/>
          </w:tcPr>
          <w:p w14:paraId="04085589"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Beef - natural land</w:t>
            </w:r>
          </w:p>
        </w:tc>
        <w:tc>
          <w:tcPr>
            <w:tcW w:w="821" w:type="dxa"/>
            <w:tcBorders>
              <w:top w:val="nil"/>
              <w:left w:val="nil"/>
              <w:bottom w:val="nil"/>
              <w:right w:val="nil"/>
            </w:tcBorders>
            <w:vAlign w:val="center"/>
          </w:tcPr>
          <w:p w14:paraId="0408558A"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8B"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8C"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8D"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8E"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8F"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90"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1D5C928B"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59A" w14:textId="77777777">
        <w:trPr>
          <w:trHeight w:val="283"/>
          <w:jc w:val="center"/>
        </w:trPr>
        <w:tc>
          <w:tcPr>
            <w:tcW w:w="2553" w:type="dxa"/>
            <w:tcBorders>
              <w:top w:val="nil"/>
              <w:left w:val="nil"/>
              <w:bottom w:val="nil"/>
              <w:right w:val="nil"/>
            </w:tcBorders>
            <w:vAlign w:val="center"/>
          </w:tcPr>
          <w:p w14:paraId="04085592"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Citrus</w:t>
            </w:r>
          </w:p>
        </w:tc>
        <w:tc>
          <w:tcPr>
            <w:tcW w:w="821" w:type="dxa"/>
            <w:tcBorders>
              <w:top w:val="nil"/>
              <w:left w:val="nil"/>
              <w:bottom w:val="nil"/>
              <w:right w:val="nil"/>
            </w:tcBorders>
            <w:vAlign w:val="center"/>
          </w:tcPr>
          <w:p w14:paraId="04085593"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94"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95"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96"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97"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98"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99"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36EA29C"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5A3" w14:textId="77777777">
        <w:trPr>
          <w:trHeight w:val="283"/>
          <w:jc w:val="center"/>
        </w:trPr>
        <w:tc>
          <w:tcPr>
            <w:tcW w:w="2553" w:type="dxa"/>
            <w:tcBorders>
              <w:top w:val="nil"/>
              <w:left w:val="nil"/>
              <w:bottom w:val="nil"/>
              <w:right w:val="nil"/>
            </w:tcBorders>
            <w:vAlign w:val="center"/>
          </w:tcPr>
          <w:p w14:paraId="0408559B"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Cotton</w:t>
            </w:r>
          </w:p>
        </w:tc>
        <w:tc>
          <w:tcPr>
            <w:tcW w:w="821" w:type="dxa"/>
            <w:tcBorders>
              <w:top w:val="nil"/>
              <w:left w:val="nil"/>
              <w:bottom w:val="nil"/>
              <w:right w:val="nil"/>
            </w:tcBorders>
            <w:vAlign w:val="center"/>
          </w:tcPr>
          <w:p w14:paraId="0408559C"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9D"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9E"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9F"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A0"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A1"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A2"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4660F26B"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5AC" w14:textId="77777777">
        <w:trPr>
          <w:trHeight w:val="283"/>
          <w:jc w:val="center"/>
        </w:trPr>
        <w:tc>
          <w:tcPr>
            <w:tcW w:w="2553" w:type="dxa"/>
            <w:tcBorders>
              <w:top w:val="nil"/>
              <w:left w:val="nil"/>
              <w:bottom w:val="nil"/>
              <w:right w:val="nil"/>
            </w:tcBorders>
            <w:vAlign w:val="center"/>
          </w:tcPr>
          <w:p w14:paraId="040855A4"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 xml:space="preserve">Dairy - </w:t>
            </w:r>
            <w:bookmarkStart w:id="4" w:name="_Hlk190182310"/>
            <w:r>
              <w:rPr>
                <w:rFonts w:ascii="Arial" w:hAnsi="Arial" w:cs="Arial"/>
                <w:color w:val="000000"/>
                <w:sz w:val="20"/>
                <w:szCs w:val="20"/>
              </w:rPr>
              <w:t>modified land</w:t>
            </w:r>
            <w:bookmarkEnd w:id="4"/>
          </w:p>
        </w:tc>
        <w:tc>
          <w:tcPr>
            <w:tcW w:w="821" w:type="dxa"/>
            <w:tcBorders>
              <w:top w:val="nil"/>
              <w:left w:val="nil"/>
              <w:bottom w:val="nil"/>
              <w:right w:val="nil"/>
            </w:tcBorders>
            <w:vAlign w:val="center"/>
          </w:tcPr>
          <w:p w14:paraId="040855A5"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A6"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A7"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A8"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A9"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AA"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AB"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1040D21C"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5B5" w14:textId="77777777">
        <w:trPr>
          <w:trHeight w:val="283"/>
          <w:jc w:val="center"/>
        </w:trPr>
        <w:tc>
          <w:tcPr>
            <w:tcW w:w="2553" w:type="dxa"/>
            <w:tcBorders>
              <w:top w:val="nil"/>
              <w:left w:val="nil"/>
              <w:bottom w:val="nil"/>
              <w:right w:val="nil"/>
            </w:tcBorders>
            <w:vAlign w:val="center"/>
          </w:tcPr>
          <w:p w14:paraId="040855AD"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Dairy - natural land</w:t>
            </w:r>
          </w:p>
        </w:tc>
        <w:tc>
          <w:tcPr>
            <w:tcW w:w="821" w:type="dxa"/>
            <w:tcBorders>
              <w:top w:val="nil"/>
              <w:left w:val="nil"/>
              <w:bottom w:val="nil"/>
              <w:right w:val="nil"/>
            </w:tcBorders>
            <w:vAlign w:val="center"/>
          </w:tcPr>
          <w:p w14:paraId="040855AE"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AF"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B0"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B1"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B2"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B3"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B4"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21C92A7B"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5BE" w14:textId="77777777">
        <w:trPr>
          <w:trHeight w:val="283"/>
          <w:jc w:val="center"/>
        </w:trPr>
        <w:tc>
          <w:tcPr>
            <w:tcW w:w="2553" w:type="dxa"/>
            <w:tcBorders>
              <w:top w:val="nil"/>
              <w:left w:val="nil"/>
              <w:bottom w:val="nil"/>
              <w:right w:val="nil"/>
            </w:tcBorders>
            <w:vAlign w:val="center"/>
          </w:tcPr>
          <w:p w14:paraId="040855B6"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Grapes</w:t>
            </w:r>
          </w:p>
        </w:tc>
        <w:tc>
          <w:tcPr>
            <w:tcW w:w="821" w:type="dxa"/>
            <w:tcBorders>
              <w:top w:val="nil"/>
              <w:left w:val="nil"/>
              <w:bottom w:val="nil"/>
              <w:right w:val="nil"/>
            </w:tcBorders>
            <w:vAlign w:val="center"/>
          </w:tcPr>
          <w:p w14:paraId="040855B7"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B8"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B9"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BA"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BB"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BC"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BD"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3D6F6DE7"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5C7" w14:textId="77777777">
        <w:trPr>
          <w:trHeight w:val="283"/>
          <w:jc w:val="center"/>
        </w:trPr>
        <w:tc>
          <w:tcPr>
            <w:tcW w:w="2553" w:type="dxa"/>
            <w:tcBorders>
              <w:top w:val="nil"/>
              <w:left w:val="nil"/>
              <w:bottom w:val="nil"/>
              <w:right w:val="nil"/>
            </w:tcBorders>
            <w:vAlign w:val="center"/>
          </w:tcPr>
          <w:p w14:paraId="040855BF"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Hay</w:t>
            </w:r>
          </w:p>
        </w:tc>
        <w:tc>
          <w:tcPr>
            <w:tcW w:w="821" w:type="dxa"/>
            <w:tcBorders>
              <w:top w:val="nil"/>
              <w:left w:val="nil"/>
              <w:bottom w:val="nil"/>
              <w:right w:val="nil"/>
            </w:tcBorders>
            <w:vAlign w:val="center"/>
          </w:tcPr>
          <w:p w14:paraId="040855C0"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C1"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C2"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C3"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C4"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C5"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C6"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76D7F9C0"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5D0" w14:textId="77777777">
        <w:trPr>
          <w:trHeight w:val="283"/>
          <w:jc w:val="center"/>
        </w:trPr>
        <w:tc>
          <w:tcPr>
            <w:tcW w:w="2553" w:type="dxa"/>
            <w:tcBorders>
              <w:top w:val="nil"/>
              <w:left w:val="nil"/>
              <w:bottom w:val="nil"/>
              <w:right w:val="nil"/>
            </w:tcBorders>
            <w:vAlign w:val="center"/>
          </w:tcPr>
          <w:p w14:paraId="040855C8"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Nuts</w:t>
            </w:r>
          </w:p>
        </w:tc>
        <w:tc>
          <w:tcPr>
            <w:tcW w:w="821" w:type="dxa"/>
            <w:tcBorders>
              <w:top w:val="nil"/>
              <w:left w:val="nil"/>
              <w:bottom w:val="nil"/>
              <w:right w:val="nil"/>
            </w:tcBorders>
            <w:vAlign w:val="center"/>
          </w:tcPr>
          <w:p w14:paraId="040855C9"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CA"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CB"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CC"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CD"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CE"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CF"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56953BDA"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5D9" w14:textId="77777777">
        <w:trPr>
          <w:trHeight w:val="283"/>
          <w:jc w:val="center"/>
        </w:trPr>
        <w:tc>
          <w:tcPr>
            <w:tcW w:w="2553" w:type="dxa"/>
            <w:tcBorders>
              <w:top w:val="nil"/>
              <w:left w:val="nil"/>
              <w:bottom w:val="nil"/>
              <w:right w:val="nil"/>
            </w:tcBorders>
            <w:vAlign w:val="center"/>
          </w:tcPr>
          <w:p w14:paraId="040855D1"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Other non-cereal crops</w:t>
            </w:r>
          </w:p>
        </w:tc>
        <w:tc>
          <w:tcPr>
            <w:tcW w:w="821" w:type="dxa"/>
            <w:tcBorders>
              <w:top w:val="nil"/>
              <w:left w:val="nil"/>
              <w:bottom w:val="nil"/>
              <w:right w:val="nil"/>
            </w:tcBorders>
            <w:vAlign w:val="center"/>
          </w:tcPr>
          <w:p w14:paraId="040855D2"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D3"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D4"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D5"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D6"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D7"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D8"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3625F2D6"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5E2" w14:textId="77777777">
        <w:trPr>
          <w:trHeight w:val="283"/>
          <w:jc w:val="center"/>
        </w:trPr>
        <w:tc>
          <w:tcPr>
            <w:tcW w:w="2553" w:type="dxa"/>
            <w:tcBorders>
              <w:top w:val="nil"/>
              <w:left w:val="nil"/>
              <w:bottom w:val="nil"/>
              <w:right w:val="nil"/>
            </w:tcBorders>
            <w:vAlign w:val="center"/>
          </w:tcPr>
          <w:p w14:paraId="040855DA"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Pears</w:t>
            </w:r>
          </w:p>
        </w:tc>
        <w:tc>
          <w:tcPr>
            <w:tcW w:w="821" w:type="dxa"/>
            <w:tcBorders>
              <w:top w:val="nil"/>
              <w:left w:val="nil"/>
              <w:bottom w:val="nil"/>
              <w:right w:val="nil"/>
            </w:tcBorders>
            <w:vAlign w:val="center"/>
          </w:tcPr>
          <w:p w14:paraId="040855DB"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DC"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DD"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DE"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DF"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E0"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E1"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68E1D102"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5EB" w14:textId="77777777">
        <w:trPr>
          <w:trHeight w:val="283"/>
          <w:jc w:val="center"/>
        </w:trPr>
        <w:tc>
          <w:tcPr>
            <w:tcW w:w="2553" w:type="dxa"/>
            <w:tcBorders>
              <w:top w:val="nil"/>
              <w:left w:val="nil"/>
              <w:bottom w:val="nil"/>
              <w:right w:val="nil"/>
            </w:tcBorders>
            <w:vAlign w:val="center"/>
          </w:tcPr>
          <w:p w14:paraId="040855E3"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Plantation fruit</w:t>
            </w:r>
          </w:p>
        </w:tc>
        <w:tc>
          <w:tcPr>
            <w:tcW w:w="821" w:type="dxa"/>
            <w:tcBorders>
              <w:top w:val="nil"/>
              <w:left w:val="nil"/>
              <w:bottom w:val="nil"/>
              <w:right w:val="nil"/>
            </w:tcBorders>
            <w:vAlign w:val="center"/>
          </w:tcPr>
          <w:p w14:paraId="040855E4"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E5"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E6"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E7"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E8"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E9"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EA"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3A1C2EB1"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5F4" w14:textId="77777777">
        <w:trPr>
          <w:trHeight w:val="283"/>
          <w:jc w:val="center"/>
        </w:trPr>
        <w:tc>
          <w:tcPr>
            <w:tcW w:w="2553" w:type="dxa"/>
            <w:tcBorders>
              <w:top w:val="nil"/>
              <w:left w:val="nil"/>
              <w:bottom w:val="nil"/>
              <w:right w:val="nil"/>
            </w:tcBorders>
            <w:vAlign w:val="center"/>
          </w:tcPr>
          <w:p w14:paraId="040855EC"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Rice</w:t>
            </w:r>
          </w:p>
        </w:tc>
        <w:tc>
          <w:tcPr>
            <w:tcW w:w="821" w:type="dxa"/>
            <w:tcBorders>
              <w:top w:val="nil"/>
              <w:left w:val="nil"/>
              <w:bottom w:val="nil"/>
              <w:right w:val="nil"/>
            </w:tcBorders>
            <w:vAlign w:val="center"/>
          </w:tcPr>
          <w:p w14:paraId="040855ED"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EE"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EF"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F0"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F1"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F2"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F3"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66380488"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5FD" w14:textId="77777777">
        <w:trPr>
          <w:trHeight w:val="283"/>
          <w:jc w:val="center"/>
        </w:trPr>
        <w:tc>
          <w:tcPr>
            <w:tcW w:w="2553" w:type="dxa"/>
            <w:tcBorders>
              <w:top w:val="nil"/>
              <w:left w:val="nil"/>
              <w:bottom w:val="nil"/>
              <w:right w:val="nil"/>
            </w:tcBorders>
            <w:vAlign w:val="center"/>
          </w:tcPr>
          <w:p w14:paraId="040855F5"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Sheep - modified land</w:t>
            </w:r>
          </w:p>
        </w:tc>
        <w:tc>
          <w:tcPr>
            <w:tcW w:w="821" w:type="dxa"/>
            <w:tcBorders>
              <w:top w:val="nil"/>
              <w:left w:val="nil"/>
              <w:bottom w:val="nil"/>
              <w:right w:val="nil"/>
            </w:tcBorders>
            <w:vAlign w:val="center"/>
          </w:tcPr>
          <w:p w14:paraId="040855F6"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F7"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F8"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F9"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5FA"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5FB"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5FC"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E12B325"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606" w14:textId="77777777">
        <w:trPr>
          <w:trHeight w:val="283"/>
          <w:jc w:val="center"/>
        </w:trPr>
        <w:tc>
          <w:tcPr>
            <w:tcW w:w="2553" w:type="dxa"/>
            <w:tcBorders>
              <w:top w:val="nil"/>
              <w:left w:val="nil"/>
              <w:bottom w:val="nil"/>
              <w:right w:val="nil"/>
            </w:tcBorders>
            <w:vAlign w:val="center"/>
          </w:tcPr>
          <w:p w14:paraId="040855FE"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Sheep - natural land</w:t>
            </w:r>
          </w:p>
        </w:tc>
        <w:tc>
          <w:tcPr>
            <w:tcW w:w="821" w:type="dxa"/>
            <w:tcBorders>
              <w:top w:val="nil"/>
              <w:left w:val="nil"/>
              <w:bottom w:val="nil"/>
              <w:right w:val="nil"/>
            </w:tcBorders>
            <w:vAlign w:val="center"/>
          </w:tcPr>
          <w:p w14:paraId="040855FF"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00"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01"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02"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03"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04"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05"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7E6F4ED5"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60F" w14:textId="77777777">
        <w:trPr>
          <w:trHeight w:val="283"/>
          <w:jc w:val="center"/>
        </w:trPr>
        <w:tc>
          <w:tcPr>
            <w:tcW w:w="2553" w:type="dxa"/>
            <w:tcBorders>
              <w:top w:val="nil"/>
              <w:left w:val="nil"/>
              <w:bottom w:val="nil"/>
              <w:right w:val="nil"/>
            </w:tcBorders>
            <w:vAlign w:val="center"/>
          </w:tcPr>
          <w:p w14:paraId="04085607"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Stone fruit</w:t>
            </w:r>
          </w:p>
        </w:tc>
        <w:tc>
          <w:tcPr>
            <w:tcW w:w="821" w:type="dxa"/>
            <w:tcBorders>
              <w:top w:val="nil"/>
              <w:left w:val="nil"/>
              <w:bottom w:val="nil"/>
              <w:right w:val="nil"/>
            </w:tcBorders>
            <w:vAlign w:val="center"/>
          </w:tcPr>
          <w:p w14:paraId="04085608"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09"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0A"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0B"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0C"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0D"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0E"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F302AA8"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618" w14:textId="77777777">
        <w:trPr>
          <w:trHeight w:val="283"/>
          <w:jc w:val="center"/>
        </w:trPr>
        <w:tc>
          <w:tcPr>
            <w:tcW w:w="2553" w:type="dxa"/>
            <w:tcBorders>
              <w:top w:val="nil"/>
              <w:left w:val="nil"/>
              <w:bottom w:val="nil"/>
              <w:right w:val="nil"/>
            </w:tcBorders>
            <w:vAlign w:val="center"/>
          </w:tcPr>
          <w:p w14:paraId="04085610"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Sugar</w:t>
            </w:r>
          </w:p>
        </w:tc>
        <w:tc>
          <w:tcPr>
            <w:tcW w:w="821" w:type="dxa"/>
            <w:tcBorders>
              <w:top w:val="nil"/>
              <w:left w:val="nil"/>
              <w:bottom w:val="nil"/>
              <w:right w:val="nil"/>
            </w:tcBorders>
            <w:vAlign w:val="center"/>
          </w:tcPr>
          <w:p w14:paraId="04085611"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12"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13"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14"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15"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16"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17"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45E12A73"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621" w14:textId="77777777">
        <w:trPr>
          <w:trHeight w:val="283"/>
          <w:jc w:val="center"/>
        </w:trPr>
        <w:tc>
          <w:tcPr>
            <w:tcW w:w="2553" w:type="dxa"/>
            <w:tcBorders>
              <w:top w:val="nil"/>
              <w:left w:val="nil"/>
              <w:bottom w:val="nil"/>
              <w:right w:val="nil"/>
            </w:tcBorders>
            <w:vAlign w:val="center"/>
          </w:tcPr>
          <w:p w14:paraId="04085619"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Summer cereals</w:t>
            </w:r>
          </w:p>
        </w:tc>
        <w:tc>
          <w:tcPr>
            <w:tcW w:w="821" w:type="dxa"/>
            <w:tcBorders>
              <w:top w:val="nil"/>
              <w:left w:val="nil"/>
              <w:bottom w:val="nil"/>
              <w:right w:val="nil"/>
            </w:tcBorders>
            <w:vAlign w:val="center"/>
          </w:tcPr>
          <w:p w14:paraId="0408561A"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1B"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1C"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1D"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1E"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1F"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20"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6A265930"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62A" w14:textId="77777777">
        <w:trPr>
          <w:trHeight w:val="283"/>
          <w:jc w:val="center"/>
        </w:trPr>
        <w:tc>
          <w:tcPr>
            <w:tcW w:w="2553" w:type="dxa"/>
            <w:tcBorders>
              <w:top w:val="nil"/>
              <w:left w:val="nil"/>
              <w:bottom w:val="nil"/>
              <w:right w:val="nil"/>
            </w:tcBorders>
            <w:vAlign w:val="center"/>
          </w:tcPr>
          <w:p w14:paraId="04085622" w14:textId="77777777" w:rsidR="002A1696" w:rsidRDefault="00C30874">
            <w:pPr>
              <w:pStyle w:val="Equation"/>
              <w:spacing w:before="0" w:after="0"/>
              <w:rPr>
                <w:rFonts w:ascii="Arial" w:eastAsia="宋体" w:hAnsi="Arial" w:cs="Arial"/>
                <w:sz w:val="20"/>
                <w:szCs w:val="20"/>
              </w:rPr>
            </w:pPr>
            <w:r>
              <w:rPr>
                <w:rFonts w:ascii="Arial" w:hAnsi="Arial" w:cs="Arial"/>
                <w:color w:val="000000"/>
                <w:sz w:val="20"/>
                <w:szCs w:val="20"/>
              </w:rPr>
              <w:t>Summer legumes</w:t>
            </w:r>
          </w:p>
        </w:tc>
        <w:tc>
          <w:tcPr>
            <w:tcW w:w="821" w:type="dxa"/>
            <w:tcBorders>
              <w:top w:val="nil"/>
              <w:left w:val="nil"/>
              <w:bottom w:val="nil"/>
              <w:right w:val="nil"/>
            </w:tcBorders>
            <w:vAlign w:val="center"/>
          </w:tcPr>
          <w:p w14:paraId="04085623"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24"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25"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26"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27"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28"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29"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5C38775A"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633" w14:textId="77777777">
        <w:trPr>
          <w:trHeight w:val="283"/>
          <w:jc w:val="center"/>
        </w:trPr>
        <w:tc>
          <w:tcPr>
            <w:tcW w:w="2553" w:type="dxa"/>
            <w:tcBorders>
              <w:top w:val="nil"/>
              <w:left w:val="nil"/>
              <w:bottom w:val="nil"/>
              <w:right w:val="nil"/>
            </w:tcBorders>
            <w:vAlign w:val="center"/>
          </w:tcPr>
          <w:p w14:paraId="0408562B" w14:textId="77777777" w:rsidR="002A1696" w:rsidRDefault="00C30874">
            <w:pPr>
              <w:pStyle w:val="Equation"/>
              <w:spacing w:before="0" w:after="0"/>
              <w:rPr>
                <w:rFonts w:ascii="Arial" w:hAnsi="Arial" w:cs="Arial"/>
                <w:color w:val="000000"/>
                <w:sz w:val="20"/>
                <w:szCs w:val="20"/>
              </w:rPr>
            </w:pPr>
            <w:r>
              <w:rPr>
                <w:rFonts w:ascii="Arial" w:hAnsi="Arial" w:cs="Arial"/>
                <w:color w:val="000000"/>
                <w:sz w:val="20"/>
                <w:szCs w:val="20"/>
              </w:rPr>
              <w:t>Summer oilseeds</w:t>
            </w:r>
          </w:p>
        </w:tc>
        <w:tc>
          <w:tcPr>
            <w:tcW w:w="821" w:type="dxa"/>
            <w:tcBorders>
              <w:top w:val="nil"/>
              <w:left w:val="nil"/>
              <w:bottom w:val="nil"/>
              <w:right w:val="nil"/>
            </w:tcBorders>
            <w:vAlign w:val="center"/>
          </w:tcPr>
          <w:p w14:paraId="0408562C"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2D"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2E"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2F"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30"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31"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32"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7D47ADA1"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63C" w14:textId="77777777">
        <w:trPr>
          <w:trHeight w:val="283"/>
          <w:jc w:val="center"/>
        </w:trPr>
        <w:tc>
          <w:tcPr>
            <w:tcW w:w="2553" w:type="dxa"/>
            <w:tcBorders>
              <w:top w:val="nil"/>
              <w:left w:val="nil"/>
              <w:bottom w:val="nil"/>
              <w:right w:val="nil"/>
            </w:tcBorders>
            <w:vAlign w:val="center"/>
          </w:tcPr>
          <w:p w14:paraId="04085634" w14:textId="77777777" w:rsidR="002A1696" w:rsidRDefault="00C30874">
            <w:pPr>
              <w:pStyle w:val="Equation"/>
              <w:spacing w:before="0" w:after="0"/>
              <w:rPr>
                <w:rFonts w:ascii="Arial" w:hAnsi="Arial" w:cs="Arial"/>
                <w:color w:val="000000"/>
                <w:sz w:val="20"/>
                <w:szCs w:val="20"/>
              </w:rPr>
            </w:pPr>
            <w:r>
              <w:rPr>
                <w:rFonts w:ascii="Arial" w:hAnsi="Arial" w:cs="Arial"/>
                <w:color w:val="000000"/>
                <w:sz w:val="20"/>
                <w:szCs w:val="20"/>
              </w:rPr>
              <w:t>Tropical stone fruit</w:t>
            </w:r>
          </w:p>
        </w:tc>
        <w:tc>
          <w:tcPr>
            <w:tcW w:w="821" w:type="dxa"/>
            <w:tcBorders>
              <w:top w:val="nil"/>
              <w:left w:val="nil"/>
              <w:bottom w:val="nil"/>
              <w:right w:val="nil"/>
            </w:tcBorders>
            <w:vAlign w:val="center"/>
          </w:tcPr>
          <w:p w14:paraId="04085635"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36"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37"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38"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39"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3A"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3B"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41DCF5F2"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645" w14:textId="77777777">
        <w:trPr>
          <w:trHeight w:val="283"/>
          <w:jc w:val="center"/>
        </w:trPr>
        <w:tc>
          <w:tcPr>
            <w:tcW w:w="2553" w:type="dxa"/>
            <w:tcBorders>
              <w:top w:val="nil"/>
              <w:left w:val="nil"/>
              <w:bottom w:val="nil"/>
              <w:right w:val="nil"/>
            </w:tcBorders>
            <w:vAlign w:val="center"/>
          </w:tcPr>
          <w:p w14:paraId="0408563D" w14:textId="77777777" w:rsidR="002A1696" w:rsidRDefault="00C30874">
            <w:pPr>
              <w:pStyle w:val="Equation"/>
              <w:spacing w:before="0" w:after="0"/>
              <w:rPr>
                <w:rFonts w:ascii="Arial" w:hAnsi="Arial" w:cs="Arial"/>
                <w:color w:val="000000"/>
                <w:sz w:val="20"/>
                <w:szCs w:val="20"/>
              </w:rPr>
            </w:pPr>
            <w:r>
              <w:rPr>
                <w:rFonts w:ascii="Arial" w:hAnsi="Arial" w:cs="Arial"/>
                <w:color w:val="000000"/>
                <w:sz w:val="20"/>
                <w:szCs w:val="20"/>
              </w:rPr>
              <w:t>Unallocated - modified land</w:t>
            </w:r>
          </w:p>
        </w:tc>
        <w:tc>
          <w:tcPr>
            <w:tcW w:w="821" w:type="dxa"/>
            <w:tcBorders>
              <w:top w:val="nil"/>
              <w:left w:val="nil"/>
              <w:bottom w:val="nil"/>
              <w:right w:val="nil"/>
            </w:tcBorders>
            <w:vAlign w:val="center"/>
          </w:tcPr>
          <w:p w14:paraId="0408563E"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3F"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40"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41"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42"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43"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44"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54D41383"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64E" w14:textId="77777777">
        <w:trPr>
          <w:trHeight w:val="283"/>
          <w:jc w:val="center"/>
        </w:trPr>
        <w:tc>
          <w:tcPr>
            <w:tcW w:w="2553" w:type="dxa"/>
            <w:tcBorders>
              <w:top w:val="nil"/>
              <w:left w:val="nil"/>
              <w:bottom w:val="nil"/>
              <w:right w:val="nil"/>
            </w:tcBorders>
            <w:vAlign w:val="center"/>
          </w:tcPr>
          <w:p w14:paraId="04085646" w14:textId="77777777" w:rsidR="002A1696" w:rsidRDefault="00C30874">
            <w:pPr>
              <w:pStyle w:val="Equation"/>
              <w:spacing w:before="0" w:after="0"/>
              <w:rPr>
                <w:rFonts w:ascii="Arial" w:hAnsi="Arial" w:cs="Arial"/>
                <w:color w:val="000000"/>
                <w:sz w:val="20"/>
                <w:szCs w:val="20"/>
              </w:rPr>
            </w:pPr>
            <w:r>
              <w:rPr>
                <w:rFonts w:ascii="Arial" w:hAnsi="Arial" w:cs="Arial"/>
                <w:color w:val="000000"/>
                <w:sz w:val="20"/>
                <w:szCs w:val="20"/>
              </w:rPr>
              <w:t>Unallocated - natural land</w:t>
            </w:r>
          </w:p>
        </w:tc>
        <w:tc>
          <w:tcPr>
            <w:tcW w:w="821" w:type="dxa"/>
            <w:tcBorders>
              <w:top w:val="nil"/>
              <w:left w:val="nil"/>
              <w:bottom w:val="nil"/>
              <w:right w:val="nil"/>
            </w:tcBorders>
            <w:vAlign w:val="center"/>
          </w:tcPr>
          <w:p w14:paraId="04085647"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48"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49"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4A"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4B"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4C"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4D"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66FD772F"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657" w14:textId="77777777">
        <w:trPr>
          <w:trHeight w:val="283"/>
          <w:jc w:val="center"/>
        </w:trPr>
        <w:tc>
          <w:tcPr>
            <w:tcW w:w="2553" w:type="dxa"/>
            <w:tcBorders>
              <w:top w:val="nil"/>
              <w:left w:val="nil"/>
              <w:bottom w:val="nil"/>
              <w:right w:val="nil"/>
            </w:tcBorders>
            <w:vAlign w:val="center"/>
          </w:tcPr>
          <w:p w14:paraId="0408564F" w14:textId="77777777" w:rsidR="002A1696" w:rsidRDefault="00C30874">
            <w:pPr>
              <w:pStyle w:val="Equation"/>
              <w:spacing w:before="0" w:after="0"/>
              <w:rPr>
                <w:rFonts w:ascii="Arial" w:hAnsi="Arial" w:cs="Arial"/>
                <w:color w:val="000000"/>
                <w:sz w:val="20"/>
                <w:szCs w:val="20"/>
              </w:rPr>
            </w:pPr>
            <w:r>
              <w:rPr>
                <w:rFonts w:ascii="Arial" w:hAnsi="Arial" w:cs="Arial"/>
                <w:color w:val="000000"/>
                <w:sz w:val="20"/>
                <w:szCs w:val="20"/>
              </w:rPr>
              <w:t>Vegetables</w:t>
            </w:r>
          </w:p>
        </w:tc>
        <w:tc>
          <w:tcPr>
            <w:tcW w:w="821" w:type="dxa"/>
            <w:tcBorders>
              <w:top w:val="nil"/>
              <w:left w:val="nil"/>
              <w:bottom w:val="nil"/>
              <w:right w:val="nil"/>
            </w:tcBorders>
            <w:vAlign w:val="center"/>
          </w:tcPr>
          <w:p w14:paraId="04085650"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51"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52"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53"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54"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55"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56"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24D223D0"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660" w14:textId="77777777">
        <w:trPr>
          <w:trHeight w:val="283"/>
          <w:jc w:val="center"/>
        </w:trPr>
        <w:tc>
          <w:tcPr>
            <w:tcW w:w="2553" w:type="dxa"/>
            <w:tcBorders>
              <w:top w:val="nil"/>
              <w:left w:val="nil"/>
              <w:bottom w:val="nil"/>
              <w:right w:val="nil"/>
            </w:tcBorders>
            <w:vAlign w:val="center"/>
          </w:tcPr>
          <w:p w14:paraId="04085658" w14:textId="77777777" w:rsidR="002A1696" w:rsidRDefault="00C30874">
            <w:pPr>
              <w:pStyle w:val="Equation"/>
              <w:spacing w:before="0" w:after="0"/>
              <w:rPr>
                <w:rFonts w:ascii="Arial" w:hAnsi="Arial" w:cs="Arial"/>
                <w:color w:val="000000"/>
                <w:sz w:val="20"/>
                <w:szCs w:val="20"/>
              </w:rPr>
            </w:pPr>
            <w:r>
              <w:rPr>
                <w:rFonts w:ascii="Arial" w:hAnsi="Arial" w:cs="Arial"/>
                <w:color w:val="000000"/>
                <w:sz w:val="20"/>
                <w:szCs w:val="20"/>
              </w:rPr>
              <w:t>Winter cereals</w:t>
            </w:r>
          </w:p>
        </w:tc>
        <w:tc>
          <w:tcPr>
            <w:tcW w:w="821" w:type="dxa"/>
            <w:tcBorders>
              <w:top w:val="nil"/>
              <w:left w:val="nil"/>
              <w:bottom w:val="nil"/>
              <w:right w:val="nil"/>
            </w:tcBorders>
            <w:vAlign w:val="center"/>
          </w:tcPr>
          <w:p w14:paraId="04085659"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5A"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5B"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5C"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5D"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5E"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5F"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2CB49EF5"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669" w14:textId="77777777">
        <w:trPr>
          <w:trHeight w:val="283"/>
          <w:jc w:val="center"/>
        </w:trPr>
        <w:tc>
          <w:tcPr>
            <w:tcW w:w="2553" w:type="dxa"/>
            <w:tcBorders>
              <w:top w:val="nil"/>
              <w:left w:val="nil"/>
              <w:bottom w:val="nil"/>
              <w:right w:val="nil"/>
            </w:tcBorders>
            <w:vAlign w:val="center"/>
          </w:tcPr>
          <w:p w14:paraId="04085661" w14:textId="77777777" w:rsidR="002A1696" w:rsidRDefault="00C30874">
            <w:pPr>
              <w:pStyle w:val="Equation"/>
              <w:spacing w:before="0" w:after="0"/>
              <w:rPr>
                <w:rFonts w:ascii="Arial" w:hAnsi="Arial" w:cs="Arial"/>
                <w:color w:val="000000"/>
                <w:sz w:val="20"/>
                <w:szCs w:val="20"/>
              </w:rPr>
            </w:pPr>
            <w:r>
              <w:rPr>
                <w:rFonts w:ascii="Arial" w:hAnsi="Arial" w:cs="Arial"/>
                <w:color w:val="000000"/>
                <w:sz w:val="20"/>
                <w:szCs w:val="20"/>
              </w:rPr>
              <w:t>Winter legumes</w:t>
            </w:r>
          </w:p>
        </w:tc>
        <w:tc>
          <w:tcPr>
            <w:tcW w:w="821" w:type="dxa"/>
            <w:tcBorders>
              <w:top w:val="nil"/>
              <w:left w:val="nil"/>
              <w:bottom w:val="nil"/>
              <w:right w:val="nil"/>
            </w:tcBorders>
            <w:vAlign w:val="center"/>
          </w:tcPr>
          <w:p w14:paraId="04085662"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63"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64"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65"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nil"/>
              <w:right w:val="nil"/>
            </w:tcBorders>
            <w:vAlign w:val="center"/>
          </w:tcPr>
          <w:p w14:paraId="04085666"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nil"/>
              <w:right w:val="nil"/>
            </w:tcBorders>
            <w:vAlign w:val="center"/>
          </w:tcPr>
          <w:p w14:paraId="04085667"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04085668"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nil"/>
              <w:right w:val="nil"/>
            </w:tcBorders>
            <w:vAlign w:val="center"/>
          </w:tcPr>
          <w:p w14:paraId="2842DFEB"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r w:rsidR="002A1696" w14:paraId="04085672" w14:textId="77777777">
        <w:trPr>
          <w:trHeight w:val="283"/>
          <w:jc w:val="center"/>
        </w:trPr>
        <w:tc>
          <w:tcPr>
            <w:tcW w:w="2553" w:type="dxa"/>
            <w:tcBorders>
              <w:top w:val="nil"/>
              <w:left w:val="nil"/>
              <w:bottom w:val="single" w:sz="12" w:space="0" w:color="000000"/>
              <w:right w:val="nil"/>
            </w:tcBorders>
            <w:vAlign w:val="center"/>
          </w:tcPr>
          <w:p w14:paraId="0408566A" w14:textId="77777777" w:rsidR="002A1696" w:rsidRDefault="00C30874">
            <w:pPr>
              <w:pStyle w:val="Equation"/>
              <w:spacing w:before="0" w:after="0"/>
              <w:rPr>
                <w:rFonts w:ascii="Arial" w:hAnsi="Arial" w:cs="Arial"/>
                <w:color w:val="000000"/>
                <w:sz w:val="20"/>
                <w:szCs w:val="20"/>
              </w:rPr>
            </w:pPr>
            <w:r>
              <w:rPr>
                <w:rFonts w:ascii="Arial" w:hAnsi="Arial" w:cs="Arial"/>
                <w:color w:val="000000"/>
                <w:sz w:val="20"/>
                <w:szCs w:val="20"/>
              </w:rPr>
              <w:t>Winter oilseeds</w:t>
            </w:r>
          </w:p>
        </w:tc>
        <w:tc>
          <w:tcPr>
            <w:tcW w:w="821" w:type="dxa"/>
            <w:tcBorders>
              <w:top w:val="nil"/>
              <w:left w:val="nil"/>
              <w:bottom w:val="single" w:sz="12" w:space="0" w:color="000000"/>
              <w:right w:val="nil"/>
            </w:tcBorders>
            <w:vAlign w:val="center"/>
          </w:tcPr>
          <w:p w14:paraId="0408566B"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single" w:sz="12" w:space="0" w:color="000000"/>
              <w:right w:val="nil"/>
            </w:tcBorders>
            <w:vAlign w:val="center"/>
          </w:tcPr>
          <w:p w14:paraId="0408566C"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single" w:sz="12" w:space="0" w:color="000000"/>
              <w:right w:val="nil"/>
            </w:tcBorders>
            <w:vAlign w:val="center"/>
          </w:tcPr>
          <w:p w14:paraId="0408566D"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single" w:sz="12" w:space="0" w:color="000000"/>
              <w:right w:val="nil"/>
            </w:tcBorders>
            <w:vAlign w:val="center"/>
          </w:tcPr>
          <w:p w14:paraId="0408566E"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3" w:type="dxa"/>
            <w:tcBorders>
              <w:top w:val="nil"/>
              <w:left w:val="nil"/>
              <w:bottom w:val="single" w:sz="12" w:space="0" w:color="000000"/>
              <w:right w:val="nil"/>
            </w:tcBorders>
            <w:vAlign w:val="center"/>
          </w:tcPr>
          <w:p w14:paraId="0408566F"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2" w:type="dxa"/>
            <w:tcBorders>
              <w:top w:val="nil"/>
              <w:left w:val="nil"/>
              <w:bottom w:val="single" w:sz="12" w:space="0" w:color="000000"/>
              <w:right w:val="nil"/>
            </w:tcBorders>
            <w:vAlign w:val="center"/>
          </w:tcPr>
          <w:p w14:paraId="04085670" w14:textId="77777777" w:rsidR="002A1696" w:rsidRDefault="00C30874">
            <w:pPr>
              <w:pStyle w:val="Equation"/>
              <w:spacing w:before="0" w:after="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single" w:sz="12" w:space="0" w:color="000000"/>
              <w:right w:val="nil"/>
            </w:tcBorders>
            <w:vAlign w:val="center"/>
          </w:tcPr>
          <w:p w14:paraId="04085671"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c>
          <w:tcPr>
            <w:tcW w:w="821" w:type="dxa"/>
            <w:tcBorders>
              <w:top w:val="nil"/>
              <w:left w:val="nil"/>
              <w:bottom w:val="single" w:sz="12" w:space="0" w:color="000000"/>
              <w:right w:val="nil"/>
            </w:tcBorders>
            <w:vAlign w:val="center"/>
          </w:tcPr>
          <w:p w14:paraId="2894F5B7" w14:textId="77777777" w:rsidR="002A1696" w:rsidRDefault="00C30874">
            <w:pPr>
              <w:pStyle w:val="Equation"/>
              <w:spacing w:before="0" w:after="0"/>
              <w:ind w:firstLine="260"/>
              <w:jc w:val="center"/>
              <w:rPr>
                <w:rFonts w:ascii="Arial" w:eastAsia="宋体" w:hAnsi="Arial" w:cs="Arial"/>
                <w:sz w:val="20"/>
                <w:szCs w:val="20"/>
              </w:rPr>
            </w:pPr>
            <w:r>
              <w:rPr>
                <w:rFonts w:ascii="Arial" w:hAnsi="Arial" w:cs="Arial"/>
                <w:sz w:val="20"/>
                <w:szCs w:val="20"/>
              </w:rPr>
              <w:t>×</w:t>
            </w:r>
          </w:p>
        </w:tc>
      </w:tr>
    </w:tbl>
    <w:p w14:paraId="04085674" w14:textId="77777777" w:rsidR="002A1696" w:rsidRDefault="002A1696">
      <w:pPr>
        <w:ind w:firstLineChars="0" w:firstLine="0"/>
        <w:rPr>
          <w:rFonts w:eastAsiaTheme="minorEastAsia"/>
        </w:rPr>
      </w:pPr>
    </w:p>
    <w:p w14:paraId="04085675" w14:textId="77777777" w:rsidR="002A1696" w:rsidRDefault="002A1696">
      <w:pPr>
        <w:ind w:firstLine="480"/>
        <w:rPr>
          <w:rFonts w:cs="Times New Roman"/>
          <w:sz w:val="24"/>
        </w:rPr>
        <w:sectPr w:rsidR="002A1696">
          <w:pgSz w:w="11906" w:h="16838"/>
          <w:pgMar w:top="1440" w:right="1800" w:bottom="1440" w:left="1800" w:header="0" w:footer="0" w:gutter="0"/>
          <w:cols w:space="720"/>
          <w:formProt w:val="0"/>
          <w:docGrid w:type="lines" w:linePitch="312"/>
        </w:sectPr>
      </w:pPr>
    </w:p>
    <w:p w14:paraId="04085676" w14:textId="752374CF" w:rsidR="002A1696" w:rsidRDefault="005472BF">
      <w:pPr>
        <w:pStyle w:val="TableName"/>
        <w:jc w:val="left"/>
        <w:rPr>
          <w:rFonts w:eastAsiaTheme="minorEastAsia"/>
        </w:rPr>
      </w:pPr>
      <w:bookmarkStart w:id="5" w:name="_RefCXSTable5"/>
      <w:r>
        <w:rPr>
          <w:b/>
          <w:bCs/>
        </w:rPr>
        <w:lastRenderedPageBreak/>
        <w:t>Table S</w:t>
      </w:r>
      <w:r>
        <w:rPr>
          <w:b/>
          <w:bCs/>
        </w:rPr>
        <w:fldChar w:fldCharType="begin"/>
      </w:r>
      <w:r>
        <w:rPr>
          <w:b/>
          <w:bCs/>
        </w:rPr>
        <w:instrText xml:space="preserve"> SEQ Table_S \* ARABIC </w:instrText>
      </w:r>
      <w:r>
        <w:rPr>
          <w:b/>
          <w:bCs/>
        </w:rPr>
        <w:fldChar w:fldCharType="separate"/>
      </w:r>
      <w:r>
        <w:rPr>
          <w:b/>
          <w:bCs/>
          <w:noProof/>
        </w:rPr>
        <w:t>5</w:t>
      </w:r>
      <w:r>
        <w:rPr>
          <w:b/>
          <w:bCs/>
        </w:rPr>
        <w:fldChar w:fldCharType="end"/>
      </w:r>
      <w:bookmarkEnd w:id="5"/>
      <w:r>
        <w:rPr>
          <w:rFonts w:hint="eastAsia"/>
          <w:b/>
          <w:bCs/>
        </w:rPr>
        <w:t>.</w:t>
      </w:r>
      <w:r>
        <w:rPr>
          <w:rFonts w:eastAsiaTheme="minorEastAsia"/>
        </w:rPr>
        <w:t xml:space="preserve"> </w:t>
      </w:r>
      <w:r>
        <w:rPr>
          <w:rFonts w:eastAsiaTheme="minorEastAsia"/>
          <w:b/>
          <w:bCs/>
        </w:rPr>
        <w:t>Non-</w:t>
      </w:r>
      <w:r>
        <w:rPr>
          <w:rFonts w:eastAsiaTheme="minorEastAsia" w:hint="eastAsia"/>
          <w:b/>
          <w:bCs/>
        </w:rPr>
        <w:t>a</w:t>
      </w:r>
      <w:r>
        <w:rPr>
          <w:rFonts w:eastAsiaTheme="minorEastAsia"/>
          <w:b/>
          <w:bCs/>
        </w:rPr>
        <w:t>gricultural land-use types and associated production outputs</w:t>
      </w:r>
    </w:p>
    <w:tbl>
      <w:tblPr>
        <w:tblStyle w:val="aff3"/>
        <w:tblW w:w="13185" w:type="dxa"/>
        <w:jc w:val="center"/>
        <w:tblLayout w:type="fixed"/>
        <w:tblLook w:val="04A0" w:firstRow="1" w:lastRow="0" w:firstColumn="1" w:lastColumn="0" w:noHBand="0" w:noVBand="1"/>
      </w:tblPr>
      <w:tblGrid>
        <w:gridCol w:w="3479"/>
        <w:gridCol w:w="140"/>
        <w:gridCol w:w="1310"/>
        <w:gridCol w:w="1449"/>
        <w:gridCol w:w="1449"/>
        <w:gridCol w:w="1449"/>
        <w:gridCol w:w="1450"/>
        <w:gridCol w:w="1111"/>
        <w:gridCol w:w="1112"/>
        <w:gridCol w:w="236"/>
      </w:tblGrid>
      <w:tr w:rsidR="002A1696" w14:paraId="0408567A" w14:textId="77777777">
        <w:trPr>
          <w:trHeight w:val="462"/>
          <w:jc w:val="center"/>
        </w:trPr>
        <w:tc>
          <w:tcPr>
            <w:tcW w:w="3544" w:type="dxa"/>
            <w:vMerge w:val="restart"/>
            <w:tcBorders>
              <w:top w:val="single" w:sz="12" w:space="0" w:color="000000"/>
              <w:left w:val="nil"/>
              <w:bottom w:val="nil"/>
              <w:right w:val="nil"/>
            </w:tcBorders>
            <w:vAlign w:val="center"/>
          </w:tcPr>
          <w:p w14:paraId="04085677" w14:textId="77777777" w:rsidR="002A1696" w:rsidRDefault="00C30874">
            <w:pPr>
              <w:pStyle w:val="Equation"/>
              <w:jc w:val="left"/>
              <w:rPr>
                <w:rFonts w:ascii="Arial" w:eastAsia="宋体" w:hAnsi="Arial" w:cs="Arial"/>
                <w:sz w:val="18"/>
                <w:szCs w:val="18"/>
              </w:rPr>
            </w:pPr>
            <w:r>
              <w:rPr>
                <w:rFonts w:ascii="Arial" w:hAnsi="Arial" w:cs="Arial"/>
                <w:sz w:val="18"/>
                <w:szCs w:val="18"/>
              </w:rPr>
              <w:t>Land-Use Type</w:t>
            </w:r>
          </w:p>
        </w:tc>
        <w:tc>
          <w:tcPr>
            <w:tcW w:w="7371" w:type="dxa"/>
            <w:gridSpan w:val="6"/>
            <w:tcBorders>
              <w:top w:val="single" w:sz="12" w:space="0" w:color="000000"/>
              <w:left w:val="nil"/>
              <w:bottom w:val="nil"/>
              <w:right w:val="nil"/>
            </w:tcBorders>
            <w:vAlign w:val="center"/>
          </w:tcPr>
          <w:p w14:paraId="04085678" w14:textId="3EFA7A65" w:rsidR="002A1696" w:rsidRDefault="00C30874">
            <w:pPr>
              <w:pStyle w:val="Equation"/>
              <w:pBdr>
                <w:bottom w:val="single" w:sz="4" w:space="4" w:color="000000"/>
              </w:pBdr>
              <w:jc w:val="center"/>
              <w:rPr>
                <w:rFonts w:ascii="Arial" w:eastAsiaTheme="minorEastAsia" w:hAnsi="Arial" w:cs="Arial"/>
                <w:sz w:val="18"/>
                <w:szCs w:val="18"/>
              </w:rPr>
            </w:pPr>
            <w:r>
              <w:rPr>
                <w:rFonts w:ascii="Arial" w:hAnsi="Arial" w:cs="Arial"/>
                <w:sz w:val="18"/>
                <w:szCs w:val="18"/>
              </w:rPr>
              <w:t>Non-agricultural land use</w:t>
            </w:r>
          </w:p>
        </w:tc>
        <w:tc>
          <w:tcPr>
            <w:tcW w:w="2270" w:type="dxa"/>
            <w:gridSpan w:val="3"/>
            <w:tcBorders>
              <w:top w:val="single" w:sz="12" w:space="0" w:color="000000"/>
              <w:left w:val="nil"/>
              <w:bottom w:val="nil"/>
              <w:right w:val="nil"/>
            </w:tcBorders>
            <w:vAlign w:val="center"/>
          </w:tcPr>
          <w:p w14:paraId="04085679" w14:textId="77777777" w:rsidR="002A1696" w:rsidRDefault="00C30874">
            <w:pPr>
              <w:pStyle w:val="Equation"/>
              <w:pBdr>
                <w:bottom w:val="single" w:sz="4" w:space="4" w:color="000000"/>
              </w:pBdr>
              <w:jc w:val="center"/>
              <w:rPr>
                <w:rFonts w:ascii="Arial" w:hAnsi="Arial" w:cs="Arial"/>
                <w:sz w:val="18"/>
                <w:szCs w:val="18"/>
              </w:rPr>
            </w:pPr>
            <w:r>
              <w:rPr>
                <w:rFonts w:ascii="Arial" w:hAnsi="Arial" w:cs="Arial"/>
                <w:sz w:val="18"/>
                <w:szCs w:val="18"/>
              </w:rPr>
              <w:t>Agricultural commodities</w:t>
            </w:r>
          </w:p>
        </w:tc>
      </w:tr>
      <w:tr w:rsidR="002A1696" w14:paraId="04085684" w14:textId="77777777">
        <w:trPr>
          <w:trHeight w:val="462"/>
          <w:jc w:val="center"/>
        </w:trPr>
        <w:tc>
          <w:tcPr>
            <w:tcW w:w="3544" w:type="dxa"/>
            <w:vMerge/>
            <w:tcBorders>
              <w:top w:val="nil"/>
              <w:left w:val="nil"/>
              <w:bottom w:val="nil"/>
              <w:right w:val="nil"/>
            </w:tcBorders>
            <w:vAlign w:val="center"/>
          </w:tcPr>
          <w:p w14:paraId="0408567B" w14:textId="77777777" w:rsidR="002A1696" w:rsidRDefault="002A1696">
            <w:pPr>
              <w:pStyle w:val="Equation"/>
              <w:jc w:val="left"/>
              <w:rPr>
                <w:rFonts w:ascii="Arial" w:eastAsia="宋体" w:hAnsi="Arial" w:cs="Arial"/>
                <w:sz w:val="18"/>
                <w:szCs w:val="18"/>
              </w:rPr>
            </w:pPr>
          </w:p>
        </w:tc>
        <w:tc>
          <w:tcPr>
            <w:tcW w:w="1474" w:type="dxa"/>
            <w:gridSpan w:val="2"/>
            <w:tcBorders>
              <w:top w:val="nil"/>
              <w:left w:val="nil"/>
              <w:right w:val="nil"/>
            </w:tcBorders>
            <w:vAlign w:val="center"/>
          </w:tcPr>
          <w:p w14:paraId="0408567C" w14:textId="77777777" w:rsidR="002A1696" w:rsidRDefault="00C30874">
            <w:pPr>
              <w:pStyle w:val="Equation"/>
              <w:jc w:val="center"/>
              <w:rPr>
                <w:rFonts w:ascii="Arial" w:eastAsia="宋体" w:hAnsi="Arial" w:cs="Arial"/>
                <w:sz w:val="18"/>
                <w:szCs w:val="18"/>
              </w:rPr>
            </w:pPr>
            <w:r>
              <w:rPr>
                <w:rFonts w:ascii="Arial" w:hAnsi="Arial" w:cs="Arial"/>
                <w:sz w:val="18"/>
                <w:szCs w:val="18"/>
              </w:rPr>
              <w:t>Environmental plantings block</w:t>
            </w:r>
          </w:p>
        </w:tc>
        <w:tc>
          <w:tcPr>
            <w:tcW w:w="1474" w:type="dxa"/>
            <w:tcBorders>
              <w:top w:val="nil"/>
              <w:left w:val="nil"/>
              <w:right w:val="nil"/>
            </w:tcBorders>
            <w:vAlign w:val="center"/>
          </w:tcPr>
          <w:p w14:paraId="0408567D" w14:textId="77777777" w:rsidR="002A1696" w:rsidRDefault="00C30874">
            <w:pPr>
              <w:pStyle w:val="Equation"/>
              <w:jc w:val="center"/>
              <w:rPr>
                <w:rFonts w:ascii="Arial" w:eastAsia="宋体" w:hAnsi="Arial" w:cs="Arial"/>
                <w:sz w:val="18"/>
                <w:szCs w:val="18"/>
              </w:rPr>
            </w:pPr>
            <w:r>
              <w:rPr>
                <w:rFonts w:ascii="Arial" w:hAnsi="Arial" w:cs="Arial"/>
                <w:sz w:val="18"/>
                <w:szCs w:val="18"/>
              </w:rPr>
              <w:t>Agroforestry</w:t>
            </w:r>
          </w:p>
        </w:tc>
        <w:tc>
          <w:tcPr>
            <w:tcW w:w="1474" w:type="dxa"/>
            <w:tcBorders>
              <w:top w:val="nil"/>
              <w:left w:val="nil"/>
              <w:right w:val="nil"/>
            </w:tcBorders>
            <w:vAlign w:val="center"/>
          </w:tcPr>
          <w:p w14:paraId="0408567E" w14:textId="77777777" w:rsidR="002A1696" w:rsidRDefault="00C30874">
            <w:pPr>
              <w:pStyle w:val="Equation"/>
              <w:jc w:val="center"/>
              <w:rPr>
                <w:rFonts w:ascii="Arial" w:eastAsia="宋体" w:hAnsi="Arial" w:cs="Arial"/>
                <w:sz w:val="18"/>
                <w:szCs w:val="18"/>
              </w:rPr>
            </w:pPr>
            <w:r>
              <w:rPr>
                <w:rFonts w:ascii="Arial" w:hAnsi="Arial" w:cs="Arial"/>
                <w:sz w:val="18"/>
                <w:szCs w:val="18"/>
              </w:rPr>
              <w:t>Riparian plantings</w:t>
            </w:r>
          </w:p>
        </w:tc>
        <w:tc>
          <w:tcPr>
            <w:tcW w:w="1474" w:type="dxa"/>
            <w:tcBorders>
              <w:top w:val="nil"/>
              <w:left w:val="nil"/>
              <w:right w:val="nil"/>
            </w:tcBorders>
            <w:vAlign w:val="center"/>
          </w:tcPr>
          <w:p w14:paraId="0408567F" w14:textId="77777777" w:rsidR="002A1696" w:rsidRDefault="00C30874">
            <w:pPr>
              <w:pStyle w:val="Equation"/>
              <w:jc w:val="center"/>
              <w:rPr>
                <w:rFonts w:ascii="Arial" w:eastAsia="宋体" w:hAnsi="Arial" w:cs="Arial"/>
                <w:sz w:val="18"/>
                <w:szCs w:val="18"/>
              </w:rPr>
            </w:pPr>
            <w:r>
              <w:rPr>
                <w:rFonts w:ascii="Arial" w:hAnsi="Arial" w:cs="Arial"/>
                <w:sz w:val="18"/>
                <w:szCs w:val="18"/>
              </w:rPr>
              <w:t>Carbon plantings block</w:t>
            </w:r>
          </w:p>
        </w:tc>
        <w:tc>
          <w:tcPr>
            <w:tcW w:w="1475" w:type="dxa"/>
            <w:tcBorders>
              <w:top w:val="nil"/>
              <w:left w:val="nil"/>
              <w:right w:val="nil"/>
            </w:tcBorders>
            <w:vAlign w:val="center"/>
          </w:tcPr>
          <w:p w14:paraId="04085680" w14:textId="77777777" w:rsidR="002A1696" w:rsidRDefault="00C30874">
            <w:pPr>
              <w:pStyle w:val="Equation"/>
              <w:jc w:val="center"/>
              <w:rPr>
                <w:rFonts w:ascii="Arial" w:eastAsia="宋体" w:hAnsi="Arial" w:cs="Arial"/>
                <w:sz w:val="18"/>
                <w:szCs w:val="18"/>
              </w:rPr>
            </w:pPr>
            <w:r>
              <w:rPr>
                <w:rFonts w:ascii="Arial" w:hAnsi="Arial" w:cs="Arial"/>
                <w:sz w:val="18"/>
                <w:szCs w:val="18"/>
              </w:rPr>
              <w:t>Carbon plantings belt</w:t>
            </w:r>
          </w:p>
        </w:tc>
        <w:tc>
          <w:tcPr>
            <w:tcW w:w="1129" w:type="dxa"/>
            <w:tcBorders>
              <w:top w:val="nil"/>
              <w:left w:val="nil"/>
              <w:right w:val="nil"/>
            </w:tcBorders>
            <w:vAlign w:val="center"/>
          </w:tcPr>
          <w:p w14:paraId="04085681" w14:textId="77777777" w:rsidR="002A1696" w:rsidRDefault="00C30874">
            <w:pPr>
              <w:pStyle w:val="Equation"/>
              <w:jc w:val="center"/>
              <w:rPr>
                <w:rFonts w:ascii="Arial" w:eastAsia="宋体" w:hAnsi="Arial" w:cs="Arial"/>
                <w:sz w:val="18"/>
                <w:szCs w:val="18"/>
              </w:rPr>
            </w:pPr>
            <w:r>
              <w:rPr>
                <w:rFonts w:ascii="Arial" w:hAnsi="Arial" w:cs="Arial"/>
                <w:sz w:val="18"/>
                <w:szCs w:val="18"/>
              </w:rPr>
              <w:t>Beef</w:t>
            </w:r>
          </w:p>
        </w:tc>
        <w:tc>
          <w:tcPr>
            <w:tcW w:w="1130" w:type="dxa"/>
            <w:tcBorders>
              <w:top w:val="nil"/>
              <w:left w:val="nil"/>
              <w:right w:val="nil"/>
            </w:tcBorders>
            <w:vAlign w:val="center"/>
          </w:tcPr>
          <w:p w14:paraId="04085682" w14:textId="77777777" w:rsidR="002A1696" w:rsidRDefault="00C30874">
            <w:pPr>
              <w:pStyle w:val="Equation"/>
              <w:jc w:val="center"/>
              <w:rPr>
                <w:rFonts w:ascii="Arial" w:eastAsia="宋体" w:hAnsi="Arial" w:cs="Arial"/>
                <w:sz w:val="18"/>
                <w:szCs w:val="18"/>
              </w:rPr>
            </w:pPr>
            <w:r>
              <w:rPr>
                <w:rFonts w:ascii="Arial" w:hAnsi="Arial" w:cs="Arial"/>
                <w:sz w:val="18"/>
                <w:szCs w:val="18"/>
              </w:rPr>
              <w:t>Sheep</w:t>
            </w:r>
          </w:p>
        </w:tc>
        <w:tc>
          <w:tcPr>
            <w:tcW w:w="11" w:type="dxa"/>
            <w:tcBorders>
              <w:top w:val="nil"/>
              <w:left w:val="nil"/>
              <w:bottom w:val="nil"/>
              <w:right w:val="nil"/>
            </w:tcBorders>
          </w:tcPr>
          <w:p w14:paraId="04085683" w14:textId="77777777" w:rsidR="002A1696" w:rsidRDefault="002A1696">
            <w:pPr>
              <w:spacing w:line="0" w:lineRule="atLeast"/>
              <w:ind w:firstLine="40"/>
              <w:rPr>
                <w:sz w:val="2"/>
              </w:rPr>
            </w:pPr>
          </w:p>
        </w:tc>
      </w:tr>
      <w:tr w:rsidR="002A1696" w14:paraId="0408568E" w14:textId="77777777">
        <w:trPr>
          <w:trHeight w:val="462"/>
          <w:jc w:val="center"/>
        </w:trPr>
        <w:tc>
          <w:tcPr>
            <w:tcW w:w="3686" w:type="dxa"/>
            <w:gridSpan w:val="2"/>
            <w:tcBorders>
              <w:top w:val="single" w:sz="6" w:space="0" w:color="000000"/>
              <w:left w:val="nil"/>
              <w:bottom w:val="nil"/>
              <w:right w:val="nil"/>
            </w:tcBorders>
            <w:vAlign w:val="center"/>
          </w:tcPr>
          <w:p w14:paraId="04085685" w14:textId="77777777" w:rsidR="002A1696" w:rsidRDefault="00C30874">
            <w:pPr>
              <w:pStyle w:val="Equation"/>
              <w:jc w:val="left"/>
              <w:rPr>
                <w:rFonts w:ascii="Arial" w:eastAsia="宋体" w:hAnsi="Arial" w:cs="Arial"/>
                <w:sz w:val="18"/>
                <w:szCs w:val="18"/>
              </w:rPr>
            </w:pPr>
            <w:r>
              <w:rPr>
                <w:rFonts w:ascii="Arial" w:hAnsi="Arial" w:cs="Arial"/>
                <w:sz w:val="18"/>
                <w:szCs w:val="18"/>
              </w:rPr>
              <w:t>Environmental plantings (mixed species)</w:t>
            </w:r>
          </w:p>
        </w:tc>
        <w:tc>
          <w:tcPr>
            <w:tcW w:w="1332" w:type="dxa"/>
            <w:tcBorders>
              <w:left w:val="nil"/>
              <w:bottom w:val="nil"/>
              <w:right w:val="nil"/>
            </w:tcBorders>
            <w:vAlign w:val="center"/>
          </w:tcPr>
          <w:p w14:paraId="04085686"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left w:val="nil"/>
              <w:bottom w:val="nil"/>
              <w:right w:val="nil"/>
            </w:tcBorders>
            <w:vAlign w:val="center"/>
          </w:tcPr>
          <w:p w14:paraId="04085687"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left w:val="nil"/>
              <w:bottom w:val="nil"/>
              <w:right w:val="nil"/>
            </w:tcBorders>
            <w:vAlign w:val="center"/>
          </w:tcPr>
          <w:p w14:paraId="04085688"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left w:val="nil"/>
              <w:bottom w:val="nil"/>
              <w:right w:val="nil"/>
            </w:tcBorders>
            <w:vAlign w:val="center"/>
          </w:tcPr>
          <w:p w14:paraId="04085689"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5" w:type="dxa"/>
            <w:tcBorders>
              <w:left w:val="nil"/>
              <w:bottom w:val="nil"/>
              <w:right w:val="nil"/>
            </w:tcBorders>
            <w:vAlign w:val="center"/>
          </w:tcPr>
          <w:p w14:paraId="0408568A"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29" w:type="dxa"/>
            <w:tcBorders>
              <w:left w:val="nil"/>
              <w:bottom w:val="nil"/>
              <w:right w:val="nil"/>
            </w:tcBorders>
            <w:vAlign w:val="center"/>
          </w:tcPr>
          <w:p w14:paraId="0408568B"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30" w:type="dxa"/>
            <w:tcBorders>
              <w:left w:val="nil"/>
              <w:bottom w:val="nil"/>
              <w:right w:val="nil"/>
            </w:tcBorders>
            <w:vAlign w:val="center"/>
          </w:tcPr>
          <w:p w14:paraId="0408568C"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 w:type="dxa"/>
            <w:tcBorders>
              <w:top w:val="nil"/>
              <w:left w:val="nil"/>
              <w:bottom w:val="nil"/>
              <w:right w:val="nil"/>
            </w:tcBorders>
          </w:tcPr>
          <w:p w14:paraId="0408568D" w14:textId="77777777" w:rsidR="002A1696" w:rsidRDefault="002A1696">
            <w:pPr>
              <w:spacing w:line="0" w:lineRule="atLeast"/>
              <w:ind w:firstLine="40"/>
              <w:rPr>
                <w:sz w:val="2"/>
              </w:rPr>
            </w:pPr>
          </w:p>
        </w:tc>
      </w:tr>
      <w:tr w:rsidR="002A1696" w14:paraId="04085698" w14:textId="77777777">
        <w:trPr>
          <w:trHeight w:val="231"/>
          <w:jc w:val="center"/>
        </w:trPr>
        <w:tc>
          <w:tcPr>
            <w:tcW w:w="3686" w:type="dxa"/>
            <w:gridSpan w:val="2"/>
            <w:tcBorders>
              <w:top w:val="nil"/>
              <w:left w:val="nil"/>
              <w:bottom w:val="nil"/>
              <w:right w:val="nil"/>
            </w:tcBorders>
            <w:vAlign w:val="center"/>
          </w:tcPr>
          <w:p w14:paraId="0408568F" w14:textId="77777777" w:rsidR="002A1696" w:rsidRDefault="00C30874">
            <w:pPr>
              <w:pStyle w:val="Equation"/>
              <w:jc w:val="left"/>
              <w:rPr>
                <w:rFonts w:ascii="Arial" w:eastAsia="宋体" w:hAnsi="Arial" w:cs="Arial"/>
                <w:sz w:val="18"/>
                <w:szCs w:val="18"/>
              </w:rPr>
            </w:pPr>
            <w:r>
              <w:rPr>
                <w:rFonts w:ascii="Arial" w:hAnsi="Arial" w:cs="Arial"/>
                <w:sz w:val="18"/>
                <w:szCs w:val="18"/>
              </w:rPr>
              <w:t>Riparian buffer restoration (mixed species)</w:t>
            </w:r>
          </w:p>
        </w:tc>
        <w:tc>
          <w:tcPr>
            <w:tcW w:w="1332" w:type="dxa"/>
            <w:tcBorders>
              <w:top w:val="nil"/>
              <w:left w:val="nil"/>
              <w:bottom w:val="nil"/>
              <w:right w:val="nil"/>
            </w:tcBorders>
            <w:vAlign w:val="center"/>
          </w:tcPr>
          <w:p w14:paraId="04085690"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top w:val="nil"/>
              <w:left w:val="nil"/>
              <w:bottom w:val="nil"/>
              <w:right w:val="nil"/>
            </w:tcBorders>
            <w:vAlign w:val="center"/>
          </w:tcPr>
          <w:p w14:paraId="04085691"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top w:val="nil"/>
              <w:left w:val="nil"/>
              <w:bottom w:val="nil"/>
              <w:right w:val="nil"/>
            </w:tcBorders>
            <w:vAlign w:val="center"/>
          </w:tcPr>
          <w:p w14:paraId="04085692"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top w:val="nil"/>
              <w:left w:val="nil"/>
              <w:bottom w:val="nil"/>
              <w:right w:val="nil"/>
            </w:tcBorders>
            <w:vAlign w:val="center"/>
          </w:tcPr>
          <w:p w14:paraId="04085693"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5" w:type="dxa"/>
            <w:tcBorders>
              <w:top w:val="nil"/>
              <w:left w:val="nil"/>
              <w:bottom w:val="nil"/>
              <w:right w:val="nil"/>
            </w:tcBorders>
            <w:vAlign w:val="center"/>
          </w:tcPr>
          <w:p w14:paraId="04085694"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29" w:type="dxa"/>
            <w:tcBorders>
              <w:top w:val="nil"/>
              <w:left w:val="nil"/>
              <w:bottom w:val="nil"/>
              <w:right w:val="nil"/>
            </w:tcBorders>
            <w:vAlign w:val="center"/>
          </w:tcPr>
          <w:p w14:paraId="04085695"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30" w:type="dxa"/>
            <w:tcBorders>
              <w:top w:val="nil"/>
              <w:left w:val="nil"/>
              <w:bottom w:val="nil"/>
              <w:right w:val="nil"/>
            </w:tcBorders>
            <w:vAlign w:val="center"/>
          </w:tcPr>
          <w:p w14:paraId="04085696"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 w:type="dxa"/>
            <w:tcBorders>
              <w:top w:val="nil"/>
              <w:left w:val="nil"/>
              <w:bottom w:val="nil"/>
              <w:right w:val="nil"/>
            </w:tcBorders>
          </w:tcPr>
          <w:p w14:paraId="04085697" w14:textId="77777777" w:rsidR="002A1696" w:rsidRDefault="002A1696">
            <w:pPr>
              <w:spacing w:line="0" w:lineRule="atLeast"/>
              <w:ind w:firstLine="40"/>
              <w:rPr>
                <w:sz w:val="2"/>
              </w:rPr>
            </w:pPr>
          </w:p>
        </w:tc>
      </w:tr>
      <w:tr w:rsidR="002A1696" w14:paraId="040856A2" w14:textId="77777777">
        <w:trPr>
          <w:trHeight w:val="219"/>
          <w:jc w:val="center"/>
        </w:trPr>
        <w:tc>
          <w:tcPr>
            <w:tcW w:w="3686" w:type="dxa"/>
            <w:gridSpan w:val="2"/>
            <w:tcBorders>
              <w:top w:val="nil"/>
              <w:left w:val="nil"/>
              <w:bottom w:val="nil"/>
              <w:right w:val="nil"/>
            </w:tcBorders>
            <w:vAlign w:val="center"/>
          </w:tcPr>
          <w:p w14:paraId="04085699" w14:textId="77777777" w:rsidR="002A1696" w:rsidRDefault="00C30874">
            <w:pPr>
              <w:pStyle w:val="Equation"/>
              <w:jc w:val="left"/>
              <w:rPr>
                <w:rFonts w:ascii="Arial" w:eastAsia="宋体" w:hAnsi="Arial" w:cs="Arial"/>
                <w:sz w:val="18"/>
                <w:szCs w:val="18"/>
              </w:rPr>
            </w:pPr>
            <w:r>
              <w:rPr>
                <w:rFonts w:ascii="Arial" w:hAnsi="Arial" w:cs="Arial"/>
                <w:sz w:val="18"/>
                <w:szCs w:val="18"/>
              </w:rPr>
              <w:t>Agroforestry (mixed species + sheep)</w:t>
            </w:r>
          </w:p>
        </w:tc>
        <w:tc>
          <w:tcPr>
            <w:tcW w:w="1332" w:type="dxa"/>
            <w:tcBorders>
              <w:top w:val="nil"/>
              <w:left w:val="nil"/>
              <w:bottom w:val="nil"/>
              <w:right w:val="nil"/>
            </w:tcBorders>
            <w:vAlign w:val="center"/>
          </w:tcPr>
          <w:p w14:paraId="0408569A"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top w:val="nil"/>
              <w:left w:val="nil"/>
              <w:bottom w:val="nil"/>
              <w:right w:val="nil"/>
            </w:tcBorders>
            <w:vAlign w:val="center"/>
          </w:tcPr>
          <w:p w14:paraId="0408569B"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top w:val="nil"/>
              <w:left w:val="nil"/>
              <w:bottom w:val="nil"/>
              <w:right w:val="nil"/>
            </w:tcBorders>
            <w:vAlign w:val="center"/>
          </w:tcPr>
          <w:p w14:paraId="0408569C"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top w:val="nil"/>
              <w:left w:val="nil"/>
              <w:bottom w:val="nil"/>
              <w:right w:val="nil"/>
            </w:tcBorders>
            <w:vAlign w:val="center"/>
          </w:tcPr>
          <w:p w14:paraId="0408569D"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5" w:type="dxa"/>
            <w:tcBorders>
              <w:top w:val="nil"/>
              <w:left w:val="nil"/>
              <w:bottom w:val="nil"/>
              <w:right w:val="nil"/>
            </w:tcBorders>
            <w:vAlign w:val="center"/>
          </w:tcPr>
          <w:p w14:paraId="0408569E"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29" w:type="dxa"/>
            <w:tcBorders>
              <w:top w:val="nil"/>
              <w:left w:val="nil"/>
              <w:bottom w:val="nil"/>
              <w:right w:val="nil"/>
            </w:tcBorders>
            <w:vAlign w:val="center"/>
          </w:tcPr>
          <w:p w14:paraId="0408569F"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30" w:type="dxa"/>
            <w:tcBorders>
              <w:top w:val="nil"/>
              <w:left w:val="nil"/>
              <w:bottom w:val="nil"/>
              <w:right w:val="nil"/>
            </w:tcBorders>
            <w:vAlign w:val="center"/>
          </w:tcPr>
          <w:p w14:paraId="040856A0"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 w:type="dxa"/>
            <w:tcBorders>
              <w:top w:val="nil"/>
              <w:left w:val="nil"/>
              <w:bottom w:val="nil"/>
              <w:right w:val="nil"/>
            </w:tcBorders>
          </w:tcPr>
          <w:p w14:paraId="040856A1" w14:textId="77777777" w:rsidR="002A1696" w:rsidRDefault="002A1696">
            <w:pPr>
              <w:spacing w:line="0" w:lineRule="atLeast"/>
              <w:ind w:firstLine="40"/>
              <w:rPr>
                <w:sz w:val="2"/>
              </w:rPr>
            </w:pPr>
          </w:p>
        </w:tc>
      </w:tr>
      <w:tr w:rsidR="002A1696" w14:paraId="040856AC" w14:textId="77777777">
        <w:trPr>
          <w:trHeight w:val="231"/>
          <w:jc w:val="center"/>
        </w:trPr>
        <w:tc>
          <w:tcPr>
            <w:tcW w:w="3686" w:type="dxa"/>
            <w:gridSpan w:val="2"/>
            <w:tcBorders>
              <w:top w:val="nil"/>
              <w:left w:val="nil"/>
              <w:bottom w:val="nil"/>
              <w:right w:val="nil"/>
            </w:tcBorders>
            <w:vAlign w:val="center"/>
          </w:tcPr>
          <w:p w14:paraId="040856A3" w14:textId="77777777" w:rsidR="002A1696" w:rsidRDefault="00C30874">
            <w:pPr>
              <w:pStyle w:val="Equation"/>
              <w:jc w:val="left"/>
              <w:rPr>
                <w:rFonts w:ascii="Arial" w:eastAsia="宋体" w:hAnsi="Arial" w:cs="Arial"/>
                <w:sz w:val="18"/>
                <w:szCs w:val="18"/>
              </w:rPr>
            </w:pPr>
            <w:r>
              <w:rPr>
                <w:rFonts w:ascii="Arial" w:hAnsi="Arial" w:cs="Arial"/>
                <w:sz w:val="18"/>
                <w:szCs w:val="18"/>
              </w:rPr>
              <w:t>Agroforestry (mixed species + beef)</w:t>
            </w:r>
          </w:p>
        </w:tc>
        <w:tc>
          <w:tcPr>
            <w:tcW w:w="1332" w:type="dxa"/>
            <w:tcBorders>
              <w:top w:val="nil"/>
              <w:left w:val="nil"/>
              <w:bottom w:val="nil"/>
              <w:right w:val="nil"/>
            </w:tcBorders>
            <w:vAlign w:val="center"/>
          </w:tcPr>
          <w:p w14:paraId="040856A4"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top w:val="nil"/>
              <w:left w:val="nil"/>
              <w:bottom w:val="nil"/>
              <w:right w:val="nil"/>
            </w:tcBorders>
            <w:vAlign w:val="center"/>
          </w:tcPr>
          <w:p w14:paraId="040856A5"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top w:val="nil"/>
              <w:left w:val="nil"/>
              <w:bottom w:val="nil"/>
              <w:right w:val="nil"/>
            </w:tcBorders>
            <w:vAlign w:val="center"/>
          </w:tcPr>
          <w:p w14:paraId="040856A6"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top w:val="nil"/>
              <w:left w:val="nil"/>
              <w:bottom w:val="nil"/>
              <w:right w:val="nil"/>
            </w:tcBorders>
            <w:vAlign w:val="center"/>
          </w:tcPr>
          <w:p w14:paraId="040856A7"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5" w:type="dxa"/>
            <w:tcBorders>
              <w:top w:val="nil"/>
              <w:left w:val="nil"/>
              <w:bottom w:val="nil"/>
              <w:right w:val="nil"/>
            </w:tcBorders>
            <w:vAlign w:val="center"/>
          </w:tcPr>
          <w:p w14:paraId="040856A8"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29" w:type="dxa"/>
            <w:tcBorders>
              <w:top w:val="nil"/>
              <w:left w:val="nil"/>
              <w:bottom w:val="nil"/>
              <w:right w:val="nil"/>
            </w:tcBorders>
            <w:vAlign w:val="center"/>
          </w:tcPr>
          <w:p w14:paraId="040856A9"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30" w:type="dxa"/>
            <w:tcBorders>
              <w:top w:val="nil"/>
              <w:left w:val="nil"/>
              <w:bottom w:val="nil"/>
              <w:right w:val="nil"/>
            </w:tcBorders>
            <w:vAlign w:val="center"/>
          </w:tcPr>
          <w:p w14:paraId="040856AA"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 w:type="dxa"/>
            <w:tcBorders>
              <w:top w:val="nil"/>
              <w:left w:val="nil"/>
              <w:bottom w:val="nil"/>
              <w:right w:val="nil"/>
            </w:tcBorders>
          </w:tcPr>
          <w:p w14:paraId="040856AB" w14:textId="77777777" w:rsidR="002A1696" w:rsidRDefault="002A1696">
            <w:pPr>
              <w:spacing w:line="0" w:lineRule="atLeast"/>
              <w:ind w:firstLine="40"/>
              <w:rPr>
                <w:sz w:val="2"/>
              </w:rPr>
            </w:pPr>
          </w:p>
        </w:tc>
      </w:tr>
      <w:tr w:rsidR="002A1696" w14:paraId="040856B6" w14:textId="77777777">
        <w:trPr>
          <w:trHeight w:val="231"/>
          <w:jc w:val="center"/>
        </w:trPr>
        <w:tc>
          <w:tcPr>
            <w:tcW w:w="3686" w:type="dxa"/>
            <w:gridSpan w:val="2"/>
            <w:tcBorders>
              <w:top w:val="nil"/>
              <w:left w:val="nil"/>
              <w:bottom w:val="nil"/>
              <w:right w:val="nil"/>
            </w:tcBorders>
            <w:vAlign w:val="center"/>
          </w:tcPr>
          <w:p w14:paraId="040856AD" w14:textId="77777777" w:rsidR="002A1696" w:rsidRDefault="00C30874">
            <w:pPr>
              <w:pStyle w:val="Equation"/>
              <w:jc w:val="left"/>
              <w:rPr>
                <w:rFonts w:ascii="Arial" w:eastAsia="宋体" w:hAnsi="Arial" w:cs="Arial"/>
                <w:sz w:val="18"/>
                <w:szCs w:val="18"/>
              </w:rPr>
            </w:pPr>
            <w:r>
              <w:rPr>
                <w:rFonts w:ascii="Arial" w:hAnsi="Arial" w:cs="Arial"/>
                <w:sz w:val="18"/>
                <w:szCs w:val="18"/>
              </w:rPr>
              <w:t>Carbon plantings (monoculture)</w:t>
            </w:r>
          </w:p>
        </w:tc>
        <w:tc>
          <w:tcPr>
            <w:tcW w:w="1332" w:type="dxa"/>
            <w:tcBorders>
              <w:top w:val="nil"/>
              <w:left w:val="nil"/>
              <w:bottom w:val="nil"/>
              <w:right w:val="nil"/>
            </w:tcBorders>
            <w:vAlign w:val="center"/>
          </w:tcPr>
          <w:p w14:paraId="040856AE"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top w:val="nil"/>
              <w:left w:val="nil"/>
              <w:bottom w:val="nil"/>
              <w:right w:val="nil"/>
            </w:tcBorders>
            <w:vAlign w:val="center"/>
          </w:tcPr>
          <w:p w14:paraId="040856AF"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top w:val="nil"/>
              <w:left w:val="nil"/>
              <w:bottom w:val="nil"/>
              <w:right w:val="nil"/>
            </w:tcBorders>
            <w:vAlign w:val="center"/>
          </w:tcPr>
          <w:p w14:paraId="040856B0"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top w:val="nil"/>
              <w:left w:val="nil"/>
              <w:bottom w:val="nil"/>
              <w:right w:val="nil"/>
            </w:tcBorders>
            <w:vAlign w:val="center"/>
          </w:tcPr>
          <w:p w14:paraId="040856B1"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5" w:type="dxa"/>
            <w:tcBorders>
              <w:top w:val="nil"/>
              <w:left w:val="nil"/>
              <w:bottom w:val="nil"/>
              <w:right w:val="nil"/>
            </w:tcBorders>
            <w:vAlign w:val="center"/>
          </w:tcPr>
          <w:p w14:paraId="040856B2"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29" w:type="dxa"/>
            <w:tcBorders>
              <w:top w:val="nil"/>
              <w:left w:val="nil"/>
              <w:bottom w:val="nil"/>
              <w:right w:val="nil"/>
            </w:tcBorders>
            <w:vAlign w:val="center"/>
          </w:tcPr>
          <w:p w14:paraId="040856B3"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30" w:type="dxa"/>
            <w:tcBorders>
              <w:top w:val="nil"/>
              <w:left w:val="nil"/>
              <w:bottom w:val="nil"/>
              <w:right w:val="nil"/>
            </w:tcBorders>
            <w:vAlign w:val="center"/>
          </w:tcPr>
          <w:p w14:paraId="040856B4"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 w:type="dxa"/>
            <w:tcBorders>
              <w:top w:val="nil"/>
              <w:left w:val="nil"/>
              <w:bottom w:val="nil"/>
              <w:right w:val="nil"/>
            </w:tcBorders>
          </w:tcPr>
          <w:p w14:paraId="040856B5" w14:textId="77777777" w:rsidR="002A1696" w:rsidRDefault="002A1696">
            <w:pPr>
              <w:spacing w:line="0" w:lineRule="atLeast"/>
              <w:ind w:firstLine="40"/>
              <w:rPr>
                <w:sz w:val="2"/>
              </w:rPr>
            </w:pPr>
          </w:p>
        </w:tc>
      </w:tr>
      <w:tr w:rsidR="002A1696" w14:paraId="040856C0" w14:textId="77777777">
        <w:trPr>
          <w:trHeight w:val="231"/>
          <w:jc w:val="center"/>
        </w:trPr>
        <w:tc>
          <w:tcPr>
            <w:tcW w:w="3686" w:type="dxa"/>
            <w:gridSpan w:val="2"/>
            <w:tcBorders>
              <w:top w:val="nil"/>
              <w:left w:val="nil"/>
              <w:bottom w:val="nil"/>
              <w:right w:val="nil"/>
            </w:tcBorders>
            <w:vAlign w:val="center"/>
          </w:tcPr>
          <w:p w14:paraId="040856B7" w14:textId="77777777" w:rsidR="002A1696" w:rsidRDefault="00C30874">
            <w:pPr>
              <w:pStyle w:val="Equation"/>
              <w:jc w:val="left"/>
              <w:rPr>
                <w:rFonts w:ascii="Arial" w:eastAsia="宋体" w:hAnsi="Arial" w:cs="Arial"/>
                <w:sz w:val="18"/>
                <w:szCs w:val="18"/>
              </w:rPr>
            </w:pPr>
            <w:r>
              <w:rPr>
                <w:rFonts w:ascii="Arial" w:hAnsi="Arial" w:cs="Arial"/>
                <w:sz w:val="18"/>
                <w:szCs w:val="18"/>
              </w:rPr>
              <w:t>Farm forestry (hardwood timber + sheep)</w:t>
            </w:r>
          </w:p>
        </w:tc>
        <w:tc>
          <w:tcPr>
            <w:tcW w:w="1332" w:type="dxa"/>
            <w:tcBorders>
              <w:top w:val="nil"/>
              <w:left w:val="nil"/>
              <w:bottom w:val="nil"/>
              <w:right w:val="nil"/>
            </w:tcBorders>
            <w:vAlign w:val="center"/>
          </w:tcPr>
          <w:p w14:paraId="040856B8"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top w:val="nil"/>
              <w:left w:val="nil"/>
              <w:bottom w:val="nil"/>
              <w:right w:val="nil"/>
            </w:tcBorders>
            <w:vAlign w:val="center"/>
          </w:tcPr>
          <w:p w14:paraId="040856B9"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top w:val="nil"/>
              <w:left w:val="nil"/>
              <w:bottom w:val="nil"/>
              <w:right w:val="nil"/>
            </w:tcBorders>
            <w:vAlign w:val="center"/>
          </w:tcPr>
          <w:p w14:paraId="040856BA"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top w:val="nil"/>
              <w:left w:val="nil"/>
              <w:bottom w:val="nil"/>
              <w:right w:val="nil"/>
            </w:tcBorders>
            <w:vAlign w:val="center"/>
          </w:tcPr>
          <w:p w14:paraId="040856BB"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5" w:type="dxa"/>
            <w:tcBorders>
              <w:top w:val="nil"/>
              <w:left w:val="nil"/>
              <w:bottom w:val="nil"/>
              <w:right w:val="nil"/>
            </w:tcBorders>
            <w:vAlign w:val="center"/>
          </w:tcPr>
          <w:p w14:paraId="040856BC"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29" w:type="dxa"/>
            <w:tcBorders>
              <w:top w:val="nil"/>
              <w:left w:val="nil"/>
              <w:bottom w:val="nil"/>
              <w:right w:val="nil"/>
            </w:tcBorders>
            <w:vAlign w:val="center"/>
          </w:tcPr>
          <w:p w14:paraId="040856BD"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30" w:type="dxa"/>
            <w:tcBorders>
              <w:top w:val="nil"/>
              <w:left w:val="nil"/>
              <w:bottom w:val="nil"/>
              <w:right w:val="nil"/>
            </w:tcBorders>
            <w:vAlign w:val="center"/>
          </w:tcPr>
          <w:p w14:paraId="040856BE"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 w:type="dxa"/>
            <w:tcBorders>
              <w:top w:val="nil"/>
              <w:left w:val="nil"/>
              <w:bottom w:val="nil"/>
              <w:right w:val="nil"/>
            </w:tcBorders>
          </w:tcPr>
          <w:p w14:paraId="040856BF" w14:textId="77777777" w:rsidR="002A1696" w:rsidRDefault="002A1696">
            <w:pPr>
              <w:spacing w:line="0" w:lineRule="atLeast"/>
              <w:ind w:firstLine="40"/>
              <w:rPr>
                <w:sz w:val="2"/>
              </w:rPr>
            </w:pPr>
          </w:p>
        </w:tc>
      </w:tr>
      <w:tr w:rsidR="002A1696" w14:paraId="040856CA" w14:textId="77777777">
        <w:trPr>
          <w:trHeight w:val="231"/>
          <w:jc w:val="center"/>
        </w:trPr>
        <w:tc>
          <w:tcPr>
            <w:tcW w:w="3686" w:type="dxa"/>
            <w:gridSpan w:val="2"/>
            <w:tcBorders>
              <w:top w:val="nil"/>
              <w:left w:val="nil"/>
              <w:bottom w:val="single" w:sz="12" w:space="0" w:color="000000"/>
              <w:right w:val="nil"/>
            </w:tcBorders>
            <w:vAlign w:val="center"/>
          </w:tcPr>
          <w:p w14:paraId="040856C1" w14:textId="77777777" w:rsidR="002A1696" w:rsidRDefault="00C30874">
            <w:pPr>
              <w:pStyle w:val="Equation"/>
              <w:jc w:val="left"/>
              <w:rPr>
                <w:rFonts w:ascii="Arial" w:eastAsia="宋体" w:hAnsi="Arial" w:cs="Arial"/>
                <w:sz w:val="18"/>
                <w:szCs w:val="18"/>
              </w:rPr>
            </w:pPr>
            <w:r>
              <w:rPr>
                <w:rFonts w:ascii="Arial" w:hAnsi="Arial" w:cs="Arial"/>
                <w:sz w:val="18"/>
                <w:szCs w:val="18"/>
              </w:rPr>
              <w:t>Farm forestry (hardwood timber + beef)</w:t>
            </w:r>
          </w:p>
        </w:tc>
        <w:tc>
          <w:tcPr>
            <w:tcW w:w="1332" w:type="dxa"/>
            <w:tcBorders>
              <w:top w:val="nil"/>
              <w:left w:val="nil"/>
              <w:bottom w:val="single" w:sz="12" w:space="0" w:color="000000"/>
              <w:right w:val="nil"/>
            </w:tcBorders>
            <w:vAlign w:val="center"/>
          </w:tcPr>
          <w:p w14:paraId="040856C2"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top w:val="nil"/>
              <w:left w:val="nil"/>
              <w:bottom w:val="single" w:sz="12" w:space="0" w:color="000000"/>
              <w:right w:val="nil"/>
            </w:tcBorders>
            <w:vAlign w:val="center"/>
          </w:tcPr>
          <w:p w14:paraId="040856C3"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top w:val="nil"/>
              <w:left w:val="nil"/>
              <w:bottom w:val="single" w:sz="12" w:space="0" w:color="000000"/>
              <w:right w:val="nil"/>
            </w:tcBorders>
            <w:vAlign w:val="center"/>
          </w:tcPr>
          <w:p w14:paraId="040856C4"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4" w:type="dxa"/>
            <w:tcBorders>
              <w:top w:val="nil"/>
              <w:left w:val="nil"/>
              <w:bottom w:val="single" w:sz="12" w:space="0" w:color="000000"/>
              <w:right w:val="nil"/>
            </w:tcBorders>
            <w:vAlign w:val="center"/>
          </w:tcPr>
          <w:p w14:paraId="040856C5"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475" w:type="dxa"/>
            <w:tcBorders>
              <w:top w:val="nil"/>
              <w:left w:val="nil"/>
              <w:bottom w:val="single" w:sz="12" w:space="0" w:color="000000"/>
              <w:right w:val="nil"/>
            </w:tcBorders>
            <w:vAlign w:val="center"/>
          </w:tcPr>
          <w:p w14:paraId="040856C6"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29" w:type="dxa"/>
            <w:tcBorders>
              <w:top w:val="nil"/>
              <w:left w:val="nil"/>
              <w:bottom w:val="single" w:sz="12" w:space="0" w:color="000000"/>
              <w:right w:val="nil"/>
            </w:tcBorders>
            <w:vAlign w:val="center"/>
          </w:tcPr>
          <w:p w14:paraId="040856C7"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30" w:type="dxa"/>
            <w:tcBorders>
              <w:top w:val="nil"/>
              <w:left w:val="nil"/>
              <w:bottom w:val="single" w:sz="12" w:space="0" w:color="000000"/>
              <w:right w:val="nil"/>
            </w:tcBorders>
            <w:vAlign w:val="center"/>
          </w:tcPr>
          <w:p w14:paraId="040856C8" w14:textId="77777777" w:rsidR="002A1696" w:rsidRDefault="00C30874">
            <w:pPr>
              <w:pStyle w:val="Equation"/>
              <w:jc w:val="center"/>
              <w:rPr>
                <w:rFonts w:ascii="Arial" w:eastAsia="宋体" w:hAnsi="Arial" w:cs="Arial"/>
                <w:sz w:val="18"/>
                <w:szCs w:val="18"/>
              </w:rPr>
            </w:pPr>
            <w:r>
              <w:rPr>
                <w:rFonts w:ascii="Arial" w:hAnsi="Arial" w:cs="Arial"/>
                <w:sz w:val="18"/>
                <w:szCs w:val="18"/>
              </w:rPr>
              <w:t>×</w:t>
            </w:r>
          </w:p>
        </w:tc>
        <w:tc>
          <w:tcPr>
            <w:tcW w:w="11" w:type="dxa"/>
            <w:tcBorders>
              <w:top w:val="nil"/>
              <w:left w:val="nil"/>
              <w:bottom w:val="nil"/>
              <w:right w:val="nil"/>
            </w:tcBorders>
          </w:tcPr>
          <w:p w14:paraId="040856C9" w14:textId="77777777" w:rsidR="002A1696" w:rsidRDefault="002A1696">
            <w:pPr>
              <w:spacing w:line="0" w:lineRule="atLeast"/>
              <w:ind w:firstLine="40"/>
              <w:rPr>
                <w:sz w:val="2"/>
              </w:rPr>
            </w:pPr>
          </w:p>
        </w:tc>
      </w:tr>
    </w:tbl>
    <w:p w14:paraId="040856CB" w14:textId="77777777" w:rsidR="002A1696" w:rsidRDefault="00C30874">
      <w:pPr>
        <w:pStyle w:val="TableName"/>
        <w:ind w:firstLine="420"/>
        <w:jc w:val="left"/>
      </w:pPr>
      <w:r>
        <w:br w:type="page"/>
      </w:r>
    </w:p>
    <w:p w14:paraId="040856CC" w14:textId="6DBB8218" w:rsidR="002A1696" w:rsidRDefault="00D27809">
      <w:pPr>
        <w:ind w:firstLineChars="0" w:firstLine="0"/>
        <w:jc w:val="left"/>
        <w:outlineLvl w:val="0"/>
        <w:rPr>
          <w:rFonts w:eastAsia="宋体" w:cs="Times New Roman"/>
          <w:sz w:val="20"/>
          <w:szCs w:val="20"/>
        </w:rPr>
      </w:pPr>
      <w:r>
        <w:rPr>
          <w:b/>
          <w:bCs/>
        </w:rPr>
        <w:lastRenderedPageBreak/>
        <w:t>Table S</w:t>
      </w:r>
      <w:r>
        <w:rPr>
          <w:b/>
          <w:bCs/>
        </w:rPr>
        <w:fldChar w:fldCharType="begin"/>
      </w:r>
      <w:r>
        <w:rPr>
          <w:b/>
          <w:bCs/>
        </w:rPr>
        <w:instrText xml:space="preserve"> SEQ Table_S \* ARABIC </w:instrText>
      </w:r>
      <w:r>
        <w:rPr>
          <w:b/>
          <w:bCs/>
        </w:rPr>
        <w:fldChar w:fldCharType="separate"/>
      </w:r>
      <w:r>
        <w:rPr>
          <w:b/>
          <w:bCs/>
          <w:noProof/>
        </w:rPr>
        <w:t>6</w:t>
      </w:r>
      <w:r>
        <w:rPr>
          <w:b/>
          <w:bCs/>
        </w:rPr>
        <w:fldChar w:fldCharType="end"/>
      </w:r>
      <w:r>
        <w:rPr>
          <w:rFonts w:hint="eastAsia"/>
          <w:b/>
          <w:bCs/>
        </w:rPr>
        <w:t xml:space="preserve">. </w:t>
      </w:r>
      <w:r>
        <w:rPr>
          <w:rFonts w:eastAsia="DengXian" w:cs="Times New Roman"/>
          <w:b/>
          <w:bCs/>
          <w:sz w:val="20"/>
          <w:szCs w:val="20"/>
        </w:rPr>
        <w:t xml:space="preserve">LUTO2 </w:t>
      </w:r>
      <w:r>
        <w:rPr>
          <w:rFonts w:eastAsia="宋体" w:cs="Times New Roman"/>
          <w:b/>
          <w:bCs/>
          <w:sz w:val="20"/>
          <w:szCs w:val="20"/>
        </w:rPr>
        <w:t>data description</w:t>
      </w:r>
    </w:p>
    <w:tbl>
      <w:tblPr>
        <w:tblW w:w="12616" w:type="dxa"/>
        <w:jc w:val="center"/>
        <w:tblLayout w:type="fixed"/>
        <w:tblCellMar>
          <w:left w:w="30" w:type="dxa"/>
          <w:right w:w="30" w:type="dxa"/>
        </w:tblCellMar>
        <w:tblLook w:val="0000" w:firstRow="0" w:lastRow="0" w:firstColumn="0" w:lastColumn="0" w:noHBand="0" w:noVBand="0"/>
      </w:tblPr>
      <w:tblGrid>
        <w:gridCol w:w="2550"/>
        <w:gridCol w:w="1134"/>
        <w:gridCol w:w="567"/>
        <w:gridCol w:w="992"/>
        <w:gridCol w:w="569"/>
        <w:gridCol w:w="142"/>
        <w:gridCol w:w="850"/>
        <w:gridCol w:w="426"/>
        <w:gridCol w:w="992"/>
        <w:gridCol w:w="567"/>
        <w:gridCol w:w="3827"/>
      </w:tblGrid>
      <w:tr w:rsidR="00FB6DA5" w14:paraId="6D27A4B3" w14:textId="77777777" w:rsidTr="00CB61A6">
        <w:trPr>
          <w:trHeight w:val="227"/>
          <w:jc w:val="center"/>
        </w:trPr>
        <w:tc>
          <w:tcPr>
            <w:tcW w:w="2550" w:type="dxa"/>
            <w:vMerge w:val="restart"/>
            <w:tcBorders>
              <w:top w:val="single" w:sz="12" w:space="0" w:color="auto"/>
            </w:tcBorders>
            <w:vAlign w:val="center"/>
          </w:tcPr>
          <w:p w14:paraId="60C65B57" w14:textId="570DA203" w:rsidR="00FB6DA5" w:rsidRDefault="00FB6DA5" w:rsidP="00975A7B">
            <w:pPr>
              <w:tabs>
                <w:tab w:val="left" w:pos="4200"/>
                <w:tab w:val="left" w:pos="8400"/>
              </w:tabs>
              <w:ind w:firstLineChars="0" w:firstLine="0"/>
              <w:jc w:val="left"/>
              <w:textAlignment w:val="center"/>
              <w:rPr>
                <w:rFonts w:ascii="Arial" w:hAnsi="Arial" w:cs="Arial"/>
                <w:sz w:val="16"/>
                <w:szCs w:val="16"/>
              </w:rPr>
            </w:pPr>
            <w:r>
              <w:rPr>
                <w:rFonts w:ascii="Arial" w:hAnsi="Arial" w:cs="Arial"/>
                <w:sz w:val="16"/>
                <w:szCs w:val="16"/>
              </w:rPr>
              <w:t>Data Description</w:t>
            </w:r>
          </w:p>
        </w:tc>
        <w:tc>
          <w:tcPr>
            <w:tcW w:w="1134" w:type="dxa"/>
            <w:vMerge w:val="restart"/>
            <w:tcBorders>
              <w:top w:val="single" w:sz="12" w:space="0" w:color="auto"/>
            </w:tcBorders>
            <w:vAlign w:val="center"/>
          </w:tcPr>
          <w:p w14:paraId="34AB0913" w14:textId="7B7BEDDD" w:rsidR="00FB6DA5" w:rsidRDefault="00FB6DA5" w:rsidP="00975A7B">
            <w:pPr>
              <w:tabs>
                <w:tab w:val="left" w:pos="4200"/>
                <w:tab w:val="left" w:pos="8400"/>
              </w:tabs>
              <w:ind w:firstLineChars="0" w:firstLine="0"/>
              <w:jc w:val="left"/>
              <w:textAlignment w:val="center"/>
              <w:rPr>
                <w:rFonts w:ascii="Arial" w:hAnsi="Arial" w:cs="Arial"/>
                <w:sz w:val="16"/>
                <w:szCs w:val="16"/>
              </w:rPr>
            </w:pPr>
            <w:r>
              <w:rPr>
                <w:rFonts w:ascii="Arial" w:hAnsi="Arial" w:cs="Arial"/>
                <w:sz w:val="16"/>
                <w:szCs w:val="16"/>
              </w:rPr>
              <w:t>Unit</w:t>
            </w:r>
          </w:p>
        </w:tc>
        <w:tc>
          <w:tcPr>
            <w:tcW w:w="2128" w:type="dxa"/>
            <w:gridSpan w:val="3"/>
            <w:tcBorders>
              <w:top w:val="single" w:sz="12" w:space="0" w:color="auto"/>
              <w:bottom w:val="single" w:sz="4" w:space="0" w:color="000000"/>
            </w:tcBorders>
            <w:vAlign w:val="center"/>
          </w:tcPr>
          <w:p w14:paraId="7AE9A50F" w14:textId="1F7DF39B" w:rsidR="00FB6DA5" w:rsidRDefault="003913D6">
            <w:pPr>
              <w:tabs>
                <w:tab w:val="left" w:pos="4200"/>
                <w:tab w:val="left" w:pos="8400"/>
              </w:tabs>
              <w:ind w:firstLineChars="0" w:firstLine="0"/>
              <w:jc w:val="center"/>
              <w:textAlignment w:val="center"/>
              <w:rPr>
                <w:rFonts w:ascii="Arial" w:hAnsi="Arial" w:cs="Arial"/>
                <w:sz w:val="16"/>
                <w:szCs w:val="16"/>
              </w:rPr>
            </w:pPr>
            <w:r>
              <w:rPr>
                <w:rFonts w:ascii="Arial" w:hAnsi="Arial" w:cs="Arial" w:hint="eastAsia"/>
                <w:sz w:val="16"/>
                <w:szCs w:val="16"/>
              </w:rPr>
              <w:t>D</w:t>
            </w:r>
            <w:r>
              <w:rPr>
                <w:rFonts w:ascii="Arial" w:hAnsi="Arial" w:cs="Arial"/>
                <w:sz w:val="16"/>
                <w:szCs w:val="16"/>
              </w:rPr>
              <w:t>imensionality</w:t>
            </w:r>
          </w:p>
        </w:tc>
        <w:tc>
          <w:tcPr>
            <w:tcW w:w="142" w:type="dxa"/>
            <w:tcBorders>
              <w:top w:val="single" w:sz="12" w:space="0" w:color="auto"/>
            </w:tcBorders>
          </w:tcPr>
          <w:p w14:paraId="4DC90E5D" w14:textId="77777777" w:rsidR="00FB6DA5" w:rsidRDefault="00FB6DA5">
            <w:pPr>
              <w:tabs>
                <w:tab w:val="left" w:pos="4200"/>
                <w:tab w:val="left" w:pos="8400"/>
              </w:tabs>
              <w:ind w:firstLineChars="0" w:firstLine="0"/>
              <w:jc w:val="center"/>
              <w:textAlignment w:val="center"/>
              <w:rPr>
                <w:rFonts w:ascii="Arial" w:hAnsi="Arial" w:cs="Arial"/>
                <w:sz w:val="16"/>
                <w:szCs w:val="16"/>
              </w:rPr>
            </w:pPr>
          </w:p>
        </w:tc>
        <w:tc>
          <w:tcPr>
            <w:tcW w:w="2835" w:type="dxa"/>
            <w:gridSpan w:val="4"/>
            <w:tcBorders>
              <w:top w:val="single" w:sz="12" w:space="0" w:color="auto"/>
              <w:bottom w:val="single" w:sz="4" w:space="0" w:color="000000"/>
            </w:tcBorders>
            <w:vAlign w:val="center"/>
          </w:tcPr>
          <w:p w14:paraId="5F28C57C" w14:textId="33D81849" w:rsidR="00FB6DA5" w:rsidRDefault="003913D6">
            <w:pPr>
              <w:tabs>
                <w:tab w:val="left" w:pos="4200"/>
                <w:tab w:val="left" w:pos="8400"/>
              </w:tabs>
              <w:ind w:firstLineChars="0" w:firstLine="0"/>
              <w:jc w:val="center"/>
              <w:textAlignment w:val="center"/>
              <w:rPr>
                <w:rFonts w:ascii="Arial" w:hAnsi="Arial" w:cs="Arial"/>
                <w:sz w:val="16"/>
                <w:szCs w:val="16"/>
              </w:rPr>
            </w:pPr>
            <w:r>
              <w:rPr>
                <w:rFonts w:ascii="Arial" w:hAnsi="Arial" w:cs="Arial" w:hint="eastAsia"/>
                <w:sz w:val="16"/>
                <w:szCs w:val="16"/>
              </w:rPr>
              <w:t>P</w:t>
            </w:r>
            <w:r>
              <w:rPr>
                <w:rFonts w:ascii="Arial" w:hAnsi="Arial" w:cs="Arial"/>
                <w:sz w:val="16"/>
                <w:szCs w:val="16"/>
              </w:rPr>
              <w:t>urpose</w:t>
            </w:r>
          </w:p>
        </w:tc>
        <w:tc>
          <w:tcPr>
            <w:tcW w:w="3827" w:type="dxa"/>
            <w:vMerge w:val="restart"/>
            <w:tcBorders>
              <w:top w:val="single" w:sz="12" w:space="0" w:color="auto"/>
            </w:tcBorders>
            <w:vAlign w:val="center"/>
          </w:tcPr>
          <w:p w14:paraId="3A2D0BBA" w14:textId="4590CFB8" w:rsidR="00FB6DA5" w:rsidRDefault="00FB6DA5">
            <w:pPr>
              <w:tabs>
                <w:tab w:val="left" w:pos="4200"/>
                <w:tab w:val="left" w:pos="8400"/>
              </w:tabs>
              <w:ind w:firstLineChars="0" w:firstLine="0"/>
              <w:jc w:val="center"/>
              <w:textAlignment w:val="center"/>
              <w:rPr>
                <w:rFonts w:ascii="Arial" w:eastAsia="DengXian" w:hAnsi="Arial" w:cs="Arial"/>
                <w:sz w:val="16"/>
                <w:szCs w:val="16"/>
              </w:rPr>
            </w:pPr>
            <w:r>
              <w:rPr>
                <w:rFonts w:ascii="Arial" w:eastAsia="DengXian" w:hAnsi="Arial" w:cs="Arial" w:hint="eastAsia"/>
                <w:sz w:val="16"/>
                <w:szCs w:val="16"/>
              </w:rPr>
              <w:t>Sources</w:t>
            </w:r>
          </w:p>
        </w:tc>
      </w:tr>
      <w:tr w:rsidR="00FB6DA5" w14:paraId="040856DD" w14:textId="77777777" w:rsidTr="00CB61A6">
        <w:trPr>
          <w:trHeight w:val="227"/>
          <w:jc w:val="center"/>
        </w:trPr>
        <w:tc>
          <w:tcPr>
            <w:tcW w:w="2550" w:type="dxa"/>
            <w:vMerge/>
            <w:tcBorders>
              <w:bottom w:val="single" w:sz="4" w:space="0" w:color="000000"/>
            </w:tcBorders>
            <w:vAlign w:val="center"/>
          </w:tcPr>
          <w:p w14:paraId="040856D3" w14:textId="2D51F9C1" w:rsidR="00FB6DA5" w:rsidRDefault="00FB6DA5">
            <w:pPr>
              <w:tabs>
                <w:tab w:val="left" w:pos="4200"/>
                <w:tab w:val="left" w:pos="8400"/>
              </w:tabs>
              <w:ind w:firstLineChars="0" w:firstLine="0"/>
              <w:jc w:val="center"/>
              <w:textAlignment w:val="center"/>
              <w:rPr>
                <w:rFonts w:ascii="Arial" w:eastAsia="DengXian" w:hAnsi="Arial" w:cs="Arial"/>
                <w:sz w:val="16"/>
                <w:szCs w:val="16"/>
              </w:rPr>
            </w:pPr>
          </w:p>
        </w:tc>
        <w:tc>
          <w:tcPr>
            <w:tcW w:w="1134" w:type="dxa"/>
            <w:vMerge/>
            <w:tcBorders>
              <w:bottom w:val="single" w:sz="4" w:space="0" w:color="000000"/>
            </w:tcBorders>
            <w:vAlign w:val="center"/>
          </w:tcPr>
          <w:p w14:paraId="040856D4" w14:textId="28A18C32" w:rsidR="00FB6DA5" w:rsidRDefault="00FB6DA5">
            <w:pPr>
              <w:tabs>
                <w:tab w:val="left" w:pos="4200"/>
                <w:tab w:val="left" w:pos="8400"/>
              </w:tabs>
              <w:ind w:firstLineChars="0" w:firstLine="0"/>
              <w:jc w:val="center"/>
              <w:textAlignment w:val="center"/>
              <w:rPr>
                <w:rFonts w:ascii="Arial" w:eastAsia="DengXian" w:hAnsi="Arial" w:cs="Arial"/>
                <w:sz w:val="16"/>
                <w:szCs w:val="16"/>
              </w:rPr>
            </w:pPr>
          </w:p>
        </w:tc>
        <w:tc>
          <w:tcPr>
            <w:tcW w:w="567" w:type="dxa"/>
            <w:tcBorders>
              <w:bottom w:val="single" w:sz="4" w:space="0" w:color="000000"/>
            </w:tcBorders>
            <w:vAlign w:val="center"/>
          </w:tcPr>
          <w:p w14:paraId="040856D5" w14:textId="77777777" w:rsidR="00FB6DA5" w:rsidRDefault="00FB6DA5">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Spatial</w:t>
            </w:r>
          </w:p>
        </w:tc>
        <w:tc>
          <w:tcPr>
            <w:tcW w:w="992" w:type="dxa"/>
            <w:tcBorders>
              <w:bottom w:val="single" w:sz="4" w:space="0" w:color="000000"/>
            </w:tcBorders>
            <w:vAlign w:val="center"/>
          </w:tcPr>
          <w:p w14:paraId="040856D6" w14:textId="77777777" w:rsidR="00FB6DA5" w:rsidRDefault="00FB6DA5">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Time-series</w:t>
            </w:r>
          </w:p>
        </w:tc>
        <w:tc>
          <w:tcPr>
            <w:tcW w:w="569" w:type="dxa"/>
            <w:tcBorders>
              <w:bottom w:val="single" w:sz="4" w:space="0" w:color="000000"/>
            </w:tcBorders>
            <w:vAlign w:val="center"/>
          </w:tcPr>
          <w:p w14:paraId="040856D7" w14:textId="77777777" w:rsidR="00FB6DA5" w:rsidRDefault="00FB6DA5">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Profit</w:t>
            </w:r>
          </w:p>
        </w:tc>
        <w:tc>
          <w:tcPr>
            <w:tcW w:w="142" w:type="dxa"/>
          </w:tcPr>
          <w:p w14:paraId="578A83ED" w14:textId="77777777" w:rsidR="00FB6DA5" w:rsidRDefault="00FB6DA5">
            <w:pPr>
              <w:tabs>
                <w:tab w:val="left" w:pos="4200"/>
                <w:tab w:val="left" w:pos="8400"/>
              </w:tabs>
              <w:ind w:firstLineChars="0" w:firstLine="0"/>
              <w:jc w:val="center"/>
              <w:textAlignment w:val="center"/>
              <w:rPr>
                <w:rFonts w:ascii="Arial" w:hAnsi="Arial" w:cs="Arial"/>
                <w:sz w:val="16"/>
                <w:szCs w:val="16"/>
              </w:rPr>
            </w:pPr>
          </w:p>
        </w:tc>
        <w:tc>
          <w:tcPr>
            <w:tcW w:w="850" w:type="dxa"/>
            <w:tcBorders>
              <w:bottom w:val="single" w:sz="4" w:space="0" w:color="000000"/>
            </w:tcBorders>
            <w:vAlign w:val="center"/>
          </w:tcPr>
          <w:p w14:paraId="040856D8" w14:textId="7125F08F" w:rsidR="00FB6DA5" w:rsidRDefault="00FB6DA5">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 xml:space="preserve">Agri-food </w:t>
            </w:r>
          </w:p>
        </w:tc>
        <w:tc>
          <w:tcPr>
            <w:tcW w:w="426" w:type="dxa"/>
            <w:tcBorders>
              <w:bottom w:val="single" w:sz="4" w:space="0" w:color="000000"/>
            </w:tcBorders>
            <w:vAlign w:val="center"/>
          </w:tcPr>
          <w:p w14:paraId="040856D9" w14:textId="77777777" w:rsidR="00FB6DA5" w:rsidRDefault="00FB6DA5">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GHG</w:t>
            </w:r>
          </w:p>
        </w:tc>
        <w:tc>
          <w:tcPr>
            <w:tcW w:w="992" w:type="dxa"/>
            <w:tcBorders>
              <w:bottom w:val="single" w:sz="4" w:space="0" w:color="000000"/>
            </w:tcBorders>
            <w:vAlign w:val="center"/>
          </w:tcPr>
          <w:p w14:paraId="040856DA" w14:textId="58976AE3" w:rsidR="00FB6DA5" w:rsidRDefault="00FB6DA5">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Biodiversity</w:t>
            </w:r>
          </w:p>
        </w:tc>
        <w:tc>
          <w:tcPr>
            <w:tcW w:w="567" w:type="dxa"/>
            <w:tcBorders>
              <w:bottom w:val="single" w:sz="4" w:space="0" w:color="000000"/>
            </w:tcBorders>
            <w:vAlign w:val="center"/>
          </w:tcPr>
          <w:p w14:paraId="040856DB" w14:textId="69112650" w:rsidR="00FB6DA5" w:rsidRDefault="00FB6DA5">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Water</w:t>
            </w:r>
          </w:p>
        </w:tc>
        <w:tc>
          <w:tcPr>
            <w:tcW w:w="3827" w:type="dxa"/>
            <w:vMerge/>
            <w:tcBorders>
              <w:bottom w:val="single" w:sz="4" w:space="0" w:color="000000"/>
            </w:tcBorders>
            <w:vAlign w:val="center"/>
          </w:tcPr>
          <w:p w14:paraId="040856DC" w14:textId="77777777" w:rsidR="00FB6DA5" w:rsidRDefault="00FB6DA5">
            <w:pPr>
              <w:tabs>
                <w:tab w:val="left" w:pos="4200"/>
                <w:tab w:val="left" w:pos="8400"/>
              </w:tabs>
              <w:ind w:firstLineChars="0" w:firstLine="0"/>
              <w:jc w:val="center"/>
              <w:textAlignment w:val="center"/>
              <w:rPr>
                <w:rFonts w:ascii="Arial" w:eastAsia="DengXian" w:hAnsi="Arial" w:cs="Arial"/>
                <w:sz w:val="16"/>
                <w:szCs w:val="16"/>
              </w:rPr>
            </w:pPr>
          </w:p>
        </w:tc>
      </w:tr>
      <w:tr w:rsidR="00FB6DA5" w14:paraId="040856E8" w14:textId="77777777" w:rsidTr="00FB6DA5">
        <w:trPr>
          <w:trHeight w:val="227"/>
          <w:jc w:val="center"/>
        </w:trPr>
        <w:tc>
          <w:tcPr>
            <w:tcW w:w="2550" w:type="dxa"/>
            <w:tcBorders>
              <w:top w:val="single" w:sz="4" w:space="0" w:color="000000"/>
            </w:tcBorders>
            <w:vAlign w:val="center"/>
          </w:tcPr>
          <w:p w14:paraId="040856DE"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Agricultural commodity prices</w:t>
            </w:r>
          </w:p>
        </w:tc>
        <w:tc>
          <w:tcPr>
            <w:tcW w:w="1134" w:type="dxa"/>
            <w:tcBorders>
              <w:top w:val="single" w:sz="4" w:space="0" w:color="000000"/>
            </w:tcBorders>
            <w:vAlign w:val="center"/>
          </w:tcPr>
          <w:p w14:paraId="040856DF"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AU$ t</w:t>
            </w:r>
            <w:r>
              <w:rPr>
                <w:rFonts w:ascii="Arial" w:hAnsi="Arial" w:cs="Arial"/>
                <w:sz w:val="16"/>
                <w:szCs w:val="16"/>
                <w:vertAlign w:val="superscript"/>
              </w:rPr>
              <w:t>-1</w:t>
            </w:r>
          </w:p>
        </w:tc>
        <w:tc>
          <w:tcPr>
            <w:tcW w:w="567" w:type="dxa"/>
            <w:tcBorders>
              <w:top w:val="single" w:sz="4" w:space="0" w:color="000000"/>
            </w:tcBorders>
            <w:vAlign w:val="center"/>
          </w:tcPr>
          <w:p w14:paraId="040856E0"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tcBorders>
              <w:top w:val="single" w:sz="4" w:space="0" w:color="000000"/>
            </w:tcBorders>
            <w:vAlign w:val="center"/>
          </w:tcPr>
          <w:p w14:paraId="040856E1"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9" w:type="dxa"/>
            <w:tcBorders>
              <w:top w:val="single" w:sz="4" w:space="0" w:color="000000"/>
            </w:tcBorders>
            <w:vAlign w:val="center"/>
          </w:tcPr>
          <w:p w14:paraId="040856E2"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142" w:type="dxa"/>
          </w:tcPr>
          <w:p w14:paraId="51E6FA97"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tcBorders>
              <w:top w:val="single" w:sz="4" w:space="0" w:color="000000"/>
            </w:tcBorders>
            <w:vAlign w:val="center"/>
          </w:tcPr>
          <w:p w14:paraId="040856E3" w14:textId="71868D48"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tcBorders>
              <w:top w:val="single" w:sz="4" w:space="0" w:color="000000"/>
            </w:tcBorders>
            <w:vAlign w:val="center"/>
          </w:tcPr>
          <w:p w14:paraId="040856E4"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tcBorders>
              <w:top w:val="single" w:sz="4" w:space="0" w:color="000000"/>
            </w:tcBorders>
            <w:vAlign w:val="center"/>
          </w:tcPr>
          <w:p w14:paraId="040856E5"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tcBorders>
              <w:top w:val="single" w:sz="4" w:space="0" w:color="000000"/>
            </w:tcBorders>
            <w:vAlign w:val="center"/>
          </w:tcPr>
          <w:p w14:paraId="040856E6"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3827" w:type="dxa"/>
            <w:tcBorders>
              <w:top w:val="single" w:sz="4" w:space="0" w:color="000000"/>
            </w:tcBorders>
            <w:vAlign w:val="center"/>
          </w:tcPr>
          <w:p w14:paraId="040856E7" w14:textId="5F907FED" w:rsidR="00FB6DA5" w:rsidRDefault="00FD48CD" w:rsidP="002D6438">
            <w:pPr>
              <w:tabs>
                <w:tab w:val="left" w:pos="4200"/>
                <w:tab w:val="left" w:pos="8400"/>
              </w:tabs>
              <w:ind w:firstLineChars="0" w:firstLine="0"/>
              <w:jc w:val="left"/>
              <w:textAlignment w:val="center"/>
              <w:rPr>
                <w:rFonts w:ascii="Arial" w:eastAsia="DengXian" w:hAnsi="Arial" w:cs="Arial"/>
                <w:color w:val="4472C4"/>
                <w:sz w:val="16"/>
                <w:szCs w:val="16"/>
                <w:highlight w:val="yellow"/>
              </w:rPr>
            </w:pPr>
            <w:r>
              <w:rPr>
                <w:rFonts w:ascii="Arial" w:hAnsi="Arial" w:cs="Arial"/>
                <w:color w:val="4472C4" w:themeColor="accent1"/>
                <w:sz w:val="16"/>
                <w:szCs w:val="16"/>
              </w:rPr>
              <w:fldChar w:fldCharType="begin"/>
            </w:r>
            <w:r>
              <w:rPr>
                <w:rFonts w:ascii="Arial" w:hAnsi="Arial" w:cs="Arial"/>
                <w:color w:val="4472C4" w:themeColor="accent1"/>
                <w:sz w:val="16"/>
                <w:szCs w:val="16"/>
              </w:rPr>
              <w:instrText xml:space="preserve"> ADDIN EN.CITE &lt;EndNote&gt;&lt;Cite AuthorYear="1"&gt;&lt;Author&gt;Navarro&lt;/Author&gt;&lt;Year&gt;2021&lt;/Year&gt;&lt;RecNum&gt;216&lt;/RecNum&gt;&lt;DisplayText&gt;Navarro and Marcos Martinez &lt;style face="superscript"&gt;1&lt;/style&gt;&lt;/DisplayText&gt;&lt;record&gt;&lt;rec-number&gt;216&lt;/rec-number&gt;&lt;foreign-keys&gt;&lt;key app="EN" db-id="st0zxxax1wfadte9s5gpaptza9tfvrzsvaxs" timestamp="1737512257" guid="ab7b90fd-7b66-4506-8db4-03847cae284a"&gt;216&lt;/key&gt;&lt;/foreign-keys&gt;&lt;ref-type name="Journal Article"&gt;17&lt;/ref-type&gt;&lt;contributors&gt;&lt;authors&gt;&lt;author&gt;Navarro, J&lt;/author&gt;&lt;author&gt;Marcos Martinez, R&lt;/author&gt;&lt;/authors&gt;&lt;/contributors&gt;&lt;titles&gt;&lt;title&gt;Estimating long-term profits, fertilizer and pesticide use baselines in Australian agricultural regions, User Guide&lt;/title&gt;&lt;secondary-title&gt;CSIRO&lt;/secondary-title&gt;&lt;/titles&gt;&lt;periodical&gt;&lt;full-title&gt;CSIRO&lt;/full-title&gt;&lt;/periodical&gt;&lt;dates&gt;&lt;year&gt;2021&lt;/year&gt;&lt;/dates&gt;&lt;urls&gt;&lt;/urls&gt;&lt;/record&gt;&lt;/Cite&gt;&lt;/EndNote&gt;</w:instrText>
            </w:r>
            <w:r>
              <w:rPr>
                <w:rFonts w:ascii="Arial" w:hAnsi="Arial" w:cs="Arial"/>
                <w:color w:val="4472C4" w:themeColor="accent1"/>
                <w:sz w:val="16"/>
                <w:szCs w:val="16"/>
              </w:rPr>
              <w:fldChar w:fldCharType="separate"/>
            </w:r>
            <w:r>
              <w:rPr>
                <w:rFonts w:ascii="Arial" w:hAnsi="Arial" w:cs="Arial"/>
                <w:noProof/>
                <w:color w:val="4472C4" w:themeColor="accent1"/>
                <w:sz w:val="16"/>
                <w:szCs w:val="16"/>
              </w:rPr>
              <w:t xml:space="preserve">Navarro and Marcos Martinez </w:t>
            </w:r>
            <w:r>
              <w:rPr>
                <w:rFonts w:ascii="Arial" w:hAnsi="Arial" w:cs="Arial"/>
                <w:noProof/>
                <w:color w:val="4472C4" w:themeColor="accent1"/>
                <w:sz w:val="16"/>
                <w:szCs w:val="16"/>
                <w:vertAlign w:val="superscript"/>
              </w:rPr>
              <w:t>1</w:t>
            </w:r>
            <w:r>
              <w:rPr>
                <w:rFonts w:ascii="Arial" w:hAnsi="Arial" w:cs="Arial"/>
                <w:color w:val="4472C4" w:themeColor="accent1"/>
                <w:sz w:val="16"/>
                <w:szCs w:val="16"/>
              </w:rPr>
              <w:fldChar w:fldCharType="end"/>
            </w:r>
          </w:p>
        </w:tc>
      </w:tr>
      <w:tr w:rsidR="00FB6DA5" w14:paraId="040856F3" w14:textId="77777777" w:rsidTr="00FB6DA5">
        <w:trPr>
          <w:trHeight w:val="227"/>
          <w:jc w:val="center"/>
        </w:trPr>
        <w:tc>
          <w:tcPr>
            <w:tcW w:w="2550" w:type="dxa"/>
            <w:vAlign w:val="center"/>
          </w:tcPr>
          <w:p w14:paraId="040856E9"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Agricultural productivity</w:t>
            </w:r>
          </w:p>
        </w:tc>
        <w:tc>
          <w:tcPr>
            <w:tcW w:w="1134" w:type="dxa"/>
            <w:vAlign w:val="center"/>
          </w:tcPr>
          <w:p w14:paraId="040856EA"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t ha</w:t>
            </w:r>
            <w:r>
              <w:rPr>
                <w:rFonts w:ascii="Arial" w:hAnsi="Arial" w:cs="Arial"/>
                <w:sz w:val="16"/>
                <w:szCs w:val="16"/>
                <w:vertAlign w:val="superscript"/>
              </w:rPr>
              <w:t>-1</w:t>
            </w:r>
          </w:p>
        </w:tc>
        <w:tc>
          <w:tcPr>
            <w:tcW w:w="567" w:type="dxa"/>
            <w:vAlign w:val="center"/>
          </w:tcPr>
          <w:p w14:paraId="040856EB"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6EC"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9" w:type="dxa"/>
            <w:vAlign w:val="center"/>
          </w:tcPr>
          <w:p w14:paraId="040856ED"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142" w:type="dxa"/>
          </w:tcPr>
          <w:p w14:paraId="2245A2A3"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vAlign w:val="center"/>
          </w:tcPr>
          <w:p w14:paraId="040856EE" w14:textId="7D4384AC"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vAlign w:val="center"/>
          </w:tcPr>
          <w:p w14:paraId="040856EF"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6F0"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vAlign w:val="center"/>
          </w:tcPr>
          <w:p w14:paraId="040856F1"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3827" w:type="dxa"/>
            <w:vAlign w:val="center"/>
          </w:tcPr>
          <w:p w14:paraId="040856F2" w14:textId="11C41FFF" w:rsidR="00FB6DA5" w:rsidRDefault="00FD48CD" w:rsidP="002D6438">
            <w:pPr>
              <w:tabs>
                <w:tab w:val="left" w:pos="4200"/>
                <w:tab w:val="left" w:pos="8400"/>
              </w:tabs>
              <w:ind w:firstLineChars="0" w:firstLine="0"/>
              <w:jc w:val="left"/>
              <w:textAlignment w:val="center"/>
              <w:rPr>
                <w:rFonts w:ascii="Arial" w:eastAsia="DengXian" w:hAnsi="Arial" w:cs="Arial"/>
                <w:color w:val="4472C4"/>
                <w:sz w:val="16"/>
                <w:szCs w:val="16"/>
                <w:highlight w:val="yellow"/>
              </w:rPr>
            </w:pPr>
            <w:r>
              <w:rPr>
                <w:rFonts w:ascii="Arial" w:hAnsi="Arial" w:cs="Arial"/>
                <w:color w:val="4472C4" w:themeColor="accent1"/>
                <w:sz w:val="16"/>
                <w:szCs w:val="16"/>
              </w:rPr>
              <w:fldChar w:fldCharType="begin"/>
            </w:r>
            <w:r>
              <w:rPr>
                <w:rFonts w:ascii="Arial" w:hAnsi="Arial" w:cs="Arial"/>
                <w:color w:val="4472C4" w:themeColor="accent1"/>
                <w:sz w:val="16"/>
                <w:szCs w:val="16"/>
              </w:rPr>
              <w:instrText xml:space="preserve"> ADDIN EN.CITE &lt;EndNote&gt;&lt;Cite AuthorYear="1"&gt;&lt;Author&gt;Navarro&lt;/Author&gt;&lt;Year&gt;2021&lt;/Year&gt;&lt;RecNum&gt;216&lt;/RecNum&gt;&lt;DisplayText&gt;Navarro and Marcos Martinez &lt;style face="superscript"&gt;1&lt;/style&gt;&lt;/DisplayText&gt;&lt;record&gt;&lt;rec-number&gt;216&lt;/rec-number&gt;&lt;foreign-keys&gt;&lt;key app="EN" db-id="st0zxxax1wfadte9s5gpaptza9tfvrzsvaxs" timestamp="1737512257" guid="ab7b90fd-7b66-4506-8db4-03847cae284a"&gt;216&lt;/key&gt;&lt;/foreign-keys&gt;&lt;ref-type name="Journal Article"&gt;17&lt;/ref-type&gt;&lt;contributors&gt;&lt;authors&gt;&lt;author&gt;Navarro, J&lt;/author&gt;&lt;author&gt;Marcos Martinez, R&lt;/author&gt;&lt;/authors&gt;&lt;/contributors&gt;&lt;titles&gt;&lt;title&gt;Estimating long-term profits, fertilizer and pesticide use baselines in Australian agricultural regions, User Guide&lt;/title&gt;&lt;secondary-title&gt;CSIRO&lt;/secondary-title&gt;&lt;/titles&gt;&lt;periodical&gt;&lt;full-title&gt;CSIRO&lt;/full-title&gt;&lt;/periodical&gt;&lt;dates&gt;&lt;year&gt;2021&lt;/year&gt;&lt;/dates&gt;&lt;urls&gt;&lt;/urls&gt;&lt;/record&gt;&lt;/Cite&gt;&lt;/EndNote&gt;</w:instrText>
            </w:r>
            <w:r>
              <w:rPr>
                <w:rFonts w:ascii="Arial" w:hAnsi="Arial" w:cs="Arial"/>
                <w:color w:val="4472C4" w:themeColor="accent1"/>
                <w:sz w:val="16"/>
                <w:szCs w:val="16"/>
              </w:rPr>
              <w:fldChar w:fldCharType="separate"/>
            </w:r>
            <w:r>
              <w:rPr>
                <w:rFonts w:ascii="Arial" w:hAnsi="Arial" w:cs="Arial"/>
                <w:noProof/>
                <w:color w:val="4472C4" w:themeColor="accent1"/>
                <w:sz w:val="16"/>
                <w:szCs w:val="16"/>
              </w:rPr>
              <w:t xml:space="preserve">Navarro and Marcos Martinez </w:t>
            </w:r>
            <w:r>
              <w:rPr>
                <w:rFonts w:ascii="Arial" w:hAnsi="Arial" w:cs="Arial"/>
                <w:noProof/>
                <w:color w:val="4472C4" w:themeColor="accent1"/>
                <w:sz w:val="16"/>
                <w:szCs w:val="16"/>
                <w:vertAlign w:val="superscript"/>
              </w:rPr>
              <w:t>1</w:t>
            </w:r>
            <w:r>
              <w:rPr>
                <w:rFonts w:ascii="Arial" w:hAnsi="Arial" w:cs="Arial"/>
                <w:color w:val="4472C4" w:themeColor="accent1"/>
                <w:sz w:val="16"/>
                <w:szCs w:val="16"/>
              </w:rPr>
              <w:fldChar w:fldCharType="end"/>
            </w:r>
          </w:p>
        </w:tc>
      </w:tr>
      <w:tr w:rsidR="00FB6DA5" w14:paraId="040856FE" w14:textId="77777777" w:rsidTr="00FB6DA5">
        <w:trPr>
          <w:trHeight w:val="227"/>
          <w:jc w:val="center"/>
        </w:trPr>
        <w:tc>
          <w:tcPr>
            <w:tcW w:w="2550" w:type="dxa"/>
            <w:vAlign w:val="center"/>
          </w:tcPr>
          <w:p w14:paraId="040856F4"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Impact of climate change on productivity</w:t>
            </w:r>
          </w:p>
        </w:tc>
        <w:tc>
          <w:tcPr>
            <w:tcW w:w="1134" w:type="dxa"/>
            <w:vAlign w:val="center"/>
          </w:tcPr>
          <w:p w14:paraId="040856F5"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Coefficient</w:t>
            </w:r>
          </w:p>
        </w:tc>
        <w:tc>
          <w:tcPr>
            <w:tcW w:w="567" w:type="dxa"/>
            <w:vAlign w:val="center"/>
          </w:tcPr>
          <w:p w14:paraId="040856F6"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6F7"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9" w:type="dxa"/>
            <w:vAlign w:val="center"/>
          </w:tcPr>
          <w:p w14:paraId="040856F8"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142" w:type="dxa"/>
          </w:tcPr>
          <w:p w14:paraId="07B07AF1"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vAlign w:val="center"/>
          </w:tcPr>
          <w:p w14:paraId="040856F9" w14:textId="77C2CFF2"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vAlign w:val="center"/>
          </w:tcPr>
          <w:p w14:paraId="040856FA"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6FB"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vAlign w:val="center"/>
          </w:tcPr>
          <w:p w14:paraId="040856FC"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3827" w:type="dxa"/>
            <w:vAlign w:val="center"/>
          </w:tcPr>
          <w:p w14:paraId="040856FD" w14:textId="68E37090" w:rsidR="00FB6DA5" w:rsidRDefault="00FD48CD" w:rsidP="002D6438">
            <w:pPr>
              <w:tabs>
                <w:tab w:val="left" w:pos="4200"/>
                <w:tab w:val="left" w:pos="8400"/>
              </w:tabs>
              <w:ind w:firstLineChars="0" w:firstLine="0"/>
              <w:jc w:val="left"/>
              <w:textAlignment w:val="center"/>
              <w:rPr>
                <w:rFonts w:ascii="Arial" w:eastAsia="DengXian" w:hAnsi="Arial" w:cs="Arial"/>
                <w:color w:val="4472C4"/>
                <w:sz w:val="16"/>
                <w:szCs w:val="16"/>
              </w:rPr>
            </w:pPr>
            <w:r>
              <w:rPr>
                <w:rFonts w:ascii="Arial" w:hAnsi="Arial" w:cs="Arial"/>
                <w:color w:val="4472C4" w:themeColor="accent1"/>
                <w:sz w:val="16"/>
                <w:szCs w:val="16"/>
              </w:rPr>
              <w:fldChar w:fldCharType="begin"/>
            </w:r>
            <w:r>
              <w:rPr>
                <w:rFonts w:ascii="Arial" w:hAnsi="Arial" w:cs="Arial"/>
                <w:color w:val="4472C4" w:themeColor="accent1"/>
                <w:sz w:val="16"/>
                <w:szCs w:val="16"/>
              </w:rPr>
              <w:instrText xml:space="preserve"> ADDIN EN.CITE &lt;EndNote&gt;&lt;Cite AuthorYear="1"&gt;&lt;Author&gt;FAO&lt;/Author&gt;&lt;Year&gt;2022&lt;/Year&gt;&lt;RecNum&gt;199&lt;/RecNum&gt;&lt;DisplayText&gt;FAO &lt;style face="superscript"&gt;12&lt;/style&gt;&lt;/DisplayText&gt;&lt;record&gt;&lt;rec-number&gt;199&lt;/rec-number&gt;&lt;foreign-keys&gt;&lt;key app="EN" db-id="st0zxxax1wfadte9s5gpaptza9tfvrzsvaxs" timestamp="1731027952" guid="40c458c1-c4ae-4906-92f5-39f92e6fca1f"&gt;199&lt;/key&gt;&lt;/foreign-keys&gt;&lt;ref-type name="Web Page"&gt;12&lt;/ref-type&gt;&lt;contributors&gt;&lt;authors&gt;&lt;author&gt;FAO&lt;/author&gt;&lt;/authors&gt;&lt;/contributors&gt;&lt;titles&gt;&lt;title&gt;Global Agro-Ecological Zones (GAEZ)&lt;/title&gt;&lt;/titles&gt;&lt;dates&gt;&lt;year&gt;2022&lt;/year&gt;&lt;/dates&gt;&lt;publisher&gt;Food and Agriculture Organization of the United Nations (FAO)&lt;/publisher&gt;&lt;urls&gt;&lt;related-urls&gt;&lt;url&gt;https://gaez.fao.org/&lt;/url&gt;&lt;/related-urls&gt;&lt;/urls&gt;&lt;/record&gt;&lt;/Cite&gt;&lt;/EndNote&gt;</w:instrText>
            </w:r>
            <w:r>
              <w:rPr>
                <w:rFonts w:ascii="Arial" w:hAnsi="Arial" w:cs="Arial"/>
                <w:color w:val="4472C4" w:themeColor="accent1"/>
                <w:sz w:val="16"/>
                <w:szCs w:val="16"/>
              </w:rPr>
              <w:fldChar w:fldCharType="separate"/>
            </w:r>
            <w:r>
              <w:rPr>
                <w:rFonts w:ascii="Arial" w:hAnsi="Arial" w:cs="Arial"/>
                <w:noProof/>
                <w:color w:val="4472C4" w:themeColor="accent1"/>
                <w:sz w:val="16"/>
                <w:szCs w:val="16"/>
              </w:rPr>
              <w:t xml:space="preserve">FAO </w:t>
            </w:r>
            <w:r>
              <w:rPr>
                <w:rFonts w:ascii="Arial" w:hAnsi="Arial" w:cs="Arial"/>
                <w:noProof/>
                <w:color w:val="4472C4" w:themeColor="accent1"/>
                <w:sz w:val="16"/>
                <w:szCs w:val="16"/>
                <w:vertAlign w:val="superscript"/>
              </w:rPr>
              <w:t>12</w:t>
            </w:r>
            <w:r>
              <w:rPr>
                <w:rFonts w:ascii="Arial" w:hAnsi="Arial" w:cs="Arial"/>
                <w:color w:val="4472C4" w:themeColor="accent1"/>
                <w:sz w:val="16"/>
                <w:szCs w:val="16"/>
              </w:rPr>
              <w:fldChar w:fldCharType="end"/>
            </w:r>
          </w:p>
        </w:tc>
      </w:tr>
      <w:tr w:rsidR="00FB6DA5" w14:paraId="04085709" w14:textId="77777777" w:rsidTr="00FB6DA5">
        <w:trPr>
          <w:trHeight w:val="227"/>
          <w:jc w:val="center"/>
        </w:trPr>
        <w:tc>
          <w:tcPr>
            <w:tcW w:w="2550" w:type="dxa"/>
            <w:vAlign w:val="center"/>
          </w:tcPr>
          <w:p w14:paraId="040856FF"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Agricultural cost</w:t>
            </w:r>
          </w:p>
        </w:tc>
        <w:tc>
          <w:tcPr>
            <w:tcW w:w="1134" w:type="dxa"/>
            <w:vAlign w:val="center"/>
          </w:tcPr>
          <w:p w14:paraId="04085700"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AU$ ha</w:t>
            </w:r>
            <w:r>
              <w:rPr>
                <w:rFonts w:ascii="Arial" w:hAnsi="Arial" w:cs="Arial"/>
                <w:sz w:val="16"/>
                <w:szCs w:val="16"/>
                <w:vertAlign w:val="superscript"/>
              </w:rPr>
              <w:t>-1</w:t>
            </w:r>
          </w:p>
        </w:tc>
        <w:tc>
          <w:tcPr>
            <w:tcW w:w="567" w:type="dxa"/>
            <w:vAlign w:val="center"/>
          </w:tcPr>
          <w:p w14:paraId="04085701"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702"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9" w:type="dxa"/>
            <w:vAlign w:val="center"/>
          </w:tcPr>
          <w:p w14:paraId="04085703"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142" w:type="dxa"/>
          </w:tcPr>
          <w:p w14:paraId="7C1D8801"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vAlign w:val="center"/>
          </w:tcPr>
          <w:p w14:paraId="04085704" w14:textId="179CF988"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vAlign w:val="center"/>
          </w:tcPr>
          <w:p w14:paraId="04085705"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706"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vAlign w:val="center"/>
          </w:tcPr>
          <w:p w14:paraId="04085707"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3827" w:type="dxa"/>
            <w:vAlign w:val="center"/>
          </w:tcPr>
          <w:p w14:paraId="04085708" w14:textId="60F2CE67" w:rsidR="00FB6DA5" w:rsidRDefault="00FD48CD" w:rsidP="002D6438">
            <w:pPr>
              <w:tabs>
                <w:tab w:val="left" w:pos="4200"/>
                <w:tab w:val="left" w:pos="8400"/>
              </w:tabs>
              <w:ind w:firstLineChars="0" w:firstLine="0"/>
              <w:jc w:val="left"/>
              <w:textAlignment w:val="center"/>
              <w:rPr>
                <w:rFonts w:ascii="Arial" w:eastAsia="DengXian" w:hAnsi="Arial" w:cs="Arial"/>
                <w:color w:val="4472C4"/>
                <w:sz w:val="16"/>
                <w:szCs w:val="16"/>
              </w:rPr>
            </w:pPr>
            <w:r>
              <w:rPr>
                <w:rFonts w:ascii="Arial" w:hAnsi="Arial" w:cs="Arial"/>
                <w:color w:val="4472C4" w:themeColor="accent1"/>
                <w:sz w:val="16"/>
                <w:szCs w:val="16"/>
              </w:rPr>
              <w:fldChar w:fldCharType="begin"/>
            </w:r>
            <w:r>
              <w:rPr>
                <w:rFonts w:ascii="Arial" w:hAnsi="Arial" w:cs="Arial"/>
                <w:color w:val="4472C4" w:themeColor="accent1"/>
                <w:sz w:val="16"/>
                <w:szCs w:val="16"/>
              </w:rPr>
              <w:instrText xml:space="preserve"> ADDIN EN.CITE &lt;EndNote&gt;&lt;Cite AuthorYear="1"&gt;&lt;Author&gt;Navarro&lt;/Author&gt;&lt;Year&gt;2021&lt;/Year&gt;&lt;RecNum&gt;216&lt;/RecNum&gt;&lt;DisplayText&gt;Navarro and Marcos Martinez &lt;style face="superscript"&gt;1&lt;/style&gt;&lt;/DisplayText&gt;&lt;record&gt;&lt;rec-number&gt;216&lt;/rec-number&gt;&lt;foreign-keys&gt;&lt;key app="EN" db-id="st0zxxax1wfadte9s5gpaptza9tfvrzsvaxs" timestamp="1737512257" guid="ab7b90fd-7b66-4506-8db4-03847cae284a"&gt;216&lt;/key&gt;&lt;/foreign-keys&gt;&lt;ref-type name="Journal Article"&gt;17&lt;/ref-type&gt;&lt;contributors&gt;&lt;authors&gt;&lt;author&gt;Navarro, J&lt;/author&gt;&lt;author&gt;Marcos Martinez, R&lt;/author&gt;&lt;/authors&gt;&lt;/contributors&gt;&lt;titles&gt;&lt;title&gt;Estimating long-term profits, fertilizer and pesticide use baselines in Australian agricultural regions, User Guide&lt;/title&gt;&lt;secondary-title&gt;CSIRO&lt;/secondary-title&gt;&lt;/titles&gt;&lt;periodical&gt;&lt;full-title&gt;CSIRO&lt;/full-title&gt;&lt;/periodical&gt;&lt;dates&gt;&lt;year&gt;2021&lt;/year&gt;&lt;/dates&gt;&lt;urls&gt;&lt;/urls&gt;&lt;/record&gt;&lt;/Cite&gt;&lt;/EndNote&gt;</w:instrText>
            </w:r>
            <w:r>
              <w:rPr>
                <w:rFonts w:ascii="Arial" w:hAnsi="Arial" w:cs="Arial"/>
                <w:color w:val="4472C4" w:themeColor="accent1"/>
                <w:sz w:val="16"/>
                <w:szCs w:val="16"/>
              </w:rPr>
              <w:fldChar w:fldCharType="separate"/>
            </w:r>
            <w:r>
              <w:rPr>
                <w:rFonts w:ascii="Arial" w:hAnsi="Arial" w:cs="Arial"/>
                <w:noProof/>
                <w:color w:val="4472C4" w:themeColor="accent1"/>
                <w:sz w:val="16"/>
                <w:szCs w:val="16"/>
              </w:rPr>
              <w:t xml:space="preserve">Navarro and Marcos Martinez </w:t>
            </w:r>
            <w:r>
              <w:rPr>
                <w:rFonts w:ascii="Arial" w:hAnsi="Arial" w:cs="Arial"/>
                <w:noProof/>
                <w:color w:val="4472C4" w:themeColor="accent1"/>
                <w:sz w:val="16"/>
                <w:szCs w:val="16"/>
                <w:vertAlign w:val="superscript"/>
              </w:rPr>
              <w:t>1</w:t>
            </w:r>
            <w:r>
              <w:rPr>
                <w:rFonts w:ascii="Arial" w:hAnsi="Arial" w:cs="Arial"/>
                <w:color w:val="4472C4" w:themeColor="accent1"/>
                <w:sz w:val="16"/>
                <w:szCs w:val="16"/>
              </w:rPr>
              <w:fldChar w:fldCharType="end"/>
            </w:r>
          </w:p>
        </w:tc>
      </w:tr>
      <w:tr w:rsidR="00FB6DA5" w14:paraId="04085714" w14:textId="77777777" w:rsidTr="00FB6DA5">
        <w:trPr>
          <w:trHeight w:val="227"/>
          <w:jc w:val="center"/>
        </w:trPr>
        <w:tc>
          <w:tcPr>
            <w:tcW w:w="2550" w:type="dxa"/>
            <w:vAlign w:val="center"/>
          </w:tcPr>
          <w:p w14:paraId="0408570A"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Non-agricultural cost</w:t>
            </w:r>
          </w:p>
        </w:tc>
        <w:tc>
          <w:tcPr>
            <w:tcW w:w="1134" w:type="dxa"/>
            <w:vAlign w:val="center"/>
          </w:tcPr>
          <w:p w14:paraId="0408570B"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AU$ ha</w:t>
            </w:r>
            <w:r>
              <w:rPr>
                <w:rFonts w:ascii="Arial" w:hAnsi="Arial" w:cs="Arial"/>
                <w:sz w:val="16"/>
                <w:szCs w:val="16"/>
                <w:vertAlign w:val="superscript"/>
              </w:rPr>
              <w:t>-1</w:t>
            </w:r>
          </w:p>
        </w:tc>
        <w:tc>
          <w:tcPr>
            <w:tcW w:w="567" w:type="dxa"/>
            <w:vAlign w:val="center"/>
          </w:tcPr>
          <w:p w14:paraId="0408570C"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70D"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9" w:type="dxa"/>
            <w:vAlign w:val="center"/>
          </w:tcPr>
          <w:p w14:paraId="0408570E"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142" w:type="dxa"/>
          </w:tcPr>
          <w:p w14:paraId="7CBD2FDE"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vAlign w:val="center"/>
          </w:tcPr>
          <w:p w14:paraId="0408570F" w14:textId="414E87D1"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vAlign w:val="center"/>
          </w:tcPr>
          <w:p w14:paraId="04085710"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711"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vAlign w:val="center"/>
          </w:tcPr>
          <w:p w14:paraId="04085712"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3827" w:type="dxa"/>
            <w:vAlign w:val="center"/>
          </w:tcPr>
          <w:p w14:paraId="04085713" w14:textId="70364766" w:rsidR="00FB6DA5" w:rsidRDefault="00FD48CD" w:rsidP="002D6438">
            <w:pPr>
              <w:tabs>
                <w:tab w:val="left" w:pos="4200"/>
                <w:tab w:val="left" w:pos="8400"/>
              </w:tabs>
              <w:ind w:firstLineChars="0" w:firstLine="0"/>
              <w:jc w:val="left"/>
              <w:textAlignment w:val="center"/>
              <w:rPr>
                <w:rFonts w:ascii="Arial" w:eastAsia="DengXian" w:hAnsi="Arial" w:cs="Arial"/>
                <w:color w:val="4472C4"/>
                <w:sz w:val="16"/>
                <w:szCs w:val="16"/>
              </w:rPr>
            </w:pPr>
            <w:r>
              <w:rPr>
                <w:rFonts w:ascii="Arial" w:hAnsi="Arial" w:cs="Arial"/>
                <w:color w:val="4472C4" w:themeColor="accent1"/>
                <w:sz w:val="16"/>
                <w:szCs w:val="16"/>
              </w:rPr>
              <w:fldChar w:fldCharType="begin"/>
            </w:r>
            <w:r w:rsidR="007C0C3E">
              <w:rPr>
                <w:rFonts w:ascii="Arial" w:hAnsi="Arial" w:cs="Arial"/>
                <w:color w:val="4472C4" w:themeColor="accent1"/>
                <w:sz w:val="16"/>
                <w:szCs w:val="16"/>
              </w:rPr>
              <w:instrText xml:space="preserve"> ADDIN EN.CITE &lt;EndNote&gt;&lt;Cite AuthorYear="1"&gt;&lt;Author&gt;Summers&lt;/Author&gt;&lt;Year&gt;2015&lt;/Year&gt;&lt;RecNum&gt;361&lt;/RecNum&gt;&lt;DisplayText&gt;Summers, et al. &lt;style face="superscript"&gt;30&lt;/style&gt;&lt;/DisplayText&gt;&lt;record&gt;&lt;rec-number&gt;361&lt;/rec-number&gt;&lt;foreign-keys&gt;&lt;key app="EN" db-id="st0zxxax1wfadte9s5gpaptza9tfvrzsvaxs" timestamp="1741941186" guid="0a0db2da-c0bc-4c2b-b62d-da45923274b2"&gt;361&lt;/key&gt;&lt;/foreign-keys&gt;&lt;ref-type name="Journal Article"&gt;17&lt;/ref-type&gt;&lt;contributors&gt;&lt;authors&gt;&lt;author&gt;Summers, David M.&lt;/author&gt;&lt;author&gt;Bryan, Brett A.&lt;/author&gt;&lt;author&gt;Nolan, Martin&lt;/author&gt;&lt;author&gt;Hobbs, Trevor J.&lt;/author&gt;&lt;/authors&gt;&lt;/contributors&gt;&lt;titles&gt;&lt;title&gt;The costs of reforestation: A spatial model of the costs of establishing environmental and carbon plantings&lt;/title&gt;&lt;secondary-title&gt;Land Use Policy&lt;/secondary-title&gt;&lt;/titles&gt;&lt;periodical&gt;&lt;full-title&gt;Land Use Policy&lt;/full-title&gt;&lt;/periodical&gt;&lt;pages&gt;110-121&lt;/pages&gt;&lt;volume&gt;44&lt;/volume&gt;&lt;keywords&gt;&lt;keyword&gt;Cost of establishment&lt;/keyword&gt;&lt;keyword&gt;Afforestation&lt;/keyword&gt;&lt;keyword&gt;Climate change&lt;/keyword&gt;&lt;keyword&gt;Policy&lt;/keyword&gt;&lt;keyword&gt;Economic model&lt;/keyword&gt;&lt;keyword&gt;Spatial&lt;/keyword&gt;&lt;/keywords&gt;&lt;dates&gt;&lt;year&gt;2015&lt;/year&gt;&lt;pub-dates&gt;&lt;date&gt;2015/03/01/&lt;/date&gt;&lt;/pub-dates&gt;&lt;/dates&gt;&lt;isbn&gt;0264-8377&lt;/isbn&gt;&lt;urls&gt;&lt;related-urls&gt;&lt;url&gt;https://www.sciencedirect.com/science/article/pii/S0264837714002737&lt;/url&gt;&lt;/related-urls&gt;&lt;/urls&gt;&lt;electronic-resource-num&gt;https://doi.org/10.1016/j.landusepol.2014.12.002&lt;/electronic-resource-num&gt;&lt;/record&gt;&lt;/Cite&gt;&lt;/EndNote&gt;</w:instrText>
            </w:r>
            <w:r>
              <w:rPr>
                <w:rFonts w:ascii="Arial" w:hAnsi="Arial" w:cs="Arial"/>
                <w:color w:val="4472C4" w:themeColor="accent1"/>
                <w:sz w:val="16"/>
                <w:szCs w:val="16"/>
              </w:rPr>
              <w:fldChar w:fldCharType="separate"/>
            </w:r>
            <w:r w:rsidR="007C0C3E">
              <w:rPr>
                <w:rFonts w:ascii="Arial" w:hAnsi="Arial" w:cs="Arial"/>
                <w:noProof/>
                <w:color w:val="4472C4" w:themeColor="accent1"/>
                <w:sz w:val="16"/>
                <w:szCs w:val="16"/>
              </w:rPr>
              <w:t xml:space="preserve">Summers, et al. </w:t>
            </w:r>
            <w:r w:rsidR="007C0C3E" w:rsidRPr="007C0C3E">
              <w:rPr>
                <w:rFonts w:ascii="Arial" w:hAnsi="Arial" w:cs="Arial"/>
                <w:noProof/>
                <w:color w:val="4472C4" w:themeColor="accent1"/>
                <w:sz w:val="16"/>
                <w:szCs w:val="16"/>
                <w:vertAlign w:val="superscript"/>
              </w:rPr>
              <w:t>30</w:t>
            </w:r>
            <w:r>
              <w:rPr>
                <w:rFonts w:ascii="Arial" w:hAnsi="Arial" w:cs="Arial"/>
                <w:color w:val="4472C4" w:themeColor="accent1"/>
                <w:sz w:val="16"/>
                <w:szCs w:val="16"/>
              </w:rPr>
              <w:fldChar w:fldCharType="end"/>
            </w:r>
          </w:p>
        </w:tc>
      </w:tr>
      <w:tr w:rsidR="00FB6DA5" w14:paraId="0408571F" w14:textId="77777777" w:rsidTr="00FB6DA5">
        <w:trPr>
          <w:trHeight w:val="227"/>
          <w:jc w:val="center"/>
        </w:trPr>
        <w:tc>
          <w:tcPr>
            <w:tcW w:w="2550" w:type="dxa"/>
            <w:vAlign w:val="center"/>
          </w:tcPr>
          <w:p w14:paraId="04085715"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Agricultural GHG emission</w:t>
            </w:r>
          </w:p>
        </w:tc>
        <w:tc>
          <w:tcPr>
            <w:tcW w:w="1134" w:type="dxa"/>
            <w:vAlign w:val="center"/>
          </w:tcPr>
          <w:p w14:paraId="04085716"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kg CO2e ha</w:t>
            </w:r>
            <w:r>
              <w:rPr>
                <w:rFonts w:ascii="Arial" w:hAnsi="Arial" w:cs="Arial"/>
                <w:sz w:val="16"/>
                <w:szCs w:val="16"/>
                <w:vertAlign w:val="superscript"/>
              </w:rPr>
              <w:t>-1</w:t>
            </w:r>
          </w:p>
        </w:tc>
        <w:tc>
          <w:tcPr>
            <w:tcW w:w="567" w:type="dxa"/>
            <w:vAlign w:val="center"/>
          </w:tcPr>
          <w:p w14:paraId="04085717"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718"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9" w:type="dxa"/>
            <w:vAlign w:val="center"/>
          </w:tcPr>
          <w:p w14:paraId="04085719"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142" w:type="dxa"/>
          </w:tcPr>
          <w:p w14:paraId="50898644"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vAlign w:val="center"/>
          </w:tcPr>
          <w:p w14:paraId="0408571A" w14:textId="3CC79AC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vAlign w:val="center"/>
          </w:tcPr>
          <w:p w14:paraId="0408571B"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71C"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vAlign w:val="center"/>
          </w:tcPr>
          <w:p w14:paraId="0408571D"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3827" w:type="dxa"/>
            <w:vAlign w:val="center"/>
          </w:tcPr>
          <w:p w14:paraId="0408571E" w14:textId="4F29810D" w:rsidR="00FB6DA5" w:rsidRDefault="00FD48CD" w:rsidP="002D6438">
            <w:pPr>
              <w:tabs>
                <w:tab w:val="left" w:pos="4200"/>
                <w:tab w:val="left" w:pos="8400"/>
              </w:tabs>
              <w:ind w:firstLineChars="0" w:firstLine="0"/>
              <w:jc w:val="left"/>
              <w:textAlignment w:val="center"/>
              <w:rPr>
                <w:rFonts w:ascii="Arial" w:eastAsia="DengXian" w:hAnsi="Arial" w:cs="Arial"/>
                <w:color w:val="4472C4"/>
                <w:sz w:val="16"/>
                <w:szCs w:val="16"/>
              </w:rPr>
            </w:pPr>
            <w:r>
              <w:rPr>
                <w:rFonts w:ascii="Arial" w:hAnsi="Arial" w:cs="Arial"/>
                <w:color w:val="4472C4" w:themeColor="accent1"/>
                <w:sz w:val="16"/>
                <w:szCs w:val="16"/>
              </w:rPr>
              <w:fldChar w:fldCharType="begin"/>
            </w:r>
            <w:r w:rsidR="00EE3C15">
              <w:rPr>
                <w:rFonts w:ascii="Arial" w:hAnsi="Arial" w:cs="Arial"/>
                <w:color w:val="4472C4" w:themeColor="accent1"/>
                <w:sz w:val="16"/>
                <w:szCs w:val="16"/>
              </w:rPr>
              <w:instrText xml:space="preserve"> ADDIN EN.CITE &lt;EndNote&gt;&lt;Cite AuthorYear="1"&gt;&lt;Author&gt;Bryan&lt;/Author&gt;&lt;Year&gt;2015&lt;/Year&gt;&lt;RecNum&gt;16&lt;/RecNum&gt;&lt;DisplayText&gt;Bryan, et al. &lt;style face="superscript"&gt;70&lt;/style&gt;&lt;/DisplayText&gt;&lt;record&gt;&lt;rec-number&gt;16&lt;/rec-number&gt;&lt;foreign-keys&gt;&lt;key app="EN" db-id="st0zxxax1wfadte9s5gpaptza9tfvrzsvaxs" timestamp="1716181750" guid="c214d337-284d-42fc-9d29-1641309d7ed6"&gt;16&lt;/key&gt;&lt;/foreign-keys&gt;&lt;ref-type name="Journal Article"&gt;17&lt;/ref-type&gt;&lt;contributors&gt;&lt;authors&gt;&lt;author&gt;Bryan, Brett A.&lt;/author&gt;&lt;author&gt;Crossman, Neville D.&lt;/author&gt;&lt;author&gt;Nolan, Martin&lt;/author&gt;&lt;author&gt;Li, Jing&lt;/author&gt;&lt;author&gt;Navarro, Javier&lt;/author&gt;&lt;author&gt;Connor, Jeffery D.&lt;/author&gt;&lt;/authors&gt;&lt;/contributors&gt;&lt;titles&gt;&lt;title&gt;Land use efficiency: anticipating future demand for land</w:instrText>
            </w:r>
            <w:r w:rsidR="00EE3C15">
              <w:rPr>
                <w:rFonts w:ascii="Cambria Math" w:hAnsi="Cambria Math" w:cs="Cambria Math"/>
                <w:color w:val="4472C4" w:themeColor="accent1"/>
                <w:sz w:val="16"/>
                <w:szCs w:val="16"/>
              </w:rPr>
              <w:instrText>‐</w:instrText>
            </w:r>
            <w:r w:rsidR="00EE3C15">
              <w:rPr>
                <w:rFonts w:ascii="Arial" w:hAnsi="Arial" w:cs="Arial"/>
                <w:color w:val="4472C4" w:themeColor="accent1"/>
                <w:sz w:val="16"/>
                <w:szCs w:val="16"/>
              </w:rPr>
              <w:instrText>sector greenhouse gas emissions abatement and managing trade</w:instrText>
            </w:r>
            <w:r w:rsidR="00EE3C15">
              <w:rPr>
                <w:rFonts w:ascii="Cambria Math" w:hAnsi="Cambria Math" w:cs="Cambria Math"/>
                <w:color w:val="4472C4" w:themeColor="accent1"/>
                <w:sz w:val="16"/>
                <w:szCs w:val="16"/>
              </w:rPr>
              <w:instrText>‐</w:instrText>
            </w:r>
            <w:r w:rsidR="00EE3C15">
              <w:rPr>
                <w:rFonts w:ascii="Arial" w:hAnsi="Arial" w:cs="Arial"/>
                <w:color w:val="4472C4" w:themeColor="accent1"/>
                <w:sz w:val="16"/>
                <w:szCs w:val="16"/>
              </w:rPr>
              <w:instrText>offs with agriculture, water, and biodiversity&lt;/title&gt;&lt;secondary-title&gt;Global Change Biology&lt;/secondary-title&gt;&lt;alt-title&gt;Glob. Change Biol.&lt;/alt-title&gt;&lt;short-title&gt;Land use efficiency&lt;/short-title&gt;&lt;/titles&gt;&lt;periodical&gt;&lt;full-title&gt;Global Change Biology&lt;/full-title&gt;&lt;abbr-1&gt;Glob. Change Biol.&lt;/abbr-1&gt;&lt;/periodical&gt;&lt;alt-periodical&gt;&lt;full-title&gt;Global Change Biology&lt;/full-title&gt;&lt;abbr-1&gt;Glob. Change Biol.&lt;/abbr-1&gt;&lt;/alt-periodical&gt;&lt;pages&gt;4098-4114&lt;/pages&gt;&lt;volume&gt;21&lt;/volume&gt;&lt;number&gt;11&lt;/number&gt;&lt;keywords&gt;&lt;keyword&gt;/reading&lt;/keyword&gt;&lt;/keywords&gt;&lt;dates&gt;&lt;year&gt;2015&lt;/year&gt;&lt;pub-dates&gt;&lt;date&gt;2015/11//&lt;/date&gt;&lt;/pub-dates&gt;&lt;/dates&gt;&lt;isbn&gt;1354-1013, 1365-2486&lt;/isbn&gt;&lt;accession-num&gt;66 ?&lt;/accession-num&gt;&lt;call-num&gt;1&lt;/call-num&gt;&lt;urls&gt;&lt;related-urls&gt;&lt;url&gt;https://onlinelibrary.wiley.com/doi/10.1111/gcb.13020&lt;/url&gt;&lt;/related-urls&gt;&lt;/urls&gt;&lt;electronic-resource-num&gt;10.1111/gcb.13020&lt;/electronic-resource-num&gt;&lt;remote-database-provider&gt;13.211 (q1)&lt;/remote-database-provider&gt;&lt;language&gt;en-US&lt;/language&gt;&lt;access-date&gt;2024/03/11/04:38:12&lt;/access-date&gt;&lt;/record&gt;&lt;/Cite&gt;&lt;/EndNote&gt;</w:instrText>
            </w:r>
            <w:r>
              <w:rPr>
                <w:rFonts w:ascii="Arial" w:hAnsi="Arial" w:cs="Arial"/>
                <w:color w:val="4472C4" w:themeColor="accent1"/>
                <w:sz w:val="16"/>
                <w:szCs w:val="16"/>
              </w:rPr>
              <w:fldChar w:fldCharType="separate"/>
            </w:r>
            <w:r w:rsidR="00EE3C15">
              <w:rPr>
                <w:rFonts w:ascii="Arial" w:hAnsi="Arial" w:cs="Arial"/>
                <w:noProof/>
                <w:color w:val="4472C4" w:themeColor="accent1"/>
                <w:sz w:val="16"/>
                <w:szCs w:val="16"/>
              </w:rPr>
              <w:t xml:space="preserve">Bryan, et al. </w:t>
            </w:r>
            <w:r w:rsidR="00EE3C15" w:rsidRPr="00EE3C15">
              <w:rPr>
                <w:rFonts w:ascii="Arial" w:hAnsi="Arial" w:cs="Arial"/>
                <w:noProof/>
                <w:color w:val="4472C4" w:themeColor="accent1"/>
                <w:sz w:val="16"/>
                <w:szCs w:val="16"/>
                <w:vertAlign w:val="superscript"/>
              </w:rPr>
              <w:t>70</w:t>
            </w:r>
            <w:r>
              <w:rPr>
                <w:rFonts w:ascii="Arial" w:hAnsi="Arial" w:cs="Arial"/>
                <w:color w:val="4472C4" w:themeColor="accent1"/>
                <w:sz w:val="16"/>
                <w:szCs w:val="16"/>
              </w:rPr>
              <w:fldChar w:fldCharType="end"/>
            </w:r>
          </w:p>
        </w:tc>
      </w:tr>
      <w:tr w:rsidR="00FB6DA5" w14:paraId="0408572A" w14:textId="77777777" w:rsidTr="00FB6DA5">
        <w:trPr>
          <w:trHeight w:val="227"/>
          <w:jc w:val="center"/>
        </w:trPr>
        <w:tc>
          <w:tcPr>
            <w:tcW w:w="2550" w:type="dxa"/>
            <w:vAlign w:val="center"/>
          </w:tcPr>
          <w:p w14:paraId="04085720"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Non-agricultural GHG sequestration</w:t>
            </w:r>
          </w:p>
        </w:tc>
        <w:tc>
          <w:tcPr>
            <w:tcW w:w="1134" w:type="dxa"/>
            <w:vAlign w:val="center"/>
          </w:tcPr>
          <w:p w14:paraId="04085721" w14:textId="77777777" w:rsidR="00FB6DA5" w:rsidRDefault="00FB6DA5" w:rsidP="002D6438">
            <w:pPr>
              <w:tabs>
                <w:tab w:val="left" w:pos="4200"/>
                <w:tab w:val="left" w:pos="8400"/>
              </w:tabs>
              <w:ind w:firstLineChars="0" w:firstLine="0"/>
              <w:jc w:val="left"/>
              <w:textAlignment w:val="center"/>
              <w:rPr>
                <w:rFonts w:ascii="Arial" w:hAnsi="Arial" w:cs="Arial"/>
                <w:sz w:val="16"/>
                <w:szCs w:val="16"/>
              </w:rPr>
            </w:pPr>
            <w:r>
              <w:rPr>
                <w:rFonts w:ascii="Arial" w:hAnsi="Arial" w:cs="Arial"/>
                <w:sz w:val="16"/>
                <w:szCs w:val="16"/>
              </w:rPr>
              <w:t>kg CO2e ha</w:t>
            </w:r>
            <w:r>
              <w:rPr>
                <w:rFonts w:ascii="Arial" w:hAnsi="Arial" w:cs="Arial"/>
                <w:sz w:val="16"/>
                <w:szCs w:val="16"/>
                <w:vertAlign w:val="superscript"/>
              </w:rPr>
              <w:t>-1</w:t>
            </w:r>
          </w:p>
        </w:tc>
        <w:tc>
          <w:tcPr>
            <w:tcW w:w="567" w:type="dxa"/>
            <w:vAlign w:val="center"/>
          </w:tcPr>
          <w:p w14:paraId="04085722"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992" w:type="dxa"/>
            <w:vAlign w:val="center"/>
          </w:tcPr>
          <w:p w14:paraId="04085723"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9" w:type="dxa"/>
            <w:vAlign w:val="center"/>
          </w:tcPr>
          <w:p w14:paraId="04085724"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142" w:type="dxa"/>
          </w:tcPr>
          <w:p w14:paraId="47184B88"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vAlign w:val="center"/>
          </w:tcPr>
          <w:p w14:paraId="04085725" w14:textId="371F4EA1"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vAlign w:val="center"/>
          </w:tcPr>
          <w:p w14:paraId="04085726"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992" w:type="dxa"/>
            <w:vAlign w:val="center"/>
          </w:tcPr>
          <w:p w14:paraId="04085727"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vAlign w:val="center"/>
          </w:tcPr>
          <w:p w14:paraId="04085728"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3827" w:type="dxa"/>
            <w:vAlign w:val="center"/>
          </w:tcPr>
          <w:p w14:paraId="04085729" w14:textId="344AD709" w:rsidR="00FB6DA5" w:rsidRDefault="00FD48CD" w:rsidP="002D6438">
            <w:pPr>
              <w:tabs>
                <w:tab w:val="left" w:pos="4200"/>
                <w:tab w:val="left" w:pos="8400"/>
              </w:tabs>
              <w:ind w:firstLineChars="0" w:firstLine="0"/>
              <w:jc w:val="left"/>
              <w:textAlignment w:val="center"/>
              <w:rPr>
                <w:rFonts w:ascii="Arial" w:eastAsia="DengXian" w:hAnsi="Arial" w:cs="Arial"/>
                <w:color w:val="4472C4"/>
                <w:sz w:val="16"/>
                <w:szCs w:val="16"/>
              </w:rPr>
            </w:pPr>
            <w:r>
              <w:rPr>
                <w:rFonts w:ascii="Arial" w:hAnsi="Arial" w:cs="Arial"/>
                <w:color w:val="4472C4" w:themeColor="accent1"/>
                <w:sz w:val="16"/>
                <w:szCs w:val="16"/>
              </w:rPr>
              <w:fldChar w:fldCharType="begin"/>
            </w:r>
            <w:r>
              <w:rPr>
                <w:rFonts w:ascii="Arial" w:hAnsi="Arial" w:cs="Arial"/>
                <w:color w:val="4472C4" w:themeColor="accent1"/>
                <w:sz w:val="16"/>
                <w:szCs w:val="16"/>
              </w:rPr>
              <w:instrText xml:space="preserve"> ADDIN EN.CITE &lt;EndNote&gt;&lt;Cite AuthorYear="1"&gt;&lt;Author&gt;DCCEEW&lt;/Author&gt;&lt;Year&gt;2024&lt;/Year&gt;&lt;RecNum&gt;210&lt;/RecNum&gt;&lt;DisplayText&gt;DCCEEW &lt;style face="superscript"&gt;2&lt;/style&gt;&lt;/DisplayText&gt;&lt;record&gt;&lt;rec-number&gt;210&lt;/rec-number&gt;&lt;foreign-keys&gt;&lt;key app="EN" db-id="st0zxxax1wfadte9s5gpaptza9tfvrzsvaxs" timestamp="1731573818" guid="c16bb1d5-f607-4205-b3c1-ca7b5e84c5c8"&gt;210&lt;/key&gt;&lt;/foreign-keys&gt;&lt;ref-type name="Web Page"&gt;12&lt;/ref-type&gt;&lt;contributors&gt;&lt;authors&gt;&lt;author&gt;DCCEEW&lt;/author&gt;&lt;/authors&gt;&lt;/contributors&gt;&lt;titles&gt;&lt;title&gt;Full Carbon Accounting Model (FullCAM)&lt;/title&gt;&lt;/titles&gt;&lt;dates&gt;&lt;year&gt;2024&lt;/year&gt;&lt;/dates&gt;&lt;publisher&gt;Department of Climate Change, Energy, the Environment and Water&lt;/publisher&gt;&lt;urls&gt;&lt;related-urls&gt;&lt;url&gt;https://www.dcceew.gov.au/climate-change/publications/full-carbon-accounting-model-fullcam&lt;/url&gt;&lt;/related-urls&gt;&lt;/urls&gt;&lt;/record&gt;&lt;/Cite&gt;&lt;/EndNote&gt;</w:instrText>
            </w:r>
            <w:r>
              <w:rPr>
                <w:rFonts w:ascii="Arial" w:hAnsi="Arial" w:cs="Arial"/>
                <w:color w:val="4472C4" w:themeColor="accent1"/>
                <w:sz w:val="16"/>
                <w:szCs w:val="16"/>
              </w:rPr>
              <w:fldChar w:fldCharType="separate"/>
            </w:r>
            <w:r>
              <w:rPr>
                <w:rFonts w:ascii="Arial" w:hAnsi="Arial" w:cs="Arial"/>
                <w:noProof/>
                <w:color w:val="4472C4" w:themeColor="accent1"/>
                <w:sz w:val="16"/>
                <w:szCs w:val="16"/>
              </w:rPr>
              <w:t xml:space="preserve">DCCEEW </w:t>
            </w:r>
            <w:r>
              <w:rPr>
                <w:rFonts w:ascii="Arial" w:hAnsi="Arial" w:cs="Arial"/>
                <w:noProof/>
                <w:color w:val="4472C4" w:themeColor="accent1"/>
                <w:sz w:val="16"/>
                <w:szCs w:val="16"/>
                <w:vertAlign w:val="superscript"/>
              </w:rPr>
              <w:t>2</w:t>
            </w:r>
            <w:r>
              <w:rPr>
                <w:rFonts w:ascii="Arial" w:hAnsi="Arial" w:cs="Arial"/>
                <w:color w:val="4472C4" w:themeColor="accent1"/>
                <w:sz w:val="16"/>
                <w:szCs w:val="16"/>
              </w:rPr>
              <w:fldChar w:fldCharType="end"/>
            </w:r>
          </w:p>
        </w:tc>
      </w:tr>
      <w:tr w:rsidR="00FB6DA5" w14:paraId="04085735" w14:textId="77777777" w:rsidTr="00FB6DA5">
        <w:trPr>
          <w:trHeight w:val="227"/>
          <w:jc w:val="center"/>
        </w:trPr>
        <w:tc>
          <w:tcPr>
            <w:tcW w:w="2550" w:type="dxa"/>
            <w:vAlign w:val="center"/>
          </w:tcPr>
          <w:p w14:paraId="0408572B"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Biodiversity benefits</w:t>
            </w:r>
          </w:p>
        </w:tc>
        <w:tc>
          <w:tcPr>
            <w:tcW w:w="1134" w:type="dxa"/>
            <w:vAlign w:val="center"/>
          </w:tcPr>
          <w:p w14:paraId="0408572C"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0-1</w:t>
            </w:r>
          </w:p>
        </w:tc>
        <w:tc>
          <w:tcPr>
            <w:tcW w:w="567" w:type="dxa"/>
            <w:vAlign w:val="center"/>
          </w:tcPr>
          <w:p w14:paraId="0408572D"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72E"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9" w:type="dxa"/>
            <w:vAlign w:val="center"/>
          </w:tcPr>
          <w:p w14:paraId="0408572F"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142" w:type="dxa"/>
          </w:tcPr>
          <w:p w14:paraId="5FC9D7A9"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vAlign w:val="center"/>
          </w:tcPr>
          <w:p w14:paraId="04085730" w14:textId="0A906044"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vAlign w:val="center"/>
          </w:tcPr>
          <w:p w14:paraId="04085731"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732"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vAlign w:val="center"/>
          </w:tcPr>
          <w:p w14:paraId="04085733"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3827" w:type="dxa"/>
            <w:vAlign w:val="center"/>
          </w:tcPr>
          <w:p w14:paraId="04085734" w14:textId="56F15A6F" w:rsidR="00FB6DA5" w:rsidRDefault="00FD48CD" w:rsidP="002D6438">
            <w:pPr>
              <w:tabs>
                <w:tab w:val="left" w:pos="4200"/>
                <w:tab w:val="left" w:pos="8400"/>
              </w:tabs>
              <w:ind w:firstLineChars="0" w:firstLine="0"/>
              <w:jc w:val="left"/>
              <w:textAlignment w:val="center"/>
              <w:rPr>
                <w:rFonts w:ascii="Arial" w:eastAsia="DengXian" w:hAnsi="Arial" w:cs="Arial"/>
                <w:color w:val="4472C4"/>
                <w:sz w:val="16"/>
                <w:szCs w:val="16"/>
              </w:rPr>
            </w:pPr>
            <w:r>
              <w:rPr>
                <w:rFonts w:ascii="Arial" w:hAnsi="Arial" w:cs="Arial"/>
                <w:color w:val="4472C4" w:themeColor="accent1"/>
                <w:sz w:val="16"/>
                <w:szCs w:val="16"/>
              </w:rPr>
              <w:fldChar w:fldCharType="begin"/>
            </w:r>
            <w:r w:rsidR="007C0C3E">
              <w:rPr>
                <w:rFonts w:ascii="Arial" w:hAnsi="Arial" w:cs="Arial"/>
                <w:color w:val="4472C4" w:themeColor="accent1"/>
                <w:sz w:val="16"/>
                <w:szCs w:val="16"/>
              </w:rPr>
              <w:instrText xml:space="preserve"> ADDIN EN.CITE &lt;EndNote&gt;&lt;Cite AuthorYear="1"&gt;&lt;Author&gt;Archibald&lt;/Author&gt;&lt;Year&gt;2024&lt;/Year&gt;&lt;RecNum&gt;98&lt;/RecNum&gt;&lt;DisplayText&gt;Archibald, et al. &lt;style face="superscript"&gt;50&lt;/style&gt;&lt;/DisplayText&gt;&lt;record&gt;&lt;rec-number&gt;98&lt;/rec-number&gt;&lt;foreign-keys&gt;&lt;key app="EN" db-id="st0zxxax1wfadte9s5gpaptza9tfvrzsvaxs" timestamp="1719466140" guid="1901cfc3-d85e-47c6-b3e0-b58622302ad2"&gt;98&lt;/key&gt;&lt;/foreign-keys&gt;&lt;ref-type name="Journal Article"&gt;17&lt;/ref-type&gt;&lt;contributors&gt;&lt;authors&gt;&lt;author&gt;Archibald, Carla L&lt;/author&gt;&lt;author&gt;Summers, David M&lt;/author&gt;&lt;author&gt;Graham, Erin M&lt;/author&gt;&lt;author&gt;Bryan, Brett A&lt;/author&gt;&lt;/authors&gt;&lt;/contributors&gt;&lt;titles&gt;&lt;title&gt;Habitat suitability maps for Australian flora and fauna under CMIP6 climate scenarios&lt;/title&gt;&lt;secondary-title&gt;GigaScience&lt;/secondary-title&gt;&lt;/titles&gt;&lt;periodical&gt;&lt;full-title&gt;GigaScience&lt;/full-title&gt;&lt;/periodical&gt;&lt;pages&gt;giae002&lt;/pages&gt;&lt;volume&gt;13&lt;/volume&gt;&lt;dates&gt;&lt;year&gt;2024&lt;/year&gt;&lt;/dates&gt;&lt;isbn&gt;2047-217X&lt;/isbn&gt;&lt;urls&gt;&lt;/urls&gt;&lt;/record&gt;&lt;/Cite&gt;&lt;/EndNote&gt;</w:instrText>
            </w:r>
            <w:r>
              <w:rPr>
                <w:rFonts w:ascii="Arial" w:hAnsi="Arial" w:cs="Arial"/>
                <w:color w:val="4472C4" w:themeColor="accent1"/>
                <w:sz w:val="16"/>
                <w:szCs w:val="16"/>
              </w:rPr>
              <w:fldChar w:fldCharType="separate"/>
            </w:r>
            <w:r w:rsidR="007C0C3E">
              <w:rPr>
                <w:rFonts w:ascii="Arial" w:hAnsi="Arial" w:cs="Arial"/>
                <w:noProof/>
                <w:color w:val="4472C4" w:themeColor="accent1"/>
                <w:sz w:val="16"/>
                <w:szCs w:val="16"/>
              </w:rPr>
              <w:t xml:space="preserve">Archibald, et al. </w:t>
            </w:r>
            <w:r w:rsidR="007C0C3E" w:rsidRPr="007C0C3E">
              <w:rPr>
                <w:rFonts w:ascii="Arial" w:hAnsi="Arial" w:cs="Arial"/>
                <w:noProof/>
                <w:color w:val="4472C4" w:themeColor="accent1"/>
                <w:sz w:val="16"/>
                <w:szCs w:val="16"/>
                <w:vertAlign w:val="superscript"/>
              </w:rPr>
              <w:t>50</w:t>
            </w:r>
            <w:r>
              <w:rPr>
                <w:rFonts w:ascii="Arial" w:hAnsi="Arial" w:cs="Arial"/>
                <w:color w:val="4472C4" w:themeColor="accent1"/>
                <w:sz w:val="16"/>
                <w:szCs w:val="16"/>
              </w:rPr>
              <w:fldChar w:fldCharType="end"/>
            </w:r>
          </w:p>
        </w:tc>
      </w:tr>
      <w:tr w:rsidR="00FB6DA5" w14:paraId="04085740" w14:textId="77777777" w:rsidTr="00FB6DA5">
        <w:trPr>
          <w:trHeight w:val="227"/>
          <w:jc w:val="center"/>
        </w:trPr>
        <w:tc>
          <w:tcPr>
            <w:tcW w:w="2550" w:type="dxa"/>
            <w:vAlign w:val="center"/>
          </w:tcPr>
          <w:p w14:paraId="04085736"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Biodiversity degradation score</w:t>
            </w:r>
          </w:p>
        </w:tc>
        <w:tc>
          <w:tcPr>
            <w:tcW w:w="1134" w:type="dxa"/>
            <w:vAlign w:val="center"/>
          </w:tcPr>
          <w:p w14:paraId="04085737"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0-1</w:t>
            </w:r>
          </w:p>
        </w:tc>
        <w:tc>
          <w:tcPr>
            <w:tcW w:w="567" w:type="dxa"/>
            <w:vAlign w:val="center"/>
          </w:tcPr>
          <w:p w14:paraId="04085738"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739"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9" w:type="dxa"/>
            <w:vAlign w:val="center"/>
          </w:tcPr>
          <w:p w14:paraId="0408573A"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142" w:type="dxa"/>
          </w:tcPr>
          <w:p w14:paraId="2A16B631"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vAlign w:val="center"/>
          </w:tcPr>
          <w:p w14:paraId="0408573B" w14:textId="09CD7539"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vAlign w:val="center"/>
          </w:tcPr>
          <w:p w14:paraId="0408573C"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73D"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vAlign w:val="center"/>
          </w:tcPr>
          <w:p w14:paraId="0408573E"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3827" w:type="dxa"/>
            <w:vAlign w:val="center"/>
          </w:tcPr>
          <w:p w14:paraId="0408573F" w14:textId="118513B4" w:rsidR="00FB6DA5" w:rsidRDefault="00FD48CD" w:rsidP="002D6438">
            <w:pPr>
              <w:tabs>
                <w:tab w:val="left" w:pos="4200"/>
                <w:tab w:val="left" w:pos="8400"/>
              </w:tabs>
              <w:ind w:firstLineChars="0" w:firstLine="0"/>
              <w:jc w:val="left"/>
              <w:textAlignment w:val="center"/>
              <w:rPr>
                <w:rFonts w:ascii="Arial" w:eastAsia="DengXian" w:hAnsi="Arial" w:cs="Arial"/>
                <w:color w:val="4472C4"/>
                <w:sz w:val="16"/>
                <w:szCs w:val="16"/>
              </w:rPr>
            </w:pPr>
            <w:r>
              <w:rPr>
                <w:rFonts w:ascii="Arial" w:hAnsi="Arial" w:cs="Arial"/>
                <w:color w:val="4472C4" w:themeColor="accent1"/>
                <w:sz w:val="16"/>
                <w:szCs w:val="16"/>
              </w:rPr>
              <w:fldChar w:fldCharType="begin"/>
            </w:r>
            <w:r>
              <w:rPr>
                <w:rFonts w:ascii="Arial" w:hAnsi="Arial" w:cs="Arial"/>
                <w:color w:val="4472C4" w:themeColor="accent1"/>
                <w:sz w:val="16"/>
                <w:szCs w:val="16"/>
              </w:rPr>
              <w:instrText xml:space="preserve"> ADDIN EN.CITE &lt;EndNote&gt;&lt;Cite AuthorYear="1"&gt;&lt;Author&gt;Munroe&lt;/Author&gt;&lt;Year&gt;2024&lt;/Year&gt;&lt;RecNum&gt;196&lt;/RecNum&gt;&lt;DisplayText&gt;Munroe, et al. &lt;style face="superscript"&gt;6&lt;/style&gt;&lt;/DisplayText&gt;&lt;record&gt;&lt;rec-number&gt;196&lt;/rec-number&gt;&lt;foreign-keys&gt;&lt;key app="EN" db-id="st0zxxax1wfadte9s5gpaptza9tfvrzsvaxs" timestamp="1728951929" guid="8d1544aa-8cc7-48ce-a9b9-4ebb9219911c"&gt;196&lt;/key&gt;&lt;/foreign-keys&gt;&lt;ref-type name="Report"&gt;27&lt;/ref-type&gt;&lt;contributors&gt;&lt;authors&gt;&lt;author&gt;Munroe, Samantha&lt;/author&gt;&lt;author&gt;Malley, Cassandra&lt;/author&gt;&lt;author&gt;Tetreault Campbell, Sally&lt;/author&gt;&lt;author&gt;Hazelwood, Liz&lt;/author&gt;&lt;author&gt;Gunawardana, Dayani&lt;/author&gt;&lt;author&gt;Perrott, Louise&lt;/author&gt;&lt;author&gt;Williams, Kristen&lt;/author&gt;&lt;/authors&gt;&lt;/contributors&gt;&lt;titles&gt;&lt;title&gt;Redesign kicks off for the Habitat Condition Assessment System&lt;/title&gt;&lt;/titles&gt;&lt;dates&gt;&lt;year&gt;2024&lt;/year&gt;&lt;/dates&gt;&lt;pub-location&gt;Australian Government Department of Climate Change, Energy, the Environment and Water&lt;/pub-location&gt;&lt;publisher&gt;CSIRO&lt;/publisher&gt;&lt;urls&gt;&lt;related-urls&gt;&lt;url&gt;http://hdl.handle.net/102.100.100/609036?index=1&lt;/url&gt;&lt;/related-urls&gt;&lt;/urls&gt;&lt;/record&gt;&lt;/Cite&gt;&lt;/EndNote&gt;</w:instrText>
            </w:r>
            <w:r>
              <w:rPr>
                <w:rFonts w:ascii="Arial" w:hAnsi="Arial" w:cs="Arial"/>
                <w:color w:val="4472C4" w:themeColor="accent1"/>
                <w:sz w:val="16"/>
                <w:szCs w:val="16"/>
              </w:rPr>
              <w:fldChar w:fldCharType="separate"/>
            </w:r>
            <w:r>
              <w:rPr>
                <w:rFonts w:ascii="Arial" w:hAnsi="Arial" w:cs="Arial"/>
                <w:noProof/>
                <w:color w:val="4472C4" w:themeColor="accent1"/>
                <w:sz w:val="16"/>
                <w:szCs w:val="16"/>
              </w:rPr>
              <w:t xml:space="preserve">Munroe, et al. </w:t>
            </w:r>
            <w:r>
              <w:rPr>
                <w:rFonts w:ascii="Arial" w:hAnsi="Arial" w:cs="Arial"/>
                <w:noProof/>
                <w:color w:val="4472C4" w:themeColor="accent1"/>
                <w:sz w:val="16"/>
                <w:szCs w:val="16"/>
                <w:vertAlign w:val="superscript"/>
              </w:rPr>
              <w:t>6</w:t>
            </w:r>
            <w:r>
              <w:rPr>
                <w:rFonts w:ascii="Arial" w:hAnsi="Arial" w:cs="Arial"/>
                <w:color w:val="4472C4" w:themeColor="accent1"/>
                <w:sz w:val="16"/>
                <w:szCs w:val="16"/>
              </w:rPr>
              <w:fldChar w:fldCharType="end"/>
            </w:r>
          </w:p>
        </w:tc>
      </w:tr>
      <w:tr w:rsidR="00FB6DA5" w14:paraId="0408574B" w14:textId="77777777" w:rsidTr="00FB6DA5">
        <w:trPr>
          <w:trHeight w:val="227"/>
          <w:jc w:val="center"/>
        </w:trPr>
        <w:tc>
          <w:tcPr>
            <w:tcW w:w="2550" w:type="dxa"/>
            <w:vAlign w:val="center"/>
          </w:tcPr>
          <w:p w14:paraId="04085741"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Water requirement</w:t>
            </w:r>
          </w:p>
        </w:tc>
        <w:tc>
          <w:tcPr>
            <w:tcW w:w="1134" w:type="dxa"/>
            <w:vAlign w:val="center"/>
          </w:tcPr>
          <w:p w14:paraId="04085742"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ml ha</w:t>
            </w:r>
            <w:r>
              <w:rPr>
                <w:rFonts w:ascii="Arial" w:hAnsi="Arial" w:cs="Arial"/>
                <w:sz w:val="16"/>
                <w:szCs w:val="16"/>
                <w:vertAlign w:val="superscript"/>
              </w:rPr>
              <w:t>-1</w:t>
            </w:r>
          </w:p>
        </w:tc>
        <w:tc>
          <w:tcPr>
            <w:tcW w:w="567" w:type="dxa"/>
            <w:vAlign w:val="center"/>
          </w:tcPr>
          <w:p w14:paraId="04085743"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744"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9" w:type="dxa"/>
            <w:vAlign w:val="center"/>
          </w:tcPr>
          <w:p w14:paraId="04085745"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142" w:type="dxa"/>
          </w:tcPr>
          <w:p w14:paraId="6DCD58C9"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vAlign w:val="center"/>
          </w:tcPr>
          <w:p w14:paraId="04085746" w14:textId="29F31730"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vAlign w:val="center"/>
          </w:tcPr>
          <w:p w14:paraId="04085747"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748"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vAlign w:val="center"/>
          </w:tcPr>
          <w:p w14:paraId="04085749"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3827" w:type="dxa"/>
            <w:vAlign w:val="center"/>
          </w:tcPr>
          <w:p w14:paraId="0408574A" w14:textId="1BA084BF" w:rsidR="00FB6DA5" w:rsidRDefault="00FD48CD" w:rsidP="002D6438">
            <w:pPr>
              <w:tabs>
                <w:tab w:val="left" w:pos="4200"/>
                <w:tab w:val="left" w:pos="8400"/>
              </w:tabs>
              <w:ind w:firstLineChars="0" w:firstLine="0"/>
              <w:jc w:val="left"/>
              <w:textAlignment w:val="center"/>
              <w:rPr>
                <w:rFonts w:ascii="Arial" w:eastAsia="DengXian" w:hAnsi="Arial" w:cs="Arial"/>
                <w:color w:val="4472C4"/>
                <w:sz w:val="16"/>
                <w:szCs w:val="16"/>
              </w:rPr>
            </w:pPr>
            <w:r>
              <w:rPr>
                <w:rFonts w:ascii="Arial" w:hAnsi="Arial" w:cs="Arial"/>
                <w:color w:val="4472C4" w:themeColor="accent1"/>
                <w:sz w:val="16"/>
                <w:szCs w:val="16"/>
              </w:rPr>
              <w:fldChar w:fldCharType="begin"/>
            </w:r>
            <w:r w:rsidR="007C0C3E">
              <w:rPr>
                <w:rFonts w:ascii="Arial" w:hAnsi="Arial" w:cs="Arial"/>
                <w:color w:val="4472C4" w:themeColor="accent1"/>
                <w:sz w:val="16"/>
                <w:szCs w:val="16"/>
              </w:rPr>
              <w:instrText xml:space="preserve"> ADDIN EN.CITE &lt;EndNote&gt;&lt;Cite AuthorYear="1"&gt;&lt;Author&gt;ABS&lt;/Author&gt;&lt;Year&gt;2010&lt;/Year&gt;&lt;RecNum&gt;222&lt;/RecNum&gt;&lt;DisplayText&gt;ABS &lt;style face="superscript"&gt;25&lt;/style&gt;&lt;/DisplayText&gt;&lt;record&gt;&lt;rec-number&gt;222&lt;/rec-number&gt;&lt;foreign-keys&gt;&lt;key app="EN" db-id="st0zxxax1wfadte9s5gpaptza9tfvrzsvaxs" timestamp="1737515707" guid="12dc501c-cef4-4091-b7c0-93446e5fdb28"&gt;222&lt;/key&gt;&lt;/foreign-keys&gt;&lt;ref-type name="Web Page"&gt;12&lt;/ref-type&gt;&lt;contributors&gt;&lt;authors&gt;&lt;author&gt;ABS&lt;/author&gt;&lt;/authors&gt;&lt;/contributors&gt;&lt;titles&gt;&lt;title&gt;Water Use on Australian Farms, 2009-10&lt;/title&gt;&lt;/titles&gt;&lt;keywords&gt;&lt;keyword&gt;Agriculture&lt;/keyword&gt;&lt;keyword&gt;Water use&lt;/keyword&gt;&lt;keyword&gt;Irrigation&lt;/keyword&gt;&lt;keyword&gt;Australia&lt;/keyword&gt;&lt;/keywords&gt;&lt;dates&gt;&lt;year&gt;2010&lt;/year&gt;&lt;/dates&gt;&lt;publisher&gt;Australian Bureau of Statistics&lt;/publisher&gt;&lt;urls&gt;&lt;related-urls&gt;&lt;url&gt;https://www.abs.gov.au/AUSSTATS/abs@.nsf/Lookup/4618.0Main+Features12009-10?OpenDocument&lt;/url&gt;&lt;/related-urls&gt;&lt;/urls&gt;&lt;/record&gt;&lt;/Cite&gt;&lt;/EndNote&gt;</w:instrText>
            </w:r>
            <w:r>
              <w:rPr>
                <w:rFonts w:ascii="Arial" w:hAnsi="Arial" w:cs="Arial"/>
                <w:color w:val="4472C4" w:themeColor="accent1"/>
                <w:sz w:val="16"/>
                <w:szCs w:val="16"/>
              </w:rPr>
              <w:fldChar w:fldCharType="separate"/>
            </w:r>
            <w:r w:rsidR="007C0C3E">
              <w:rPr>
                <w:rFonts w:ascii="Arial" w:hAnsi="Arial" w:cs="Arial"/>
                <w:noProof/>
                <w:color w:val="4472C4" w:themeColor="accent1"/>
                <w:sz w:val="16"/>
                <w:szCs w:val="16"/>
              </w:rPr>
              <w:t xml:space="preserve">ABS </w:t>
            </w:r>
            <w:r w:rsidR="007C0C3E" w:rsidRPr="007C0C3E">
              <w:rPr>
                <w:rFonts w:ascii="Arial" w:hAnsi="Arial" w:cs="Arial"/>
                <w:noProof/>
                <w:color w:val="4472C4" w:themeColor="accent1"/>
                <w:sz w:val="16"/>
                <w:szCs w:val="16"/>
                <w:vertAlign w:val="superscript"/>
              </w:rPr>
              <w:t>25</w:t>
            </w:r>
            <w:r>
              <w:rPr>
                <w:rFonts w:ascii="Arial" w:hAnsi="Arial" w:cs="Arial"/>
                <w:color w:val="4472C4" w:themeColor="accent1"/>
                <w:sz w:val="16"/>
                <w:szCs w:val="16"/>
              </w:rPr>
              <w:fldChar w:fldCharType="end"/>
            </w:r>
            <w:r>
              <w:rPr>
                <w:rFonts w:ascii="Arial" w:hAnsi="Arial" w:cs="Arial"/>
                <w:color w:val="4472C4" w:themeColor="accent1"/>
                <w:sz w:val="16"/>
                <w:szCs w:val="16"/>
              </w:rPr>
              <w:t xml:space="preserve">, </w:t>
            </w:r>
            <w:r>
              <w:rPr>
                <w:rFonts w:ascii="Arial" w:hAnsi="Arial" w:cs="Arial"/>
                <w:color w:val="4472C4" w:themeColor="accent1"/>
                <w:sz w:val="16"/>
                <w:szCs w:val="16"/>
              </w:rPr>
              <w:fldChar w:fldCharType="begin"/>
            </w:r>
            <w:r>
              <w:rPr>
                <w:rFonts w:ascii="Arial" w:hAnsi="Arial" w:cs="Arial"/>
                <w:color w:val="4472C4" w:themeColor="accent1"/>
                <w:sz w:val="16"/>
                <w:szCs w:val="16"/>
              </w:rPr>
              <w:instrText xml:space="preserve"> ADDIN EN.CITE &lt;EndNote&gt;&lt;Cite AuthorYear="1"&gt;&lt;Author&gt;Navarro&lt;/Author&gt;&lt;Year&gt;2021&lt;/Year&gt;&lt;RecNum&gt;216&lt;/RecNum&gt;&lt;DisplayText&gt;Navarro and Marcos Martinez &lt;style face="superscript"&gt;1&lt;/style&gt;&lt;/DisplayText&gt;&lt;record&gt;&lt;rec-number&gt;216&lt;/rec-number&gt;&lt;foreign-keys&gt;&lt;key app="EN" db-id="st0zxxax1wfadte9s5gpaptza9tfvrzsvaxs" timestamp="1737512257" guid="ab7b90fd-7b66-4506-8db4-03847cae284a"&gt;216&lt;/key&gt;&lt;/foreign-keys&gt;&lt;ref-type name="Journal Article"&gt;17&lt;/ref-type&gt;&lt;contributors&gt;&lt;authors&gt;&lt;author&gt;Navarro, J&lt;/author&gt;&lt;author&gt;Marcos Martinez, R&lt;/author&gt;&lt;/authors&gt;&lt;/contributors&gt;&lt;titles&gt;&lt;title&gt;Estimating long-term profits, fertilizer and pesticide use baselines in Australian agricultural regions, User Guide&lt;/title&gt;&lt;secondary-title&gt;CSIRO&lt;/secondary-title&gt;&lt;/titles&gt;&lt;periodical&gt;&lt;full-title&gt;CSIRO&lt;/full-title&gt;&lt;/periodical&gt;&lt;dates&gt;&lt;year&gt;2021&lt;/year&gt;&lt;/dates&gt;&lt;urls&gt;&lt;/urls&gt;&lt;/record&gt;&lt;/Cite&gt;&lt;/EndNote&gt;</w:instrText>
            </w:r>
            <w:r>
              <w:rPr>
                <w:rFonts w:ascii="Arial" w:hAnsi="Arial" w:cs="Arial"/>
                <w:color w:val="4472C4" w:themeColor="accent1"/>
                <w:sz w:val="16"/>
                <w:szCs w:val="16"/>
              </w:rPr>
              <w:fldChar w:fldCharType="separate"/>
            </w:r>
            <w:r>
              <w:rPr>
                <w:rFonts w:ascii="Arial" w:hAnsi="Arial" w:cs="Arial"/>
                <w:noProof/>
                <w:color w:val="4472C4" w:themeColor="accent1"/>
                <w:sz w:val="16"/>
                <w:szCs w:val="16"/>
              </w:rPr>
              <w:t xml:space="preserve">Navarro and Marcos Martinez </w:t>
            </w:r>
            <w:r>
              <w:rPr>
                <w:rFonts w:ascii="Arial" w:hAnsi="Arial" w:cs="Arial"/>
                <w:noProof/>
                <w:color w:val="4472C4" w:themeColor="accent1"/>
                <w:sz w:val="16"/>
                <w:szCs w:val="16"/>
                <w:vertAlign w:val="superscript"/>
              </w:rPr>
              <w:t>1</w:t>
            </w:r>
            <w:r>
              <w:rPr>
                <w:rFonts w:ascii="Arial" w:hAnsi="Arial" w:cs="Arial"/>
                <w:color w:val="4472C4" w:themeColor="accent1"/>
                <w:sz w:val="16"/>
                <w:szCs w:val="16"/>
              </w:rPr>
              <w:fldChar w:fldCharType="end"/>
            </w:r>
          </w:p>
        </w:tc>
      </w:tr>
      <w:tr w:rsidR="00FB6DA5" w14:paraId="04085756" w14:textId="77777777" w:rsidTr="00FB6DA5">
        <w:trPr>
          <w:trHeight w:val="227"/>
          <w:jc w:val="center"/>
        </w:trPr>
        <w:tc>
          <w:tcPr>
            <w:tcW w:w="2550" w:type="dxa"/>
            <w:vAlign w:val="center"/>
          </w:tcPr>
          <w:p w14:paraId="0408574C"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Water yield</w:t>
            </w:r>
          </w:p>
        </w:tc>
        <w:tc>
          <w:tcPr>
            <w:tcW w:w="1134" w:type="dxa"/>
            <w:vAlign w:val="center"/>
          </w:tcPr>
          <w:p w14:paraId="0408574D" w14:textId="77777777" w:rsidR="00FB6DA5" w:rsidRDefault="00FB6DA5" w:rsidP="002D6438">
            <w:pPr>
              <w:tabs>
                <w:tab w:val="left" w:pos="4200"/>
                <w:tab w:val="left" w:pos="8400"/>
              </w:tabs>
              <w:ind w:firstLineChars="0" w:firstLine="0"/>
              <w:jc w:val="left"/>
              <w:textAlignment w:val="center"/>
              <w:rPr>
                <w:rFonts w:ascii="Arial" w:hAnsi="Arial" w:cs="Arial"/>
                <w:sz w:val="16"/>
                <w:szCs w:val="16"/>
              </w:rPr>
            </w:pPr>
            <w:r>
              <w:rPr>
                <w:rFonts w:ascii="Arial" w:hAnsi="Arial" w:cs="Arial"/>
                <w:sz w:val="16"/>
                <w:szCs w:val="16"/>
              </w:rPr>
              <w:t>ml ha</w:t>
            </w:r>
            <w:r>
              <w:rPr>
                <w:rFonts w:ascii="Arial" w:hAnsi="Arial" w:cs="Arial"/>
                <w:sz w:val="16"/>
                <w:szCs w:val="16"/>
                <w:vertAlign w:val="superscript"/>
              </w:rPr>
              <w:t>-1</w:t>
            </w:r>
          </w:p>
        </w:tc>
        <w:tc>
          <w:tcPr>
            <w:tcW w:w="567" w:type="dxa"/>
            <w:vAlign w:val="center"/>
          </w:tcPr>
          <w:p w14:paraId="0408574E"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74F"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9" w:type="dxa"/>
            <w:vAlign w:val="center"/>
          </w:tcPr>
          <w:p w14:paraId="04085750"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142" w:type="dxa"/>
          </w:tcPr>
          <w:p w14:paraId="5476D11D"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vAlign w:val="center"/>
          </w:tcPr>
          <w:p w14:paraId="04085751" w14:textId="41F44E90"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vAlign w:val="center"/>
          </w:tcPr>
          <w:p w14:paraId="04085752"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753"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vAlign w:val="center"/>
          </w:tcPr>
          <w:p w14:paraId="04085754"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3827" w:type="dxa"/>
            <w:vAlign w:val="center"/>
          </w:tcPr>
          <w:p w14:paraId="04085755" w14:textId="6812F7D2" w:rsidR="00FB6DA5" w:rsidRDefault="00FD48CD" w:rsidP="002D6438">
            <w:pPr>
              <w:tabs>
                <w:tab w:val="left" w:pos="4200"/>
                <w:tab w:val="left" w:pos="8400"/>
              </w:tabs>
              <w:ind w:firstLineChars="0" w:firstLine="0"/>
              <w:jc w:val="left"/>
              <w:textAlignment w:val="center"/>
              <w:rPr>
                <w:rFonts w:ascii="Arial" w:eastAsia="DengXian" w:hAnsi="Arial" w:cs="Arial"/>
                <w:color w:val="4472C4"/>
                <w:sz w:val="16"/>
                <w:szCs w:val="16"/>
              </w:rPr>
            </w:pPr>
            <w:r>
              <w:rPr>
                <w:rFonts w:ascii="Arial" w:hAnsi="Arial" w:cs="Arial"/>
                <w:color w:val="4472C4" w:themeColor="accent1"/>
                <w:sz w:val="16"/>
                <w:szCs w:val="16"/>
              </w:rPr>
              <w:fldChar w:fldCharType="begin"/>
            </w:r>
            <w:r w:rsidR="007C0C3E">
              <w:rPr>
                <w:rFonts w:ascii="Arial" w:hAnsi="Arial" w:cs="Arial"/>
                <w:color w:val="4472C4" w:themeColor="accent1"/>
                <w:sz w:val="16"/>
                <w:szCs w:val="16"/>
              </w:rPr>
              <w:instrText xml:space="preserve"> ADDIN EN.CITE &lt;EndNote&gt;&lt;Cite AuthorYear="1"&gt;&lt;Author&gt;Eyring&lt;/Author&gt;&lt;Year&gt;2016&lt;/Year&gt;&lt;RecNum&gt;257&lt;/RecNum&gt;&lt;DisplayText&gt;Eyring, et al. &lt;style face="superscript"&gt;18&lt;/style&gt;&lt;/DisplayText&gt;&lt;record&gt;&lt;rec-number&gt;257&lt;/rec-number&gt;&lt;foreign-keys&gt;&lt;key app="EN" db-id="st0zxxax1wfadte9s5gpaptza9tfvrzsvaxs" timestamp="1738823470" guid="778fcc77-b559-4d0c-b582-83e6520552b0"&gt;257&lt;/key&gt;&lt;/foreign-keys&gt;&lt;ref-type name="Journal Article"&gt;17&lt;/ref-type&gt;&lt;contributors&gt;&lt;authors&gt;&lt;author&gt;Eyring, Veronika&lt;/author&gt;&lt;author&gt;Bony, Sandrine&lt;/author&gt;&lt;author&gt;Meehl, Gerald A.&lt;/author&gt;&lt;author&gt;Senior, Catherine A.&lt;/author&gt;&lt;author&gt;Stevens, Bjorn&lt;/author&gt;&lt;author&gt;Stouffer, Ronald J.&lt;/author&gt;&lt;author&gt;Taylor, Karl E.&lt;/author&gt;&lt;/authors&gt;&lt;/contributors&gt;&lt;titles&gt;&lt;title&gt;Overview of the Coupled Model Intercomparison Project Phase 6 (CMIP6) experimental design and organization&lt;/title&gt;&lt;secondary-title&gt;Geoscientific Model Development&lt;/secondary-title&gt;&lt;/titles&gt;&lt;periodical&gt;&lt;full-title&gt;Geoscientific Model Development&lt;/full-title&gt;&lt;/periodical&gt;&lt;pages&gt;1937-1958&lt;/pages&gt;&lt;volume&gt;9&lt;/volume&gt;&lt;number&gt;5&lt;/number&gt;&lt;section&gt;1937&lt;/section&gt;&lt;dates&gt;&lt;year&gt;2016&lt;/year&gt;&lt;/dates&gt;&lt;isbn&gt;1991-9603&lt;/isbn&gt;&lt;urls&gt;&lt;/urls&gt;&lt;electronic-resource-num&gt;10.5194/gmd-9-1937-2016&lt;/electronic-resource-num&gt;&lt;/record&gt;&lt;/Cite&gt;&lt;/EndNote&gt;</w:instrText>
            </w:r>
            <w:r>
              <w:rPr>
                <w:rFonts w:ascii="Arial" w:hAnsi="Arial" w:cs="Arial"/>
                <w:color w:val="4472C4" w:themeColor="accent1"/>
                <w:sz w:val="16"/>
                <w:szCs w:val="16"/>
              </w:rPr>
              <w:fldChar w:fldCharType="separate"/>
            </w:r>
            <w:r w:rsidR="007C0C3E">
              <w:rPr>
                <w:rFonts w:ascii="Arial" w:hAnsi="Arial" w:cs="Arial"/>
                <w:noProof/>
                <w:color w:val="4472C4" w:themeColor="accent1"/>
                <w:sz w:val="16"/>
                <w:szCs w:val="16"/>
              </w:rPr>
              <w:t xml:space="preserve">Eyring, et al. </w:t>
            </w:r>
            <w:r w:rsidR="007C0C3E" w:rsidRPr="007C0C3E">
              <w:rPr>
                <w:rFonts w:ascii="Arial" w:hAnsi="Arial" w:cs="Arial"/>
                <w:noProof/>
                <w:color w:val="4472C4" w:themeColor="accent1"/>
                <w:sz w:val="16"/>
                <w:szCs w:val="16"/>
                <w:vertAlign w:val="superscript"/>
              </w:rPr>
              <w:t>18</w:t>
            </w:r>
            <w:r>
              <w:rPr>
                <w:rFonts w:ascii="Arial" w:hAnsi="Arial" w:cs="Arial"/>
                <w:color w:val="4472C4" w:themeColor="accent1"/>
                <w:sz w:val="16"/>
                <w:szCs w:val="16"/>
              </w:rPr>
              <w:fldChar w:fldCharType="end"/>
            </w:r>
            <w:r>
              <w:rPr>
                <w:rFonts w:ascii="Arial" w:hAnsi="Arial" w:cs="Arial"/>
                <w:color w:val="4472C4" w:themeColor="accent1"/>
                <w:sz w:val="16"/>
                <w:szCs w:val="16"/>
              </w:rPr>
              <w:t xml:space="preserve">, </w:t>
            </w:r>
            <w:r>
              <w:rPr>
                <w:rFonts w:ascii="Arial" w:hAnsi="Arial" w:cs="Arial"/>
                <w:color w:val="4472C4" w:themeColor="accent1"/>
                <w:sz w:val="16"/>
                <w:szCs w:val="16"/>
              </w:rPr>
              <w:fldChar w:fldCharType="begin"/>
            </w:r>
            <w:r w:rsidR="007C0C3E">
              <w:rPr>
                <w:rFonts w:ascii="Arial" w:hAnsi="Arial" w:cs="Arial"/>
                <w:color w:val="4472C4" w:themeColor="accent1"/>
                <w:sz w:val="16"/>
                <w:szCs w:val="16"/>
              </w:rPr>
              <w:instrText xml:space="preserve"> ADDIN EN.CITE &lt;EndNote&gt;&lt;Cite AuthorYear="1"&gt;&lt;Author&gt;TERN&lt;/Author&gt;&lt;Year&gt;2024&lt;/Year&gt;&lt;RecNum&gt;215&lt;/RecNum&gt;&lt;DisplayText&gt;TERN &lt;style face="superscript"&gt;23&lt;/style&gt;&lt;/DisplayText&gt;&lt;record&gt;&lt;rec-number&gt;215&lt;/rec-number&gt;&lt;foreign-keys&gt;&lt;key app="EN" db-id="st0zxxax1wfadte9s5gpaptza9tfvrzsvaxs" timestamp="1731579271" guid="46bc4537-75ff-4d53-a3f9-195d620fdef5"&gt;215&lt;/key&gt;&lt;/foreign-keys&gt;&lt;ref-type name="Web Page"&gt;12&lt;/ref-type&gt;&lt;contributors&gt;&lt;authors&gt;&lt;author&gt;TERN&lt;/author&gt;&lt;/authors&gt;&lt;/contributors&gt;&lt;titles&gt;&lt;title&gt;Soil and Landscape Grid of Australia&lt;/title&gt;&lt;/titles&gt;&lt;dates&gt;&lt;year&gt;2024&lt;/year&gt;&lt;/dates&gt;&lt;urls&gt;&lt;related-urls&gt;&lt;url&gt;https://esoil.io/TERNLandscapes/Public/Pages/SLGA/index.html&lt;/url&gt;&lt;/related-urls&gt;&lt;/urls&gt;&lt;/record&gt;&lt;/Cite&gt;&lt;/EndNote&gt;</w:instrText>
            </w:r>
            <w:r>
              <w:rPr>
                <w:rFonts w:ascii="Arial" w:hAnsi="Arial" w:cs="Arial"/>
                <w:color w:val="4472C4" w:themeColor="accent1"/>
                <w:sz w:val="16"/>
                <w:szCs w:val="16"/>
              </w:rPr>
              <w:fldChar w:fldCharType="separate"/>
            </w:r>
            <w:r w:rsidR="007C0C3E">
              <w:rPr>
                <w:rFonts w:ascii="Arial" w:hAnsi="Arial" w:cs="Arial"/>
                <w:noProof/>
                <w:color w:val="4472C4" w:themeColor="accent1"/>
                <w:sz w:val="16"/>
                <w:szCs w:val="16"/>
              </w:rPr>
              <w:t xml:space="preserve">TERN </w:t>
            </w:r>
            <w:r w:rsidR="007C0C3E" w:rsidRPr="007C0C3E">
              <w:rPr>
                <w:rFonts w:ascii="Arial" w:hAnsi="Arial" w:cs="Arial"/>
                <w:noProof/>
                <w:color w:val="4472C4" w:themeColor="accent1"/>
                <w:sz w:val="16"/>
                <w:szCs w:val="16"/>
                <w:vertAlign w:val="superscript"/>
              </w:rPr>
              <w:t>23</w:t>
            </w:r>
            <w:r>
              <w:rPr>
                <w:rFonts w:ascii="Arial" w:hAnsi="Arial" w:cs="Arial"/>
                <w:color w:val="4472C4" w:themeColor="accent1"/>
                <w:sz w:val="16"/>
                <w:szCs w:val="16"/>
              </w:rPr>
              <w:fldChar w:fldCharType="end"/>
            </w:r>
          </w:p>
        </w:tc>
      </w:tr>
      <w:tr w:rsidR="00FB6DA5" w14:paraId="04085761" w14:textId="77777777" w:rsidTr="00FB6DA5">
        <w:trPr>
          <w:trHeight w:val="227"/>
          <w:jc w:val="center"/>
        </w:trPr>
        <w:tc>
          <w:tcPr>
            <w:tcW w:w="2550" w:type="dxa"/>
            <w:vAlign w:val="center"/>
          </w:tcPr>
          <w:p w14:paraId="04085757"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Water cost</w:t>
            </w:r>
          </w:p>
        </w:tc>
        <w:tc>
          <w:tcPr>
            <w:tcW w:w="1134" w:type="dxa"/>
            <w:vAlign w:val="center"/>
          </w:tcPr>
          <w:p w14:paraId="04085758"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AU$ t</w:t>
            </w:r>
            <w:r>
              <w:rPr>
                <w:rFonts w:ascii="Arial" w:hAnsi="Arial" w:cs="Arial"/>
                <w:sz w:val="16"/>
                <w:szCs w:val="16"/>
                <w:vertAlign w:val="superscript"/>
              </w:rPr>
              <w:t>-1</w:t>
            </w:r>
          </w:p>
        </w:tc>
        <w:tc>
          <w:tcPr>
            <w:tcW w:w="567" w:type="dxa"/>
            <w:vAlign w:val="center"/>
          </w:tcPr>
          <w:p w14:paraId="04085759"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75A"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9" w:type="dxa"/>
            <w:vAlign w:val="center"/>
          </w:tcPr>
          <w:p w14:paraId="0408575B"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142" w:type="dxa"/>
          </w:tcPr>
          <w:p w14:paraId="1947AE74"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vAlign w:val="center"/>
          </w:tcPr>
          <w:p w14:paraId="0408575C" w14:textId="0074BB72"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vAlign w:val="center"/>
          </w:tcPr>
          <w:p w14:paraId="0408575D"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75E"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vAlign w:val="center"/>
          </w:tcPr>
          <w:p w14:paraId="0408575F"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3827" w:type="dxa"/>
            <w:vAlign w:val="center"/>
          </w:tcPr>
          <w:p w14:paraId="04085760" w14:textId="7149F289" w:rsidR="00FB6DA5" w:rsidRDefault="00FD48CD" w:rsidP="002D6438">
            <w:pPr>
              <w:tabs>
                <w:tab w:val="left" w:pos="4200"/>
                <w:tab w:val="left" w:pos="8400"/>
              </w:tabs>
              <w:ind w:firstLineChars="0" w:firstLine="0"/>
              <w:jc w:val="left"/>
              <w:textAlignment w:val="center"/>
              <w:rPr>
                <w:rFonts w:ascii="Arial" w:eastAsia="DengXian" w:hAnsi="Arial" w:cs="Arial"/>
                <w:color w:val="4472C4"/>
                <w:sz w:val="16"/>
                <w:szCs w:val="16"/>
              </w:rPr>
            </w:pPr>
            <w:r>
              <w:rPr>
                <w:rFonts w:ascii="Arial" w:hAnsi="Arial" w:cs="Arial"/>
                <w:color w:val="4472C4" w:themeColor="accent1"/>
                <w:sz w:val="16"/>
                <w:szCs w:val="16"/>
              </w:rPr>
              <w:fldChar w:fldCharType="begin"/>
            </w:r>
            <w:r w:rsidR="007C0C3E">
              <w:rPr>
                <w:rFonts w:ascii="Arial" w:hAnsi="Arial" w:cs="Arial"/>
                <w:color w:val="4472C4" w:themeColor="accent1"/>
                <w:sz w:val="16"/>
                <w:szCs w:val="16"/>
              </w:rPr>
              <w:instrText xml:space="preserve"> ADDIN EN.CITE &lt;EndNote&gt;&lt;Cite AuthorYear="1"&gt;&lt;Author&gt;ABS&lt;/Author&gt;&lt;Year&gt;2010&lt;/Year&gt;&lt;RecNum&gt;222&lt;/RecNum&gt;&lt;DisplayText&gt;ABS &lt;style face="superscript"&gt;25&lt;/style&gt;&lt;/DisplayText&gt;&lt;record&gt;&lt;rec-number&gt;222&lt;/rec-number&gt;&lt;foreign-keys&gt;&lt;key app="EN" db-id="st0zxxax1wfadte9s5gpaptza9tfvrzsvaxs" timestamp="1737515707" guid="12dc501c-cef4-4091-b7c0-93446e5fdb28"&gt;222&lt;/key&gt;&lt;/foreign-keys&gt;&lt;ref-type name="Web Page"&gt;12&lt;/ref-type&gt;&lt;contributors&gt;&lt;authors&gt;&lt;author&gt;ABS&lt;/author&gt;&lt;/authors&gt;&lt;/contributors&gt;&lt;titles&gt;&lt;title&gt;Water Use on Australian Farms, 2009-10&lt;/title&gt;&lt;/titles&gt;&lt;keywords&gt;&lt;keyword&gt;Agriculture&lt;/keyword&gt;&lt;keyword&gt;Water use&lt;/keyword&gt;&lt;keyword&gt;Irrigation&lt;/keyword&gt;&lt;keyword&gt;Australia&lt;/keyword&gt;&lt;/keywords&gt;&lt;dates&gt;&lt;year&gt;2010&lt;/year&gt;&lt;/dates&gt;&lt;publisher&gt;Australian Bureau of Statistics&lt;/publisher&gt;&lt;urls&gt;&lt;related-urls&gt;&lt;url&gt;https://www.abs.gov.au/AUSSTATS/abs@.nsf/Lookup/4618.0Main+Features12009-10?OpenDocument&lt;/url&gt;&lt;/related-urls&gt;&lt;/urls&gt;&lt;/record&gt;&lt;/Cite&gt;&lt;/EndNote&gt;</w:instrText>
            </w:r>
            <w:r>
              <w:rPr>
                <w:rFonts w:ascii="Arial" w:hAnsi="Arial" w:cs="Arial"/>
                <w:color w:val="4472C4" w:themeColor="accent1"/>
                <w:sz w:val="16"/>
                <w:szCs w:val="16"/>
              </w:rPr>
              <w:fldChar w:fldCharType="separate"/>
            </w:r>
            <w:r w:rsidR="007C0C3E">
              <w:rPr>
                <w:rFonts w:ascii="Arial" w:hAnsi="Arial" w:cs="Arial"/>
                <w:noProof/>
                <w:color w:val="4472C4" w:themeColor="accent1"/>
                <w:sz w:val="16"/>
                <w:szCs w:val="16"/>
              </w:rPr>
              <w:t xml:space="preserve">ABS </w:t>
            </w:r>
            <w:r w:rsidR="007C0C3E" w:rsidRPr="007C0C3E">
              <w:rPr>
                <w:rFonts w:ascii="Arial" w:hAnsi="Arial" w:cs="Arial"/>
                <w:noProof/>
                <w:color w:val="4472C4" w:themeColor="accent1"/>
                <w:sz w:val="16"/>
                <w:szCs w:val="16"/>
                <w:vertAlign w:val="superscript"/>
              </w:rPr>
              <w:t>25</w:t>
            </w:r>
            <w:r>
              <w:rPr>
                <w:rFonts w:ascii="Arial" w:hAnsi="Arial" w:cs="Arial"/>
                <w:color w:val="4472C4" w:themeColor="accent1"/>
                <w:sz w:val="16"/>
                <w:szCs w:val="16"/>
              </w:rPr>
              <w:fldChar w:fldCharType="end"/>
            </w:r>
          </w:p>
        </w:tc>
      </w:tr>
      <w:tr w:rsidR="00FB6DA5" w14:paraId="0408576C" w14:textId="77777777" w:rsidTr="00FB6DA5">
        <w:trPr>
          <w:trHeight w:val="227"/>
          <w:jc w:val="center"/>
        </w:trPr>
        <w:tc>
          <w:tcPr>
            <w:tcW w:w="2550" w:type="dxa"/>
            <w:vAlign w:val="center"/>
          </w:tcPr>
          <w:p w14:paraId="04085762"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Transition cost</w:t>
            </w:r>
          </w:p>
        </w:tc>
        <w:tc>
          <w:tcPr>
            <w:tcW w:w="1134" w:type="dxa"/>
            <w:vAlign w:val="center"/>
          </w:tcPr>
          <w:p w14:paraId="04085763" w14:textId="77777777" w:rsidR="00FB6DA5" w:rsidRDefault="00FB6DA5" w:rsidP="002D6438">
            <w:pPr>
              <w:tabs>
                <w:tab w:val="left" w:pos="4200"/>
                <w:tab w:val="left" w:pos="8400"/>
              </w:tabs>
              <w:ind w:firstLineChars="0" w:firstLine="0"/>
              <w:jc w:val="left"/>
              <w:textAlignment w:val="center"/>
              <w:rPr>
                <w:rFonts w:ascii="Arial" w:hAnsi="Arial" w:cs="Arial"/>
                <w:sz w:val="16"/>
                <w:szCs w:val="16"/>
              </w:rPr>
            </w:pPr>
            <w:r>
              <w:rPr>
                <w:rFonts w:ascii="Arial" w:hAnsi="Arial" w:cs="Arial"/>
                <w:sz w:val="16"/>
                <w:szCs w:val="16"/>
              </w:rPr>
              <w:t>$ ha</w:t>
            </w:r>
            <w:r>
              <w:rPr>
                <w:rFonts w:ascii="Arial" w:hAnsi="Arial" w:cs="Arial"/>
                <w:sz w:val="16"/>
                <w:szCs w:val="16"/>
                <w:vertAlign w:val="superscript"/>
              </w:rPr>
              <w:t>-1</w:t>
            </w:r>
          </w:p>
        </w:tc>
        <w:tc>
          <w:tcPr>
            <w:tcW w:w="567" w:type="dxa"/>
            <w:vAlign w:val="center"/>
          </w:tcPr>
          <w:p w14:paraId="04085764"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992" w:type="dxa"/>
            <w:vAlign w:val="center"/>
          </w:tcPr>
          <w:p w14:paraId="04085765"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9" w:type="dxa"/>
            <w:vAlign w:val="center"/>
          </w:tcPr>
          <w:p w14:paraId="04085766"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142" w:type="dxa"/>
          </w:tcPr>
          <w:p w14:paraId="496B39A1"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vAlign w:val="center"/>
          </w:tcPr>
          <w:p w14:paraId="04085767" w14:textId="7F53B59D"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vAlign w:val="center"/>
          </w:tcPr>
          <w:p w14:paraId="04085768"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769"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vAlign w:val="center"/>
          </w:tcPr>
          <w:p w14:paraId="0408576A"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3827" w:type="dxa"/>
            <w:vAlign w:val="center"/>
          </w:tcPr>
          <w:p w14:paraId="0408576B" w14:textId="5B03455B" w:rsidR="00FB6DA5" w:rsidRDefault="00FD48CD" w:rsidP="002D6438">
            <w:pPr>
              <w:tabs>
                <w:tab w:val="left" w:pos="4200"/>
                <w:tab w:val="left" w:pos="8400"/>
              </w:tabs>
              <w:ind w:firstLineChars="0" w:firstLine="0"/>
              <w:jc w:val="left"/>
              <w:textAlignment w:val="center"/>
              <w:rPr>
                <w:rFonts w:ascii="Arial" w:eastAsia="DengXian" w:hAnsi="Arial" w:cs="Arial"/>
                <w:color w:val="4472C4"/>
                <w:sz w:val="16"/>
                <w:szCs w:val="16"/>
              </w:rPr>
            </w:pPr>
            <w:r>
              <w:rPr>
                <w:rFonts w:ascii="Arial" w:hAnsi="Arial" w:cs="Arial"/>
                <w:color w:val="4472C4" w:themeColor="accent1"/>
                <w:sz w:val="16"/>
                <w:szCs w:val="16"/>
              </w:rPr>
              <w:fldChar w:fldCharType="begin"/>
            </w:r>
            <w:r w:rsidR="007C0C3E">
              <w:rPr>
                <w:rFonts w:ascii="Arial" w:hAnsi="Arial" w:cs="Arial"/>
                <w:color w:val="4472C4" w:themeColor="accent1"/>
                <w:sz w:val="16"/>
                <w:szCs w:val="16"/>
              </w:rPr>
              <w:instrText xml:space="preserve"> ADDIN EN.CITE &lt;EndNote&gt;&lt;Cite AuthorYear="1"&gt;&lt;Author&gt;HomeGuide&lt;/Author&gt;&lt;Year&gt;2023&lt;/Year&gt;&lt;RecNum&gt;212&lt;/RecNum&gt;&lt;DisplayText&gt;HomeGuide &lt;style face="superscript"&gt;28&lt;/style&gt;&lt;/DisplayText&gt;&lt;record&gt;&lt;rec-number&gt;212&lt;/rec-number&gt;&lt;foreign-keys&gt;&lt;key app="EN" db-id="st0zxxax1wfadte9s5gpaptza9tfvrzsvaxs" timestamp="1731574614" guid="f8655090-ca15-4bf7-93ff-7d82b4533aac"&gt;212&lt;/key&gt;&lt;/foreign-keys&gt;&lt;ref-type name="Web Page"&gt;12&lt;/ref-type&gt;&lt;contributors&gt;&lt;authors&gt;&lt;author&gt;HomeGuide&lt;/author&gt;&lt;/authors&gt;&lt;/contributors&gt;&lt;titles&gt;&lt;title&gt;2024 Land Clearing Costs | Avg. Cost Per Acre | Wooded Lot Clearing&lt;/title&gt;&lt;/titles&gt;&lt;dates&gt;&lt;year&gt;2023&lt;/year&gt;&lt;/dates&gt;&lt;urls&gt;&lt;related-urls&gt;&lt;url&gt;https://homeguide.com/costs/land-clearing-cost&lt;/url&gt;&lt;/related-urls&gt;&lt;/urls&gt;&lt;/record&gt;&lt;/Cite&gt;&lt;/EndNote&gt;</w:instrText>
            </w:r>
            <w:r>
              <w:rPr>
                <w:rFonts w:ascii="Arial" w:hAnsi="Arial" w:cs="Arial"/>
                <w:color w:val="4472C4" w:themeColor="accent1"/>
                <w:sz w:val="16"/>
                <w:szCs w:val="16"/>
              </w:rPr>
              <w:fldChar w:fldCharType="separate"/>
            </w:r>
            <w:r w:rsidR="007C0C3E">
              <w:rPr>
                <w:rFonts w:ascii="Arial" w:hAnsi="Arial" w:cs="Arial"/>
                <w:noProof/>
                <w:color w:val="4472C4" w:themeColor="accent1"/>
                <w:sz w:val="16"/>
                <w:szCs w:val="16"/>
              </w:rPr>
              <w:t xml:space="preserve">HomeGuide </w:t>
            </w:r>
            <w:r w:rsidR="007C0C3E" w:rsidRPr="007C0C3E">
              <w:rPr>
                <w:rFonts w:ascii="Arial" w:hAnsi="Arial" w:cs="Arial"/>
                <w:noProof/>
                <w:color w:val="4472C4" w:themeColor="accent1"/>
                <w:sz w:val="16"/>
                <w:szCs w:val="16"/>
                <w:vertAlign w:val="superscript"/>
              </w:rPr>
              <w:t>28</w:t>
            </w:r>
            <w:r>
              <w:rPr>
                <w:rFonts w:ascii="Arial" w:hAnsi="Arial" w:cs="Arial"/>
                <w:color w:val="4472C4" w:themeColor="accent1"/>
                <w:sz w:val="16"/>
                <w:szCs w:val="16"/>
              </w:rPr>
              <w:fldChar w:fldCharType="end"/>
            </w:r>
            <w:r>
              <w:rPr>
                <w:rFonts w:ascii="Arial" w:hAnsi="Arial" w:cs="Arial"/>
                <w:color w:val="4472C4" w:themeColor="accent1"/>
                <w:sz w:val="16"/>
                <w:szCs w:val="16"/>
              </w:rPr>
              <w:t xml:space="preserve">, </w:t>
            </w:r>
            <w:r>
              <w:rPr>
                <w:rFonts w:ascii="Arial" w:hAnsi="Arial" w:cs="Arial"/>
                <w:color w:val="4472C4" w:themeColor="accent1"/>
                <w:sz w:val="16"/>
                <w:szCs w:val="16"/>
              </w:rPr>
              <w:fldChar w:fldCharType="begin"/>
            </w:r>
            <w:r w:rsidR="007C0C3E">
              <w:rPr>
                <w:rFonts w:ascii="Arial" w:hAnsi="Arial" w:cs="Arial"/>
                <w:color w:val="4472C4" w:themeColor="accent1"/>
                <w:sz w:val="16"/>
                <w:szCs w:val="16"/>
              </w:rPr>
              <w:instrText xml:space="preserve"> ADDIN EN.CITE &lt;EndNote&gt;&lt;Cite AuthorYear="1"&gt;&lt;Author&gt;EcoSpecifier&lt;/Author&gt;&lt;Year&gt;2024&lt;/Year&gt;&lt;RecNum&gt;211&lt;/RecNum&gt;&lt;DisplayText&gt;EcoSpecifier &lt;style face="superscript"&gt;29&lt;/style&gt;&lt;/DisplayText&gt;&lt;record&gt;&lt;rec-number&gt;211&lt;/rec-number&gt;&lt;foreign-keys&gt;&lt;key app="EN" db-id="st0zxxax1wfadte9s5gpaptza9tfvrzsvaxs" timestamp="1731574541" guid="13d584e5-d2c6-4ef6-9486-c4f30db413b6"&gt;211&lt;/key&gt;&lt;/foreign-keys&gt;&lt;ref-type name="Web Page"&gt;12&lt;/ref-type&gt;&lt;contributors&gt;&lt;authors&gt;&lt;author&gt;EcoSpecifier&lt;/author&gt;&lt;/authors&gt;&lt;/contributors&gt;&lt;titles&gt;&lt;title&gt;Farm Fencing [Price Guide]&lt;/title&gt;&lt;/titles&gt;&lt;dates&gt;&lt;year&gt;2024&lt;/year&gt;&lt;/dates&gt;&lt;urls&gt;&lt;related-urls&gt;&lt;url&gt;https://www.ecospecifier.com.au/farm-fencing/&lt;/url&gt;&lt;/related-urls&gt;&lt;/urls&gt;&lt;/record&gt;&lt;/Cite&gt;&lt;/EndNote&gt;</w:instrText>
            </w:r>
            <w:r>
              <w:rPr>
                <w:rFonts w:ascii="Arial" w:hAnsi="Arial" w:cs="Arial"/>
                <w:color w:val="4472C4" w:themeColor="accent1"/>
                <w:sz w:val="16"/>
                <w:szCs w:val="16"/>
              </w:rPr>
              <w:fldChar w:fldCharType="separate"/>
            </w:r>
            <w:r w:rsidR="007C0C3E">
              <w:rPr>
                <w:rFonts w:ascii="Arial" w:hAnsi="Arial" w:cs="Arial"/>
                <w:noProof/>
                <w:color w:val="4472C4" w:themeColor="accent1"/>
                <w:sz w:val="16"/>
                <w:szCs w:val="16"/>
              </w:rPr>
              <w:t xml:space="preserve">EcoSpecifier </w:t>
            </w:r>
            <w:r w:rsidR="007C0C3E" w:rsidRPr="007C0C3E">
              <w:rPr>
                <w:rFonts w:ascii="Arial" w:hAnsi="Arial" w:cs="Arial"/>
                <w:noProof/>
                <w:color w:val="4472C4" w:themeColor="accent1"/>
                <w:sz w:val="16"/>
                <w:szCs w:val="16"/>
                <w:vertAlign w:val="superscript"/>
              </w:rPr>
              <w:t>29</w:t>
            </w:r>
            <w:r>
              <w:rPr>
                <w:rFonts w:ascii="Arial" w:hAnsi="Arial" w:cs="Arial"/>
                <w:color w:val="4472C4" w:themeColor="accent1"/>
                <w:sz w:val="16"/>
                <w:szCs w:val="16"/>
              </w:rPr>
              <w:fldChar w:fldCharType="end"/>
            </w:r>
            <w:r>
              <w:rPr>
                <w:rFonts w:ascii="Arial" w:hAnsi="Arial" w:cs="Arial"/>
                <w:color w:val="4472C4" w:themeColor="accent1"/>
                <w:sz w:val="16"/>
                <w:szCs w:val="16"/>
              </w:rPr>
              <w:t xml:space="preserve">; </w:t>
            </w:r>
            <w:r>
              <w:rPr>
                <w:rFonts w:ascii="Arial" w:hAnsi="Arial" w:cs="Arial"/>
                <w:color w:val="4472C4" w:themeColor="accent1"/>
                <w:sz w:val="16"/>
                <w:szCs w:val="16"/>
              </w:rPr>
              <w:fldChar w:fldCharType="begin"/>
            </w:r>
            <w:r w:rsidR="007C0C3E">
              <w:rPr>
                <w:rFonts w:ascii="Arial" w:hAnsi="Arial" w:cs="Arial"/>
                <w:color w:val="4472C4" w:themeColor="accent1"/>
                <w:sz w:val="16"/>
                <w:szCs w:val="16"/>
              </w:rPr>
              <w:instrText xml:space="preserve"> ADDIN EN.CITE &lt;EndNote&gt;&lt;Cite AuthorYear="1"&gt;&lt;Author&gt;FW&lt;/Author&gt;&lt;Year&gt;2015&lt;/Year&gt;&lt;RecNum&gt;213&lt;/RecNum&gt;&lt;DisplayText&gt;FW &lt;style face="superscript"&gt;27&lt;/style&gt;&lt;/DisplayText&gt;&lt;record&gt;&lt;rec-number&gt;213&lt;/rec-number&gt;&lt;foreign-keys&gt;&lt;key app="EN" db-id="st0zxxax1wfadte9s5gpaptza9tfvrzsvaxs" timestamp="1731575054" guid="ad171c5d-ee02-4fdb-bcd7-83bf6a73e28f"&gt;213&lt;/key&gt;&lt;/foreign-keys&gt;&lt;ref-type name="Report"&gt;27&lt;/ref-type&gt;&lt;contributors&gt;&lt;authors&gt;&lt;author&gt;FW&lt;/author&gt;&lt;/authors&gt;&lt;/contributors&gt;&lt;titles&gt;&lt;title&gt;Comparing Total Costs of Irrigation Systems in Victoria&lt;/title&gt;&lt;/titles&gt;&lt;dates&gt;&lt;year&gt;2015&lt;/year&gt;&lt;/dates&gt;&lt;pub-location&gt;Shepparton, Victoria&lt;/pub-location&gt;&lt;publisher&gt;Goulburn Broken Catchment Management Authority&lt;/publisher&gt;&lt;urls&gt;&lt;related-urls&gt;&lt;url&gt;https://www.gbcma.vic.gov.au/downloads/Farm_Water_Program/2015_-_Farm_Water_Program_-_Fact_Sheet_-_Comparing_Total_Costs_of_Irrigation_Systems_in_VIC_-_March_-_02.03.2015.pdf&lt;/url&gt;&lt;/related-urls&gt;&lt;/urls&gt;&lt;/record&gt;&lt;/Cite&gt;&lt;/EndNote&gt;</w:instrText>
            </w:r>
            <w:r>
              <w:rPr>
                <w:rFonts w:ascii="Arial" w:hAnsi="Arial" w:cs="Arial"/>
                <w:color w:val="4472C4" w:themeColor="accent1"/>
                <w:sz w:val="16"/>
                <w:szCs w:val="16"/>
              </w:rPr>
              <w:fldChar w:fldCharType="separate"/>
            </w:r>
            <w:r w:rsidR="007C0C3E">
              <w:rPr>
                <w:rFonts w:ascii="Arial" w:hAnsi="Arial" w:cs="Arial"/>
                <w:noProof/>
                <w:color w:val="4472C4" w:themeColor="accent1"/>
                <w:sz w:val="16"/>
                <w:szCs w:val="16"/>
              </w:rPr>
              <w:t xml:space="preserve">FW </w:t>
            </w:r>
            <w:r w:rsidR="007C0C3E" w:rsidRPr="007C0C3E">
              <w:rPr>
                <w:rFonts w:ascii="Arial" w:hAnsi="Arial" w:cs="Arial"/>
                <w:noProof/>
                <w:color w:val="4472C4" w:themeColor="accent1"/>
                <w:sz w:val="16"/>
                <w:szCs w:val="16"/>
                <w:vertAlign w:val="superscript"/>
              </w:rPr>
              <w:t>27</w:t>
            </w:r>
            <w:r>
              <w:rPr>
                <w:rFonts w:ascii="Arial" w:hAnsi="Arial" w:cs="Arial"/>
                <w:color w:val="4472C4" w:themeColor="accent1"/>
                <w:sz w:val="16"/>
                <w:szCs w:val="16"/>
              </w:rPr>
              <w:fldChar w:fldCharType="end"/>
            </w:r>
          </w:p>
        </w:tc>
      </w:tr>
      <w:tr w:rsidR="00FB6DA5" w14:paraId="04085777" w14:textId="77777777" w:rsidTr="00FB6DA5">
        <w:trPr>
          <w:trHeight w:val="227"/>
          <w:jc w:val="center"/>
        </w:trPr>
        <w:tc>
          <w:tcPr>
            <w:tcW w:w="2550" w:type="dxa"/>
            <w:vAlign w:val="center"/>
          </w:tcPr>
          <w:p w14:paraId="0408576D"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Transition GHG emission</w:t>
            </w:r>
          </w:p>
        </w:tc>
        <w:tc>
          <w:tcPr>
            <w:tcW w:w="1134" w:type="dxa"/>
            <w:vAlign w:val="center"/>
          </w:tcPr>
          <w:p w14:paraId="0408576E" w14:textId="77777777" w:rsidR="00FB6DA5" w:rsidRDefault="00FB6DA5" w:rsidP="002D6438">
            <w:pPr>
              <w:tabs>
                <w:tab w:val="left" w:pos="4200"/>
                <w:tab w:val="left" w:pos="8400"/>
              </w:tabs>
              <w:ind w:firstLineChars="0" w:firstLine="0"/>
              <w:jc w:val="left"/>
              <w:textAlignment w:val="center"/>
              <w:rPr>
                <w:rFonts w:ascii="Arial" w:hAnsi="Arial" w:cs="Arial"/>
                <w:sz w:val="16"/>
                <w:szCs w:val="16"/>
              </w:rPr>
            </w:pPr>
            <w:r>
              <w:rPr>
                <w:rFonts w:ascii="Arial" w:hAnsi="Arial" w:cs="Arial"/>
                <w:sz w:val="16"/>
                <w:szCs w:val="16"/>
              </w:rPr>
              <w:t>kg CO2e ha</w:t>
            </w:r>
            <w:r>
              <w:rPr>
                <w:rFonts w:ascii="Arial" w:hAnsi="Arial" w:cs="Arial"/>
                <w:sz w:val="16"/>
                <w:szCs w:val="16"/>
                <w:vertAlign w:val="superscript"/>
              </w:rPr>
              <w:t>-1</w:t>
            </w:r>
          </w:p>
        </w:tc>
        <w:tc>
          <w:tcPr>
            <w:tcW w:w="567" w:type="dxa"/>
            <w:vAlign w:val="center"/>
          </w:tcPr>
          <w:p w14:paraId="0408576F"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992" w:type="dxa"/>
            <w:vAlign w:val="center"/>
          </w:tcPr>
          <w:p w14:paraId="04085770"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9" w:type="dxa"/>
            <w:vAlign w:val="center"/>
          </w:tcPr>
          <w:p w14:paraId="04085771"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142" w:type="dxa"/>
          </w:tcPr>
          <w:p w14:paraId="7DCEA496"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vAlign w:val="center"/>
          </w:tcPr>
          <w:p w14:paraId="04085772" w14:textId="4905C7CB"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vAlign w:val="center"/>
          </w:tcPr>
          <w:p w14:paraId="04085773"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774"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vAlign w:val="center"/>
          </w:tcPr>
          <w:p w14:paraId="04085775"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3827" w:type="dxa"/>
            <w:vAlign w:val="center"/>
          </w:tcPr>
          <w:p w14:paraId="04085776" w14:textId="5D0FD955" w:rsidR="00FB6DA5" w:rsidRDefault="00FD48CD" w:rsidP="002D6438">
            <w:pPr>
              <w:tabs>
                <w:tab w:val="left" w:pos="4200"/>
                <w:tab w:val="left" w:pos="8400"/>
              </w:tabs>
              <w:ind w:firstLineChars="0" w:firstLine="0"/>
              <w:jc w:val="left"/>
              <w:textAlignment w:val="center"/>
              <w:rPr>
                <w:rFonts w:ascii="Arial" w:eastAsia="DengXian" w:hAnsi="Arial" w:cs="Arial"/>
                <w:color w:val="4472C4"/>
                <w:sz w:val="16"/>
                <w:szCs w:val="16"/>
              </w:rPr>
            </w:pPr>
            <w:r>
              <w:rPr>
                <w:rFonts w:ascii="Arial" w:hAnsi="Arial" w:cs="Arial"/>
                <w:color w:val="4472C4" w:themeColor="accent1"/>
                <w:sz w:val="16"/>
                <w:szCs w:val="16"/>
              </w:rPr>
              <w:fldChar w:fldCharType="begin"/>
            </w:r>
            <w:r>
              <w:rPr>
                <w:rFonts w:ascii="Arial" w:hAnsi="Arial" w:cs="Arial"/>
                <w:color w:val="4472C4" w:themeColor="accent1"/>
                <w:sz w:val="16"/>
                <w:szCs w:val="16"/>
              </w:rPr>
              <w:instrText xml:space="preserve"> ADDIN EN.CITE &lt;EndNote&gt;&lt;Cite AuthorYear="1"&gt;&lt;Author&gt;DCCEEW&lt;/Author&gt;&lt;Year&gt;2024&lt;/Year&gt;&lt;RecNum&gt;210&lt;/RecNum&gt;&lt;DisplayText&gt;DCCEEW &lt;style face="superscript"&gt;2&lt;/style&gt;&lt;/DisplayText&gt;&lt;record&gt;&lt;rec-number&gt;210&lt;/rec-number&gt;&lt;foreign-keys&gt;&lt;key app="EN" db-id="st0zxxax1wfadte9s5gpaptza9tfvrzsvaxs" timestamp="1731573818" guid="c16bb1d5-f607-4205-b3c1-ca7b5e84c5c8"&gt;210&lt;/key&gt;&lt;/foreign-keys&gt;&lt;ref-type name="Web Page"&gt;12&lt;/ref-type&gt;&lt;contributors&gt;&lt;authors&gt;&lt;author&gt;DCCEEW&lt;/author&gt;&lt;/authors&gt;&lt;/contributors&gt;&lt;titles&gt;&lt;title&gt;Full Carbon Accounting Model (FullCAM)&lt;/title&gt;&lt;/titles&gt;&lt;dates&gt;&lt;year&gt;2024&lt;/year&gt;&lt;/dates&gt;&lt;publisher&gt;Department of Climate Change, Energy, the Environment and Water&lt;/publisher&gt;&lt;urls&gt;&lt;related-urls&gt;&lt;url&gt;https://www.dcceew.gov.au/climate-change/publications/full-carbon-accounting-model-fullcam&lt;/url&gt;&lt;/related-urls&gt;&lt;/urls&gt;&lt;/record&gt;&lt;/Cite&gt;&lt;/EndNote&gt;</w:instrText>
            </w:r>
            <w:r>
              <w:rPr>
                <w:rFonts w:ascii="Arial" w:hAnsi="Arial" w:cs="Arial"/>
                <w:color w:val="4472C4" w:themeColor="accent1"/>
                <w:sz w:val="16"/>
                <w:szCs w:val="16"/>
              </w:rPr>
              <w:fldChar w:fldCharType="separate"/>
            </w:r>
            <w:r>
              <w:rPr>
                <w:rFonts w:ascii="Arial" w:hAnsi="Arial" w:cs="Arial"/>
                <w:noProof/>
                <w:color w:val="4472C4" w:themeColor="accent1"/>
                <w:sz w:val="16"/>
                <w:szCs w:val="16"/>
              </w:rPr>
              <w:t xml:space="preserve">DCCEEW </w:t>
            </w:r>
            <w:r>
              <w:rPr>
                <w:rFonts w:ascii="Arial" w:hAnsi="Arial" w:cs="Arial"/>
                <w:noProof/>
                <w:color w:val="4472C4" w:themeColor="accent1"/>
                <w:sz w:val="16"/>
                <w:szCs w:val="16"/>
                <w:vertAlign w:val="superscript"/>
              </w:rPr>
              <w:t>2</w:t>
            </w:r>
            <w:r>
              <w:rPr>
                <w:rFonts w:ascii="Arial" w:hAnsi="Arial" w:cs="Arial"/>
                <w:color w:val="4472C4" w:themeColor="accent1"/>
                <w:sz w:val="16"/>
                <w:szCs w:val="16"/>
              </w:rPr>
              <w:fldChar w:fldCharType="end"/>
            </w:r>
          </w:p>
        </w:tc>
      </w:tr>
      <w:tr w:rsidR="00FB6DA5" w14:paraId="04085782" w14:textId="77777777" w:rsidTr="00FB6DA5">
        <w:trPr>
          <w:trHeight w:val="227"/>
          <w:jc w:val="center"/>
        </w:trPr>
        <w:tc>
          <w:tcPr>
            <w:tcW w:w="2550" w:type="dxa"/>
            <w:vAlign w:val="center"/>
          </w:tcPr>
          <w:p w14:paraId="04085778" w14:textId="77777777" w:rsidR="00FB6DA5" w:rsidRDefault="00FB6DA5" w:rsidP="002D6438">
            <w:pPr>
              <w:tabs>
                <w:tab w:val="left" w:pos="4200"/>
                <w:tab w:val="left" w:pos="8400"/>
              </w:tabs>
              <w:ind w:firstLineChars="0" w:firstLine="0"/>
              <w:jc w:val="left"/>
              <w:textAlignment w:val="center"/>
              <w:rPr>
                <w:rFonts w:ascii="Arial" w:hAnsi="Arial" w:cs="Arial"/>
                <w:sz w:val="16"/>
                <w:szCs w:val="16"/>
              </w:rPr>
            </w:pPr>
            <w:r>
              <w:rPr>
                <w:rFonts w:ascii="Arial" w:hAnsi="Arial" w:cs="Arial"/>
                <w:sz w:val="16"/>
                <w:szCs w:val="16"/>
              </w:rPr>
              <w:t>Methane reduction (livestock)</w:t>
            </w:r>
          </w:p>
        </w:tc>
        <w:tc>
          <w:tcPr>
            <w:tcW w:w="1134" w:type="dxa"/>
            <w:vAlign w:val="center"/>
          </w:tcPr>
          <w:p w14:paraId="04085779" w14:textId="77777777" w:rsidR="00FB6DA5" w:rsidRDefault="00FB6DA5" w:rsidP="002D6438">
            <w:pPr>
              <w:tabs>
                <w:tab w:val="left" w:pos="4200"/>
                <w:tab w:val="left" w:pos="8400"/>
              </w:tabs>
              <w:ind w:firstLineChars="0" w:firstLine="0"/>
              <w:jc w:val="left"/>
              <w:textAlignment w:val="center"/>
              <w:rPr>
                <w:rFonts w:ascii="Arial" w:hAnsi="Arial" w:cs="Arial"/>
                <w:sz w:val="16"/>
                <w:szCs w:val="16"/>
              </w:rPr>
            </w:pPr>
            <w:r>
              <w:rPr>
                <w:rFonts w:ascii="Arial" w:hAnsi="Arial" w:cs="Arial"/>
                <w:sz w:val="16"/>
                <w:szCs w:val="16"/>
              </w:rPr>
              <w:t>Coefficient</w:t>
            </w:r>
          </w:p>
        </w:tc>
        <w:tc>
          <w:tcPr>
            <w:tcW w:w="567" w:type="dxa"/>
            <w:vAlign w:val="center"/>
          </w:tcPr>
          <w:p w14:paraId="0408577A"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992" w:type="dxa"/>
            <w:vAlign w:val="center"/>
          </w:tcPr>
          <w:p w14:paraId="0408577B"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9" w:type="dxa"/>
            <w:vAlign w:val="center"/>
          </w:tcPr>
          <w:p w14:paraId="0408577C"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142" w:type="dxa"/>
          </w:tcPr>
          <w:p w14:paraId="37EE9C85"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vAlign w:val="center"/>
          </w:tcPr>
          <w:p w14:paraId="0408577D" w14:textId="5067C49D"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vAlign w:val="center"/>
          </w:tcPr>
          <w:p w14:paraId="0408577E"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992" w:type="dxa"/>
            <w:vAlign w:val="center"/>
          </w:tcPr>
          <w:p w14:paraId="0408577F"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vAlign w:val="center"/>
          </w:tcPr>
          <w:p w14:paraId="04085780"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3827" w:type="dxa"/>
            <w:vAlign w:val="center"/>
          </w:tcPr>
          <w:p w14:paraId="04085781" w14:textId="4DCFBC5F" w:rsidR="00FB6DA5" w:rsidRDefault="00FD48CD" w:rsidP="002D6438">
            <w:pPr>
              <w:tabs>
                <w:tab w:val="left" w:pos="4200"/>
                <w:tab w:val="left" w:pos="8400"/>
              </w:tabs>
              <w:ind w:firstLineChars="0" w:firstLine="0"/>
              <w:jc w:val="left"/>
              <w:textAlignment w:val="center"/>
              <w:rPr>
                <w:rFonts w:ascii="Arial" w:eastAsia="DengXian" w:hAnsi="Arial" w:cs="Arial"/>
                <w:color w:val="4472C4"/>
                <w:sz w:val="16"/>
                <w:szCs w:val="16"/>
              </w:rPr>
            </w:pPr>
            <w:r>
              <w:rPr>
                <w:rFonts w:ascii="Arial" w:hAnsi="Arial" w:cs="Arial"/>
                <w:color w:val="4472C4" w:themeColor="accent1"/>
                <w:sz w:val="16"/>
                <w:szCs w:val="16"/>
              </w:rPr>
              <w:fldChar w:fldCharType="begin"/>
            </w:r>
            <w:r w:rsidR="00EE3C15">
              <w:rPr>
                <w:rFonts w:ascii="Arial" w:hAnsi="Arial" w:cs="Arial"/>
                <w:color w:val="4472C4" w:themeColor="accent1"/>
                <w:sz w:val="16"/>
                <w:szCs w:val="16"/>
              </w:rPr>
              <w:instrText xml:space="preserve"> ADDIN EN.CITE &lt;EndNote&gt;&lt;Cite AuthorYear="1"&gt;&lt;Author&gt;Batterham&lt;/Author&gt;&lt;Year&gt;2022&lt;/Year&gt;&lt;RecNum&gt;200&lt;/RecNum&gt;&lt;DisplayText&gt;Batterham, et al. &lt;style face="superscript"&gt;71&lt;/style&gt;&lt;/DisplayText&gt;&lt;record&gt;&lt;rec-number&gt;200&lt;/rec-number&gt;&lt;foreign-keys&gt;&lt;key app="EN" db-id="st0zxxax1wfadte9s5gpaptza9tfvrzsvaxs" timestamp="1731036784" guid="e440b9c1-2293-41cc-befb-8e19c930dff7"&gt;200&lt;/key&gt;&lt;/foreign-keys&gt;&lt;ref-type name="Report"&gt;27&lt;/ref-type&gt;&lt;contributors&gt;&lt;authors&gt;&lt;author&gt;Batterham, Robin&lt;/author&gt;&lt;author&gt;Beiraghi, Jordan&lt;/author&gt;&lt;author&gt;Bharadwaj, Bishal&lt;/author&gt;&lt;author&gt;Bolt, Richard&lt;/author&gt;&lt;author&gt;Brear, Michael&lt;/author&gt;&lt;author&gt;Cullen, Brendan&lt;/author&gt;&lt;author&gt;Davis, Dominic&lt;/author&gt;&lt;author&gt;Domansky, Katherin&lt;/author&gt;&lt;author&gt;Eckard, Richard&lt;/author&gt;&lt;author&gt;Greig, Chris&lt;/author&gt;&lt;author&gt;Jones, Ryan&lt;/author&gt;&lt;author&gt;Keenan, Rodney&lt;/author&gt;&lt;author&gt;Kiri, Utkarsh&lt;/author&gt;&lt;author&gt;Lopez Peralta, Maria&lt;/author&gt;&lt;author&gt;Pascale, Andrew&lt;/author&gt;&lt;author&gt;Smart, Simon&lt;/author&gt;&lt;author&gt;Strawhorn, Tom&lt;/author&gt;&lt;author&gt;Tabatabaei, Mojgan&lt;/author&gt;&lt;author&gt;Vosshage, Oscar&lt;/author&gt;&lt;author&gt;Vecchi, Andrea&lt;/author&gt;&lt;author&gt;Zhang, Yimin&lt;/author&gt;&lt;/authors&gt;&lt;/contributors&gt;&lt;titles&gt;&lt;title&gt;The Net Zero Australia Project: Methods, Assumptions, Scenarios &amp;amp; Sensitivities&lt;/title&gt;&lt;/titles&gt;&lt;dates&gt;&lt;year&gt;2022&lt;/year&gt;&lt;pub-dates&gt;&lt;date&gt;25 August 2022&lt;/date&gt;&lt;/pub-dates&gt;&lt;/dates&gt;&lt;pub-location&gt;Melbourne&lt;/pub-location&gt;&lt;publisher&gt;Melbourne Energy Institute, The University of Melbourne&lt;/publisher&gt;&lt;urls&gt;&lt;/urls&gt;&lt;/record&gt;&lt;/Cite&gt;&lt;/EndNote&gt;</w:instrText>
            </w:r>
            <w:r>
              <w:rPr>
                <w:rFonts w:ascii="Arial" w:hAnsi="Arial" w:cs="Arial"/>
                <w:color w:val="4472C4" w:themeColor="accent1"/>
                <w:sz w:val="16"/>
                <w:szCs w:val="16"/>
              </w:rPr>
              <w:fldChar w:fldCharType="separate"/>
            </w:r>
            <w:r w:rsidR="00EE3C15">
              <w:rPr>
                <w:rFonts w:ascii="Arial" w:hAnsi="Arial" w:cs="Arial"/>
                <w:noProof/>
                <w:color w:val="4472C4" w:themeColor="accent1"/>
                <w:sz w:val="16"/>
                <w:szCs w:val="16"/>
              </w:rPr>
              <w:t xml:space="preserve">Batterham, et al. </w:t>
            </w:r>
            <w:r w:rsidR="00EE3C15" w:rsidRPr="00EE3C15">
              <w:rPr>
                <w:rFonts w:ascii="Arial" w:hAnsi="Arial" w:cs="Arial"/>
                <w:noProof/>
                <w:color w:val="4472C4" w:themeColor="accent1"/>
                <w:sz w:val="16"/>
                <w:szCs w:val="16"/>
                <w:vertAlign w:val="superscript"/>
              </w:rPr>
              <w:t>71</w:t>
            </w:r>
            <w:r>
              <w:rPr>
                <w:rFonts w:ascii="Arial" w:hAnsi="Arial" w:cs="Arial"/>
                <w:color w:val="4472C4" w:themeColor="accent1"/>
                <w:sz w:val="16"/>
                <w:szCs w:val="16"/>
              </w:rPr>
              <w:fldChar w:fldCharType="end"/>
            </w:r>
            <w:r>
              <w:rPr>
                <w:rFonts w:ascii="Arial" w:hAnsi="Arial" w:cs="Arial"/>
                <w:color w:val="4472C4" w:themeColor="accent1"/>
                <w:sz w:val="16"/>
                <w:szCs w:val="16"/>
              </w:rPr>
              <w:t xml:space="preserve">, </w:t>
            </w:r>
            <w:r>
              <w:rPr>
                <w:rFonts w:ascii="Arial" w:hAnsi="Arial" w:cs="Arial"/>
                <w:color w:val="4472C4" w:themeColor="accent1"/>
                <w:sz w:val="16"/>
                <w:szCs w:val="16"/>
              </w:rPr>
              <w:fldChar w:fldCharType="begin"/>
            </w:r>
            <w:r w:rsidR="00EE3C15">
              <w:rPr>
                <w:rFonts w:ascii="Arial" w:hAnsi="Arial" w:cs="Arial"/>
                <w:color w:val="4472C4" w:themeColor="accent1"/>
                <w:sz w:val="16"/>
                <w:szCs w:val="16"/>
              </w:rPr>
              <w:instrText xml:space="preserve"> ADDIN EN.CITE &lt;EndNote&gt;&lt;Cite AuthorYear="1"&gt;&lt;Author&gt;Wiedemann&lt;/Author&gt;&lt;Year&gt;2023&lt;/Year&gt;&lt;RecNum&gt;201&lt;/RecNum&gt;&lt;DisplayText&gt;Wiedemann, et al. &lt;style face="superscript"&gt;72&lt;/style&gt;&lt;/DisplayText&gt;&lt;record&gt;&lt;rec-number&gt;201&lt;/rec-number&gt;&lt;foreign-keys&gt;&lt;key app="EN" db-id="st0zxxax1wfadte9s5gpaptza9tfvrzsvaxs" timestamp="1731037016" guid="463f74d5-746e-465d-b7fa-4eba9a3f701f"&gt;201&lt;/key&gt;&lt;/foreign-keys&gt;&lt;ref-type name="Journal Article"&gt;17&lt;/ref-type&gt;&lt;contributors&gt;&lt;authors&gt;&lt;author&gt;Wiedemann, Stephen&lt;/author&gt;&lt;author&gt;Longworth, Emma&lt;/author&gt;&lt;author&gt;O’Shannessy, Riley&lt;/author&gt;&lt;author&gt;Thomas, Dean&lt;/author&gt;&lt;/authors&gt;&lt;/contributors&gt;&lt;titles&gt;&lt;title&gt;Net greenhouse-gas emissions and reduction opportunities in the Western Australian beef industry&lt;/title&gt;&lt;secondary-title&gt;Animal Production Science&lt;/secondary-title&gt;&lt;/titles&gt;&lt;periodical&gt;&lt;full-title&gt;Animal Production Science&lt;/full-title&gt;&lt;/periodical&gt;&lt;volume&gt;64&lt;/volume&gt;&lt;number&gt;1&lt;/number&gt;&lt;dates&gt;&lt;year&gt;2023&lt;/year&gt;&lt;/dates&gt;&lt;isbn&gt;1836-0939&amp;#xD;1836-5787&lt;/isbn&gt;&lt;urls&gt;&lt;/urls&gt;&lt;electronic-resource-num&gt;10.1071/an23111&lt;/electronic-resource-num&gt;&lt;/record&gt;&lt;/Cite&gt;&lt;Cite&gt;&lt;Author&gt;Wiedemann&lt;/Author&gt;&lt;Year&gt;2023&lt;/Year&gt;&lt;RecNum&gt;201&lt;/RecNum&gt;&lt;record&gt;&lt;rec-number&gt;201&lt;/rec-number&gt;&lt;foreign-keys&gt;&lt;key app="EN" db-id="st0zxxax1wfadte9s5gpaptza9tfvrzsvaxs" timestamp="1731037016" guid="463f74d5-746e-465d-b7fa-4eba9a3f701f"&gt;201&lt;/key&gt;&lt;/foreign-keys&gt;&lt;ref-type name="Journal Article"&gt;17&lt;/ref-type&gt;&lt;contributors&gt;&lt;authors&gt;&lt;author&gt;Wiedemann, Stephen&lt;/author&gt;&lt;author&gt;Longworth, Emma&lt;/author&gt;&lt;author&gt;O’Shannessy, Riley&lt;/author&gt;&lt;author&gt;Thomas, Dean&lt;/author&gt;&lt;/authors&gt;&lt;/contributors&gt;&lt;titles&gt;&lt;title&gt;Net greenhouse-gas emissions and reduction opportunities in the Western Australian beef industry&lt;/title&gt;&lt;secondary-title&gt;Animal Production Science&lt;/secondary-title&gt;&lt;/titles&gt;&lt;periodical&gt;&lt;full-title&gt;Animal Production Science&lt;/full-title&gt;&lt;/periodical&gt;&lt;volume&gt;64&lt;/volume&gt;&lt;number&gt;1&lt;/number&gt;&lt;dates&gt;&lt;year&gt;2023&lt;/year&gt;&lt;/dates&gt;&lt;isbn&gt;1836-0939&amp;#xD;1836-5787&lt;/isbn&gt;&lt;urls&gt;&lt;/urls&gt;&lt;electronic-resource-num&gt;10.1071/an23111&lt;/electronic-resource-num&gt;&lt;/record&gt;&lt;/Cite&gt;&lt;/EndNote&gt;</w:instrText>
            </w:r>
            <w:r>
              <w:rPr>
                <w:rFonts w:ascii="Arial" w:hAnsi="Arial" w:cs="Arial"/>
                <w:color w:val="4472C4" w:themeColor="accent1"/>
                <w:sz w:val="16"/>
                <w:szCs w:val="16"/>
              </w:rPr>
              <w:fldChar w:fldCharType="separate"/>
            </w:r>
            <w:r w:rsidR="00EE3C15">
              <w:rPr>
                <w:rFonts w:ascii="Arial" w:hAnsi="Arial" w:cs="Arial"/>
                <w:noProof/>
                <w:color w:val="4472C4" w:themeColor="accent1"/>
                <w:sz w:val="16"/>
                <w:szCs w:val="16"/>
              </w:rPr>
              <w:t xml:space="preserve">Wiedemann, et al. </w:t>
            </w:r>
            <w:r w:rsidR="00EE3C15" w:rsidRPr="00EE3C15">
              <w:rPr>
                <w:rFonts w:ascii="Arial" w:hAnsi="Arial" w:cs="Arial"/>
                <w:noProof/>
                <w:color w:val="4472C4" w:themeColor="accent1"/>
                <w:sz w:val="16"/>
                <w:szCs w:val="16"/>
                <w:vertAlign w:val="superscript"/>
              </w:rPr>
              <w:t>72</w:t>
            </w:r>
            <w:r>
              <w:rPr>
                <w:rFonts w:ascii="Arial" w:hAnsi="Arial" w:cs="Arial"/>
                <w:color w:val="4472C4" w:themeColor="accent1"/>
                <w:sz w:val="16"/>
                <w:szCs w:val="16"/>
              </w:rPr>
              <w:fldChar w:fldCharType="end"/>
            </w:r>
            <w:r>
              <w:rPr>
                <w:rFonts w:ascii="Arial" w:hAnsi="Arial" w:cs="Arial"/>
                <w:color w:val="4472C4" w:themeColor="accent1"/>
                <w:sz w:val="16"/>
                <w:szCs w:val="16"/>
              </w:rPr>
              <w:t xml:space="preserve">,  </w:t>
            </w:r>
            <w:r>
              <w:rPr>
                <w:rFonts w:ascii="Arial" w:hAnsi="Arial" w:cs="Arial"/>
                <w:color w:val="4472C4" w:themeColor="accent1"/>
                <w:sz w:val="16"/>
                <w:szCs w:val="16"/>
              </w:rPr>
              <w:fldChar w:fldCharType="begin">
                <w:fldData xml:space="preserve">PEVuZE5vdGU+PENpdGUgQXV0aG9yWWVhcj0iMSI+PEF1dGhvcj5Sb3F1ZTwvQXV0aG9yPjxZZWFy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</w:fldData>
              </w:fldChar>
            </w:r>
            <w:r w:rsidR="007C0C3E">
              <w:rPr>
                <w:rFonts w:ascii="Arial" w:hAnsi="Arial" w:cs="Arial"/>
                <w:color w:val="4472C4" w:themeColor="accent1"/>
                <w:sz w:val="16"/>
                <w:szCs w:val="16"/>
              </w:rPr>
              <w:instrText xml:space="preserve"> ADDIN EN.CITE </w:instrText>
            </w:r>
            <w:r w:rsidR="007C0C3E">
              <w:rPr>
                <w:rFonts w:ascii="Arial" w:hAnsi="Arial" w:cs="Arial"/>
                <w:color w:val="4472C4" w:themeColor="accent1"/>
                <w:sz w:val="16"/>
                <w:szCs w:val="16"/>
              </w:rPr>
              <w:fldChar w:fldCharType="begin">
                <w:fldData xml:space="preserve">PEVuZE5vdGU+PENpdGUgQXV0aG9yWWVhcj0iMSI+PEF1dGhvcj5Sb3F1ZTwvQXV0aG9yPjxZZWFy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</w:fldData>
              </w:fldChar>
            </w:r>
            <w:r w:rsidR="007C0C3E">
              <w:rPr>
                <w:rFonts w:ascii="Arial" w:hAnsi="Arial" w:cs="Arial"/>
                <w:color w:val="4472C4" w:themeColor="accent1"/>
                <w:sz w:val="16"/>
                <w:szCs w:val="16"/>
              </w:rPr>
              <w:instrText xml:space="preserve"> ADDIN EN.CITE.DATA </w:instrText>
            </w:r>
            <w:r w:rsidR="007C0C3E">
              <w:rPr>
                <w:rFonts w:ascii="Arial" w:hAnsi="Arial" w:cs="Arial"/>
                <w:color w:val="4472C4" w:themeColor="accent1"/>
                <w:sz w:val="16"/>
                <w:szCs w:val="16"/>
              </w:rPr>
            </w:r>
            <w:r w:rsidR="007C0C3E">
              <w:rPr>
                <w:rFonts w:ascii="Arial" w:hAnsi="Arial" w:cs="Arial"/>
                <w:color w:val="4472C4" w:themeColor="accent1"/>
                <w:sz w:val="16"/>
                <w:szCs w:val="16"/>
              </w:rPr>
              <w:fldChar w:fldCharType="end"/>
            </w:r>
            <w:r>
              <w:rPr>
                <w:rFonts w:ascii="Arial" w:hAnsi="Arial" w:cs="Arial"/>
                <w:color w:val="4472C4" w:themeColor="accent1"/>
                <w:sz w:val="16"/>
                <w:szCs w:val="16"/>
              </w:rPr>
            </w:r>
            <w:r>
              <w:rPr>
                <w:rFonts w:ascii="Arial" w:hAnsi="Arial" w:cs="Arial"/>
                <w:color w:val="4472C4" w:themeColor="accent1"/>
                <w:sz w:val="16"/>
                <w:szCs w:val="16"/>
              </w:rPr>
              <w:fldChar w:fldCharType="separate"/>
            </w:r>
            <w:r w:rsidR="007C0C3E">
              <w:rPr>
                <w:rFonts w:ascii="Arial" w:hAnsi="Arial" w:cs="Arial"/>
                <w:noProof/>
                <w:color w:val="4472C4" w:themeColor="accent1"/>
                <w:sz w:val="16"/>
                <w:szCs w:val="16"/>
              </w:rPr>
              <w:t xml:space="preserve">Roque, et al. </w:t>
            </w:r>
            <w:r w:rsidR="007C0C3E" w:rsidRPr="007C0C3E">
              <w:rPr>
                <w:rFonts w:ascii="Arial" w:hAnsi="Arial" w:cs="Arial"/>
                <w:noProof/>
                <w:color w:val="4472C4" w:themeColor="accent1"/>
                <w:sz w:val="16"/>
                <w:szCs w:val="16"/>
                <w:vertAlign w:val="superscript"/>
              </w:rPr>
              <w:t>61</w:t>
            </w:r>
            <w:r>
              <w:rPr>
                <w:rFonts w:ascii="Arial" w:hAnsi="Arial" w:cs="Arial"/>
                <w:color w:val="4472C4" w:themeColor="accent1"/>
                <w:sz w:val="16"/>
                <w:szCs w:val="16"/>
              </w:rPr>
              <w:fldChar w:fldCharType="end"/>
            </w:r>
            <w:r>
              <w:rPr>
                <w:rFonts w:ascii="Arial" w:hAnsi="Arial" w:cs="Arial"/>
                <w:color w:val="4472C4" w:themeColor="accent1"/>
                <w:sz w:val="16"/>
                <w:szCs w:val="16"/>
              </w:rPr>
              <w:t xml:space="preserve">, </w:t>
            </w:r>
            <w:r>
              <w:rPr>
                <w:rFonts w:ascii="Arial" w:hAnsi="Arial" w:cs="Arial"/>
                <w:color w:val="4472C4" w:themeColor="accent1"/>
                <w:sz w:val="16"/>
                <w:szCs w:val="16"/>
              </w:rPr>
              <w:fldChar w:fldCharType="begin"/>
            </w:r>
            <w:r w:rsidR="00332A60">
              <w:rPr>
                <w:rFonts w:ascii="Arial" w:hAnsi="Arial" w:cs="Arial"/>
                <w:color w:val="4472C4" w:themeColor="accent1"/>
                <w:sz w:val="16"/>
                <w:szCs w:val="16"/>
              </w:rPr>
              <w:instrText xml:space="preserve"> ADDIN EN.CITE &lt;EndNote&gt;&lt;Cite AuthorYear="1"&gt;&lt;Author&gt;Whittington&lt;/Author&gt;&lt;Year&gt;2022&lt;/Year&gt;&lt;RecNum&gt;203&lt;/RecNum&gt;&lt;DisplayText&gt;Whittington &lt;style face="superscript"&gt;62&lt;/style&gt;&lt;/DisplayText&gt;&lt;record&gt;&lt;rec-number&gt;203&lt;/rec-number&gt;&lt;foreign-keys&gt;&lt;key app="EN" db-id="st0zxxax1wfadte9s5gpaptza9tfvrzsvaxs" timestamp="1731037570" guid="ef12f1b8-ffd5-4b4e-a866-95350ebd3bf9"&gt;203&lt;/key&gt;&lt;/foreign-keys&gt;&lt;ref-type name="Web Page"&gt;12&lt;/ref-type&gt;&lt;contributors&gt;&lt;authors&gt;&lt;author&gt;Whittington, Trevor&lt;/author&gt;&lt;/authors&gt;&lt;/contributors&gt;&lt;titles&gt;&lt;title&gt;A reality check on seaweed as a feedstock for cows&lt;/title&gt;&lt;secondary-title&gt;Countryman&lt;/secondary-title&gt;&lt;/titles&gt;&lt;dates&gt;&lt;year&gt;2022&lt;/year&gt;&lt;pub-dates&gt;&lt;date&gt;2022-01-12&lt;/date&gt;&lt;/pub-dates&gt;&lt;/dates&gt;&lt;urls&gt;&lt;related-urls&gt;&lt;url&gt;https://www.countryman.com.au/countryman/opinion/a-reality-check-on-seaweed-as-a-feedstock-for-cows-c-5238740&lt;/url&gt;&lt;/related-urls&gt;&lt;/urls&gt;&lt;/record&gt;&lt;/Cite&gt;&lt;/EndNote&gt;</w:instrText>
            </w:r>
            <w:r>
              <w:rPr>
                <w:rFonts w:ascii="Arial" w:hAnsi="Arial" w:cs="Arial"/>
                <w:color w:val="4472C4" w:themeColor="accent1"/>
                <w:sz w:val="16"/>
                <w:szCs w:val="16"/>
              </w:rPr>
              <w:fldChar w:fldCharType="separate"/>
            </w:r>
            <w:r w:rsidR="007C0C3E">
              <w:rPr>
                <w:rFonts w:ascii="Arial" w:hAnsi="Arial" w:cs="Arial"/>
                <w:noProof/>
                <w:color w:val="4472C4" w:themeColor="accent1"/>
                <w:sz w:val="16"/>
                <w:szCs w:val="16"/>
              </w:rPr>
              <w:t xml:space="preserve">Whittington </w:t>
            </w:r>
            <w:r w:rsidR="007C0C3E" w:rsidRPr="007C0C3E">
              <w:rPr>
                <w:rFonts w:ascii="Arial" w:hAnsi="Arial" w:cs="Arial"/>
                <w:noProof/>
                <w:color w:val="4472C4" w:themeColor="accent1"/>
                <w:sz w:val="16"/>
                <w:szCs w:val="16"/>
                <w:vertAlign w:val="superscript"/>
              </w:rPr>
              <w:t>62</w:t>
            </w:r>
            <w:r>
              <w:rPr>
                <w:rFonts w:ascii="Arial" w:hAnsi="Arial" w:cs="Arial"/>
                <w:color w:val="4472C4" w:themeColor="accent1"/>
                <w:sz w:val="16"/>
                <w:szCs w:val="16"/>
              </w:rPr>
              <w:fldChar w:fldCharType="end"/>
            </w:r>
            <w:r>
              <w:rPr>
                <w:rFonts w:ascii="Arial" w:hAnsi="Arial" w:cs="Arial"/>
                <w:color w:val="4472C4" w:themeColor="accent1"/>
                <w:sz w:val="16"/>
                <w:szCs w:val="16"/>
              </w:rPr>
              <w:t xml:space="preserve">, </w:t>
            </w:r>
            <w:r>
              <w:rPr>
                <w:rFonts w:ascii="Arial" w:hAnsi="Arial" w:cs="Arial"/>
                <w:color w:val="4472C4" w:themeColor="accent1"/>
                <w:sz w:val="16"/>
                <w:szCs w:val="16"/>
              </w:rPr>
              <w:fldChar w:fldCharType="begin"/>
            </w:r>
            <w:r w:rsidR="007C0C3E">
              <w:rPr>
                <w:rFonts w:ascii="Arial" w:hAnsi="Arial" w:cs="Arial"/>
                <w:color w:val="4472C4" w:themeColor="accent1"/>
                <w:sz w:val="16"/>
                <w:szCs w:val="16"/>
              </w:rPr>
              <w:instrText xml:space="preserve"> ADDIN EN.CITE &lt;EndNote&gt;&lt;Cite AuthorYear="1"&gt;&lt;Author&gt;Cowley&lt;/Author&gt;&lt;Year&gt;2023&lt;/Year&gt;&lt;RecNum&gt;204&lt;/RecNum&gt;&lt;DisplayText&gt;Cowley, et al. &lt;style face="superscript"&gt;63&lt;/style&gt;&lt;/DisplayText&gt;&lt;record&gt;&lt;rec-number&gt;204&lt;/rec-number&gt;&lt;foreign-keys&gt;&lt;key app="EN" db-id="st0zxxax1wfadte9s5gpaptza9tfvrzsvaxs" timestamp="1731037879" guid="a309b2c9-2a43-48c1-989f-4fd371b2a3ca"&gt;204&lt;/key&gt;&lt;/foreign-keys&gt;&lt;ref-type name="Report"&gt;27&lt;/ref-type&gt;&lt;contributors&gt;&lt;authors&gt;&lt;author&gt;Cowley, Fran&lt;/author&gt;&lt;author&gt;Simanunkalit, Gamaliel&lt;/author&gt;&lt;author&gt;Kelly, Matt&lt;/author&gt;&lt;author&gt;Gray, Eliza&lt;/author&gt;&lt;/authors&gt;&lt;/contributors&gt;&lt;titles&gt;&lt;title&gt;Effect of Asparagopsis extract in a canola oil carrier for long-fed Wagyu cattle&lt;/title&gt;&lt;secondary-title&gt;Final report&lt;/secondary-title&gt;&lt;/titles&gt;&lt;dates&gt;&lt;year&gt;2023&lt;/year&gt;&lt;pub-dates&gt;&lt;date&gt;2023-07-10&lt;/date&gt;&lt;/pub-dates&gt;&lt;/dates&gt;&lt;pub-location&gt;North Sydney, NSW&lt;/pub-location&gt;&lt;publisher&gt;Meat &amp;amp; Livestock Australia Limited&lt;/publisher&gt;&lt;work-type&gt;Project code: P.PSH.1353&lt;/work-type&gt;&lt;urls&gt;&lt;/urls&gt;&lt;language&gt;English&lt;/language&gt;&lt;/record&gt;&lt;/Cite&gt;&lt;/EndNote&gt;</w:instrText>
            </w:r>
            <w:r>
              <w:rPr>
                <w:rFonts w:ascii="Arial" w:hAnsi="Arial" w:cs="Arial"/>
                <w:color w:val="4472C4" w:themeColor="accent1"/>
                <w:sz w:val="16"/>
                <w:szCs w:val="16"/>
              </w:rPr>
              <w:fldChar w:fldCharType="separate"/>
            </w:r>
            <w:r w:rsidR="007C0C3E">
              <w:rPr>
                <w:rFonts w:ascii="Arial" w:hAnsi="Arial" w:cs="Arial"/>
                <w:noProof/>
                <w:color w:val="4472C4" w:themeColor="accent1"/>
                <w:sz w:val="16"/>
                <w:szCs w:val="16"/>
              </w:rPr>
              <w:t xml:space="preserve">Cowley, et al. </w:t>
            </w:r>
            <w:r w:rsidR="007C0C3E" w:rsidRPr="007C0C3E">
              <w:rPr>
                <w:rFonts w:ascii="Arial" w:hAnsi="Arial" w:cs="Arial"/>
                <w:noProof/>
                <w:color w:val="4472C4" w:themeColor="accent1"/>
                <w:sz w:val="16"/>
                <w:szCs w:val="16"/>
                <w:vertAlign w:val="superscript"/>
              </w:rPr>
              <w:t>63</w:t>
            </w:r>
            <w:r>
              <w:rPr>
                <w:rFonts w:ascii="Arial" w:hAnsi="Arial" w:cs="Arial"/>
                <w:color w:val="4472C4" w:themeColor="accent1"/>
                <w:sz w:val="16"/>
                <w:szCs w:val="16"/>
              </w:rPr>
              <w:fldChar w:fldCharType="end"/>
            </w:r>
          </w:p>
        </w:tc>
      </w:tr>
      <w:tr w:rsidR="00FB6DA5" w14:paraId="0408578D" w14:textId="77777777" w:rsidTr="00FB6DA5">
        <w:trPr>
          <w:trHeight w:val="227"/>
          <w:jc w:val="center"/>
        </w:trPr>
        <w:tc>
          <w:tcPr>
            <w:tcW w:w="2550" w:type="dxa"/>
            <w:vAlign w:val="center"/>
          </w:tcPr>
          <w:p w14:paraId="04085783" w14:textId="77777777" w:rsidR="00FB6DA5" w:rsidRDefault="00FB6DA5" w:rsidP="002D6438">
            <w:pPr>
              <w:tabs>
                <w:tab w:val="left" w:pos="4200"/>
                <w:tab w:val="left" w:pos="8400"/>
              </w:tabs>
              <w:ind w:firstLineChars="0" w:firstLine="0"/>
              <w:jc w:val="left"/>
              <w:textAlignment w:val="center"/>
              <w:rPr>
                <w:rFonts w:ascii="Arial" w:hAnsi="Arial" w:cs="Arial"/>
                <w:sz w:val="16"/>
                <w:szCs w:val="16"/>
              </w:rPr>
            </w:pPr>
            <w:r>
              <w:rPr>
                <w:rFonts w:ascii="Arial" w:hAnsi="Arial" w:cs="Arial"/>
                <w:sz w:val="16"/>
                <w:szCs w:val="16"/>
              </w:rPr>
              <w:t>Agricultural technology (energy)</w:t>
            </w:r>
          </w:p>
        </w:tc>
        <w:tc>
          <w:tcPr>
            <w:tcW w:w="1134" w:type="dxa"/>
            <w:vAlign w:val="center"/>
          </w:tcPr>
          <w:p w14:paraId="04085784" w14:textId="77777777" w:rsidR="00FB6DA5" w:rsidRDefault="00FB6DA5" w:rsidP="002D6438">
            <w:pPr>
              <w:tabs>
                <w:tab w:val="left" w:pos="4200"/>
                <w:tab w:val="left" w:pos="8400"/>
              </w:tabs>
              <w:ind w:firstLineChars="0" w:firstLine="0"/>
              <w:jc w:val="left"/>
              <w:textAlignment w:val="center"/>
              <w:rPr>
                <w:rFonts w:ascii="Arial" w:hAnsi="Arial" w:cs="Arial"/>
                <w:sz w:val="16"/>
                <w:szCs w:val="16"/>
              </w:rPr>
            </w:pPr>
            <w:r>
              <w:rPr>
                <w:rFonts w:ascii="Arial" w:hAnsi="Arial" w:cs="Arial"/>
                <w:sz w:val="16"/>
                <w:szCs w:val="16"/>
              </w:rPr>
              <w:t>Coefficient</w:t>
            </w:r>
          </w:p>
        </w:tc>
        <w:tc>
          <w:tcPr>
            <w:tcW w:w="567" w:type="dxa"/>
            <w:vAlign w:val="center"/>
          </w:tcPr>
          <w:p w14:paraId="04085785"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992" w:type="dxa"/>
            <w:vAlign w:val="center"/>
          </w:tcPr>
          <w:p w14:paraId="04085786"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9" w:type="dxa"/>
            <w:vAlign w:val="center"/>
          </w:tcPr>
          <w:p w14:paraId="04085787"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142" w:type="dxa"/>
          </w:tcPr>
          <w:p w14:paraId="7817C935"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vAlign w:val="center"/>
          </w:tcPr>
          <w:p w14:paraId="04085788" w14:textId="572D18A8"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vAlign w:val="center"/>
          </w:tcPr>
          <w:p w14:paraId="04085789"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992" w:type="dxa"/>
            <w:vAlign w:val="center"/>
          </w:tcPr>
          <w:p w14:paraId="0408578A"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vAlign w:val="center"/>
          </w:tcPr>
          <w:p w14:paraId="0408578B"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3827" w:type="dxa"/>
            <w:vAlign w:val="center"/>
          </w:tcPr>
          <w:p w14:paraId="0408578C" w14:textId="089293E2" w:rsidR="00FB6DA5" w:rsidRDefault="00FD48CD" w:rsidP="002D6438">
            <w:pPr>
              <w:tabs>
                <w:tab w:val="left" w:pos="4200"/>
                <w:tab w:val="left" w:pos="8400"/>
              </w:tabs>
              <w:ind w:firstLineChars="0" w:firstLine="0"/>
              <w:jc w:val="left"/>
              <w:textAlignment w:val="center"/>
              <w:rPr>
                <w:rFonts w:ascii="Arial" w:eastAsia="DengXian" w:hAnsi="Arial" w:cs="Arial"/>
                <w:color w:val="4472C4"/>
                <w:sz w:val="16"/>
                <w:szCs w:val="16"/>
              </w:rPr>
            </w:pPr>
            <w:r>
              <w:rPr>
                <w:rFonts w:ascii="Arial" w:hAnsi="Arial" w:cs="Arial"/>
                <w:color w:val="4472C4" w:themeColor="accent1"/>
                <w:sz w:val="16"/>
                <w:szCs w:val="16"/>
              </w:rPr>
              <w:fldChar w:fldCharType="begin"/>
            </w:r>
            <w:r w:rsidR="00EE3C15">
              <w:rPr>
                <w:rFonts w:ascii="Arial" w:hAnsi="Arial" w:cs="Arial"/>
                <w:color w:val="4472C4" w:themeColor="accent1"/>
                <w:sz w:val="16"/>
                <w:szCs w:val="16"/>
              </w:rPr>
              <w:instrText xml:space="preserve"> ADDIN EN.CITE &lt;EndNote&gt;&lt;Cite AuthorYear="1"&gt;&lt;Author&gt;RR&amp;amp;DC2018&lt;/Author&gt;&lt;Year&gt;2020&lt;/Year&gt;&lt;RecNum&gt;221&lt;/RecNum&gt;&lt;DisplayText&gt;RR&amp;amp;DC2018 &lt;style face="superscript"&gt;73&lt;/style&gt;&lt;/DisplayText&gt;&lt;record&gt;&lt;rec-number&gt;221&lt;/rec-number&gt;&lt;foreign-keys&gt;&lt;key app="EN" db-id="st0zxxax1wfadte9s5gpaptza9tfvrzsvaxs" timestamp="1737515175" guid="ee018d35-5332-4f3d-afa0-1b13c6de2a47"&gt;221&lt;/key&gt;&lt;/foreign-keys&gt;&lt;ref-type name="Report"&gt;27&lt;/ref-type&gt;&lt;contributors&gt;&lt;authors&gt;&lt;author&gt;RR&amp;amp;DC2018&lt;/author&gt;&lt;/authors&gt;&lt;/contributors&gt;&lt;titles&gt;&lt;title&gt;Impact assessment &amp;amp; performance&lt;/title&gt;&lt;/titles&gt;&lt;keywords&gt;&lt;keyword&gt;Rural industries&lt;/keyword&gt;&lt;keyword&gt;Research and development&lt;/keyword&gt;&lt;keyword&gt;Annual report&lt;/keyword&gt;&lt;keyword&gt;Sustainability&lt;/keyword&gt;&lt;/keywords&gt;&lt;dates&gt;&lt;year&gt;2020&lt;/year&gt;&lt;/dates&gt;&lt;pub-location&gt;Australia&lt;/pub-location&gt;&lt;publisher&gt;Rural Industries Research and Development Corporation&lt;/publisher&gt;&lt;urls&gt;&lt;related-urls&gt;&lt;url&gt;https://www.transparency.gov.au/publications/agriculture/rural-industries-research-and-development-corporation/rural-industries-research-and-development-corporation-annual-report-2018-19&lt;/url&gt;&lt;/related-urls&gt;&lt;/urls&gt;&lt;/record&gt;&lt;/Cite&gt;&lt;/EndNote&gt;</w:instrText>
            </w:r>
            <w:r>
              <w:rPr>
                <w:rFonts w:ascii="Arial" w:hAnsi="Arial" w:cs="Arial"/>
                <w:color w:val="4472C4" w:themeColor="accent1"/>
                <w:sz w:val="16"/>
                <w:szCs w:val="16"/>
              </w:rPr>
              <w:fldChar w:fldCharType="separate"/>
            </w:r>
            <w:r w:rsidR="00EE3C15">
              <w:rPr>
                <w:rFonts w:ascii="Arial" w:hAnsi="Arial" w:cs="Arial"/>
                <w:noProof/>
                <w:color w:val="4472C4" w:themeColor="accent1"/>
                <w:sz w:val="16"/>
                <w:szCs w:val="16"/>
              </w:rPr>
              <w:t xml:space="preserve">RR&amp;DC2018 </w:t>
            </w:r>
            <w:r w:rsidR="00EE3C15" w:rsidRPr="00EE3C15">
              <w:rPr>
                <w:rFonts w:ascii="Arial" w:hAnsi="Arial" w:cs="Arial"/>
                <w:noProof/>
                <w:color w:val="4472C4" w:themeColor="accent1"/>
                <w:sz w:val="16"/>
                <w:szCs w:val="16"/>
                <w:vertAlign w:val="superscript"/>
              </w:rPr>
              <w:t>73</w:t>
            </w:r>
            <w:r>
              <w:rPr>
                <w:rFonts w:ascii="Arial" w:hAnsi="Arial" w:cs="Arial"/>
                <w:color w:val="4472C4" w:themeColor="accent1"/>
                <w:sz w:val="16"/>
                <w:szCs w:val="16"/>
              </w:rPr>
              <w:fldChar w:fldCharType="end"/>
            </w:r>
            <w:r>
              <w:rPr>
                <w:rFonts w:ascii="Arial" w:hAnsi="Arial" w:cs="Arial"/>
                <w:color w:val="4472C4" w:themeColor="accent1"/>
                <w:sz w:val="16"/>
                <w:szCs w:val="16"/>
              </w:rPr>
              <w:t xml:space="preserve">; </w:t>
            </w:r>
            <w:r>
              <w:rPr>
                <w:rFonts w:ascii="Arial" w:hAnsi="Arial" w:cs="Arial"/>
                <w:color w:val="4472C4" w:themeColor="accent1"/>
                <w:sz w:val="16"/>
                <w:szCs w:val="16"/>
              </w:rPr>
              <w:fldChar w:fldCharType="begin"/>
            </w:r>
            <w:r w:rsidR="007C0C3E">
              <w:rPr>
                <w:rFonts w:ascii="Arial" w:hAnsi="Arial" w:cs="Arial"/>
                <w:color w:val="4472C4" w:themeColor="accent1"/>
                <w:sz w:val="16"/>
                <w:szCs w:val="16"/>
              </w:rPr>
              <w:instrText xml:space="preserve"> ADDIN EN.CITE &lt;EndNote&gt;&lt;Cite AuthorYear="1"&gt;&lt;Author&gt;Lambert&lt;/Author&gt;&lt;Year&gt;2020&lt;/Year&gt;&lt;RecNum&gt;220&lt;/RecNum&gt;&lt;DisplayText&gt;Lambert &lt;style face="superscript"&gt;60&lt;/style&gt;&lt;/DisplayText&gt;&lt;record&gt;&lt;rec-number&gt;220&lt;/rec-number&gt;&lt;foreign-keys&gt;&lt;key app="EN" db-id="st0zxxax1wfadte9s5gpaptza9tfvrzsvaxs" timestamp="1737514891" guid="a3acca23-76b4-4f3d-8fa4-d908aa7cf2f0"&gt;220&lt;/key&gt;&lt;/foreign-keys&gt;&lt;ref-type name="Report"&gt;27&lt;/ref-type&gt;&lt;contributors&gt;&lt;authors&gt;&lt;author&gt;Lambert, Haley&lt;/author&gt;&lt;/authors&gt;&lt;/contributors&gt;&lt;auth-address&gt;haley.lambert@climateworksaustralia.org&lt;/auth-address&gt;&lt;titles&gt;&lt;title&gt;Scaling productive and regenerative agriculture&lt;/title&gt;&lt;/titles&gt;&lt;keywords&gt;&lt;keyword&gt;Land use transitions&lt;/keyword&gt;&lt;keyword&gt;Sustainable development&lt;/keyword&gt;&lt;keyword&gt;Regional adaptation&lt;/keyword&gt;&lt;keyword&gt;Climate change&lt;/keyword&gt;&lt;/keywords&gt;&lt;dates&gt;&lt;year&gt;2020&lt;/year&gt;&lt;/dates&gt;&lt;pub-location&gt;Melbourne, Victoria, Australia&lt;/pub-location&gt;&lt;publisher&gt;ClimateWorks Australia&lt;/publisher&gt;&lt;urls&gt;&lt;related-urls&gt;&lt;url&gt;www.climateworksaustralia.org/project/land-use-futures&lt;/url&gt;&lt;/related-urls&gt;&lt;/urls&gt;&lt;custom1&gt;ClimateWorks Australia, Level 27, 35 Collins Street, Melbourne Victoria 3000&lt;/custom1&gt;&lt;/record&gt;&lt;/Cite&gt;&lt;/EndNote&gt;</w:instrText>
            </w:r>
            <w:r>
              <w:rPr>
                <w:rFonts w:ascii="Arial" w:hAnsi="Arial" w:cs="Arial"/>
                <w:color w:val="4472C4" w:themeColor="accent1"/>
                <w:sz w:val="16"/>
                <w:szCs w:val="16"/>
              </w:rPr>
              <w:fldChar w:fldCharType="separate"/>
            </w:r>
            <w:r w:rsidR="007C0C3E">
              <w:rPr>
                <w:rFonts w:ascii="Arial" w:hAnsi="Arial" w:cs="Arial"/>
                <w:noProof/>
                <w:color w:val="4472C4" w:themeColor="accent1"/>
                <w:sz w:val="16"/>
                <w:szCs w:val="16"/>
              </w:rPr>
              <w:t xml:space="preserve">Lambert </w:t>
            </w:r>
            <w:r w:rsidR="007C0C3E" w:rsidRPr="007C0C3E">
              <w:rPr>
                <w:rFonts w:ascii="Arial" w:hAnsi="Arial" w:cs="Arial"/>
                <w:noProof/>
                <w:color w:val="4472C4" w:themeColor="accent1"/>
                <w:sz w:val="16"/>
                <w:szCs w:val="16"/>
                <w:vertAlign w:val="superscript"/>
              </w:rPr>
              <w:t>60</w:t>
            </w:r>
            <w:r>
              <w:rPr>
                <w:rFonts w:ascii="Arial" w:hAnsi="Arial" w:cs="Arial"/>
                <w:color w:val="4472C4" w:themeColor="accent1"/>
                <w:sz w:val="16"/>
                <w:szCs w:val="16"/>
              </w:rPr>
              <w:fldChar w:fldCharType="end"/>
            </w:r>
          </w:p>
        </w:tc>
      </w:tr>
      <w:tr w:rsidR="00FB6DA5" w14:paraId="04085798" w14:textId="77777777" w:rsidTr="00FB6DA5">
        <w:trPr>
          <w:trHeight w:val="227"/>
          <w:jc w:val="center"/>
        </w:trPr>
        <w:tc>
          <w:tcPr>
            <w:tcW w:w="2550" w:type="dxa"/>
            <w:vAlign w:val="center"/>
          </w:tcPr>
          <w:p w14:paraId="0408578E" w14:textId="77777777" w:rsidR="00FB6DA5" w:rsidRDefault="00FB6DA5" w:rsidP="002D6438">
            <w:pPr>
              <w:tabs>
                <w:tab w:val="left" w:pos="4200"/>
                <w:tab w:val="left" w:pos="8400"/>
              </w:tabs>
              <w:ind w:firstLineChars="0" w:firstLine="0"/>
              <w:jc w:val="left"/>
              <w:textAlignment w:val="center"/>
              <w:rPr>
                <w:rFonts w:ascii="Arial" w:hAnsi="Arial" w:cs="Arial"/>
                <w:sz w:val="16"/>
                <w:szCs w:val="16"/>
              </w:rPr>
            </w:pPr>
            <w:r>
              <w:rPr>
                <w:rFonts w:ascii="Arial" w:hAnsi="Arial" w:cs="Arial"/>
                <w:sz w:val="16"/>
                <w:szCs w:val="16"/>
              </w:rPr>
              <w:t>Agricultural technology (fertiliser)</w:t>
            </w:r>
          </w:p>
        </w:tc>
        <w:tc>
          <w:tcPr>
            <w:tcW w:w="1134" w:type="dxa"/>
            <w:vAlign w:val="center"/>
          </w:tcPr>
          <w:p w14:paraId="0408578F" w14:textId="77777777" w:rsidR="00FB6DA5" w:rsidRDefault="00FB6DA5" w:rsidP="002D6438">
            <w:pPr>
              <w:tabs>
                <w:tab w:val="left" w:pos="4200"/>
                <w:tab w:val="left" w:pos="8400"/>
              </w:tabs>
              <w:ind w:firstLineChars="0" w:firstLine="0"/>
              <w:jc w:val="left"/>
              <w:textAlignment w:val="center"/>
              <w:rPr>
                <w:rFonts w:ascii="Arial" w:hAnsi="Arial" w:cs="Arial"/>
                <w:sz w:val="16"/>
                <w:szCs w:val="16"/>
              </w:rPr>
            </w:pPr>
            <w:r>
              <w:rPr>
                <w:rFonts w:ascii="Arial" w:hAnsi="Arial" w:cs="Arial"/>
                <w:sz w:val="16"/>
                <w:szCs w:val="16"/>
              </w:rPr>
              <w:t>Coefficient</w:t>
            </w:r>
          </w:p>
        </w:tc>
        <w:tc>
          <w:tcPr>
            <w:tcW w:w="567" w:type="dxa"/>
            <w:vAlign w:val="center"/>
          </w:tcPr>
          <w:p w14:paraId="04085790"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992" w:type="dxa"/>
            <w:vAlign w:val="center"/>
          </w:tcPr>
          <w:p w14:paraId="04085791"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9" w:type="dxa"/>
            <w:vAlign w:val="center"/>
          </w:tcPr>
          <w:p w14:paraId="04085792"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142" w:type="dxa"/>
          </w:tcPr>
          <w:p w14:paraId="7F96F4AD"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vAlign w:val="center"/>
          </w:tcPr>
          <w:p w14:paraId="04085793" w14:textId="48B269F0"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vAlign w:val="center"/>
          </w:tcPr>
          <w:p w14:paraId="04085794"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992" w:type="dxa"/>
            <w:vAlign w:val="center"/>
          </w:tcPr>
          <w:p w14:paraId="04085795"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vAlign w:val="center"/>
          </w:tcPr>
          <w:p w14:paraId="04085796"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3827" w:type="dxa"/>
            <w:vAlign w:val="center"/>
          </w:tcPr>
          <w:p w14:paraId="04085797" w14:textId="79FEB43E" w:rsidR="00FB6DA5" w:rsidRDefault="00FD48CD" w:rsidP="002D6438">
            <w:pPr>
              <w:tabs>
                <w:tab w:val="left" w:pos="4200"/>
                <w:tab w:val="left" w:pos="8400"/>
              </w:tabs>
              <w:ind w:firstLineChars="0" w:firstLine="0"/>
              <w:jc w:val="left"/>
              <w:textAlignment w:val="center"/>
              <w:rPr>
                <w:rFonts w:ascii="Arial" w:eastAsia="DengXian" w:hAnsi="Arial" w:cs="Arial"/>
                <w:color w:val="4472C4"/>
                <w:sz w:val="16"/>
                <w:szCs w:val="16"/>
              </w:rPr>
            </w:pPr>
            <w:r>
              <w:rPr>
                <w:rFonts w:ascii="Arial" w:hAnsi="Arial" w:cs="Arial"/>
                <w:color w:val="4472C4" w:themeColor="accent1"/>
                <w:sz w:val="16"/>
                <w:szCs w:val="16"/>
              </w:rPr>
              <w:fldChar w:fldCharType="begin"/>
            </w:r>
            <w:r w:rsidR="007C0C3E">
              <w:rPr>
                <w:rFonts w:ascii="Arial" w:hAnsi="Arial" w:cs="Arial"/>
                <w:color w:val="4472C4" w:themeColor="accent1"/>
                <w:sz w:val="16"/>
                <w:szCs w:val="16"/>
              </w:rPr>
              <w:instrText xml:space="preserve"> ADDIN EN.CITE &lt;EndNote&gt;&lt;Cite AuthorYear="1"&gt;&lt;Author&gt;Mockshell&lt;/Author&gt;&lt;Year&gt;2018&lt;/Year&gt;&lt;RecNum&gt;217&lt;/RecNum&gt;&lt;DisplayText&gt;Mockshell and Kamanda &lt;style face="superscript"&gt;58&lt;/style&gt;&lt;/DisplayText&gt;&lt;record&gt;&lt;rec-number&gt;217&lt;/rec-number&gt;&lt;foreign-keys&gt;&lt;key app="EN" db-id="st0zxxax1wfadte9s5gpaptza9tfvrzsvaxs" timestamp="1737514005" guid="f28f9fa8-424c-4d4b-9817-c55eb7090960"&gt;217&lt;/key&gt;&lt;/foreign-keys&gt;&lt;ref-type name="Journal Article"&gt;17&lt;/ref-type&gt;&lt;contributors&gt;&lt;authors&gt;&lt;author&gt;Mockshell, Jonathan&lt;/author&gt;&lt;author&gt;Kamanda, Josey&lt;/author&gt;&lt;/authors&gt;&lt;/contributors&gt;&lt;titles&gt;&lt;title&gt;Beyond the agroecological and sustainable agricultural intensification debate: Is blended sustainability the way forward?&lt;/title&gt;&lt;secondary-title&gt;International Journal of Agricultural Sustainability&lt;/secondary-title&gt;&lt;/titles&gt;&lt;periodical&gt;&lt;full-title&gt;International Journal of Agricultural Sustainability&lt;/full-title&gt;&lt;/periodical&gt;&lt;pages&gt;127-149&lt;/pages&gt;&lt;volume&gt;16&lt;/volume&gt;&lt;number&gt;2&lt;/number&gt;&lt;section&gt;127&lt;/section&gt;&lt;dates&gt;&lt;year&gt;2018&lt;/year&gt;&lt;/dates&gt;&lt;isbn&gt;1473-5903&amp;#xD;1747-762X&lt;/isbn&gt;&lt;urls&gt;&lt;/urls&gt;&lt;electronic-resource-num&gt;10.1080/14735903.2018.1448047&lt;/electronic-resource-num&gt;&lt;/record&gt;&lt;/Cite&gt;&lt;/EndNote&gt;</w:instrText>
            </w:r>
            <w:r>
              <w:rPr>
                <w:rFonts w:ascii="Arial" w:hAnsi="Arial" w:cs="Arial"/>
                <w:color w:val="4472C4" w:themeColor="accent1"/>
                <w:sz w:val="16"/>
                <w:szCs w:val="16"/>
              </w:rPr>
              <w:fldChar w:fldCharType="separate"/>
            </w:r>
            <w:r w:rsidR="007C0C3E">
              <w:rPr>
                <w:rFonts w:ascii="Arial" w:hAnsi="Arial" w:cs="Arial"/>
                <w:noProof/>
                <w:color w:val="4472C4" w:themeColor="accent1"/>
                <w:sz w:val="16"/>
                <w:szCs w:val="16"/>
              </w:rPr>
              <w:t xml:space="preserve">Mockshell and Kamanda </w:t>
            </w:r>
            <w:r w:rsidR="007C0C3E" w:rsidRPr="007C0C3E">
              <w:rPr>
                <w:rFonts w:ascii="Arial" w:hAnsi="Arial" w:cs="Arial"/>
                <w:noProof/>
                <w:color w:val="4472C4" w:themeColor="accent1"/>
                <w:sz w:val="16"/>
                <w:szCs w:val="16"/>
                <w:vertAlign w:val="superscript"/>
              </w:rPr>
              <w:t>58</w:t>
            </w:r>
            <w:r>
              <w:rPr>
                <w:rFonts w:ascii="Arial" w:hAnsi="Arial" w:cs="Arial"/>
                <w:color w:val="4472C4" w:themeColor="accent1"/>
                <w:sz w:val="16"/>
                <w:szCs w:val="16"/>
              </w:rPr>
              <w:fldChar w:fldCharType="end"/>
            </w:r>
          </w:p>
        </w:tc>
      </w:tr>
      <w:tr w:rsidR="00FB6DA5" w14:paraId="040857A3" w14:textId="77777777" w:rsidTr="009469A3">
        <w:trPr>
          <w:trHeight w:val="227"/>
          <w:jc w:val="center"/>
        </w:trPr>
        <w:tc>
          <w:tcPr>
            <w:tcW w:w="2550" w:type="dxa"/>
            <w:vAlign w:val="center"/>
          </w:tcPr>
          <w:p w14:paraId="04085799" w14:textId="77777777" w:rsidR="00FB6DA5" w:rsidRDefault="00FB6DA5" w:rsidP="002D6438">
            <w:pPr>
              <w:tabs>
                <w:tab w:val="left" w:pos="4200"/>
                <w:tab w:val="left" w:pos="8400"/>
              </w:tabs>
              <w:ind w:firstLineChars="0" w:firstLine="0"/>
              <w:jc w:val="left"/>
              <w:textAlignment w:val="center"/>
              <w:rPr>
                <w:rFonts w:ascii="Arial" w:hAnsi="Arial" w:cs="Arial"/>
                <w:sz w:val="16"/>
                <w:szCs w:val="16"/>
              </w:rPr>
            </w:pPr>
            <w:r>
              <w:rPr>
                <w:rFonts w:ascii="Arial" w:hAnsi="Arial" w:cs="Arial"/>
                <w:sz w:val="16"/>
                <w:szCs w:val="16"/>
              </w:rPr>
              <w:t>Early dry-season savanna burning</w:t>
            </w:r>
          </w:p>
        </w:tc>
        <w:tc>
          <w:tcPr>
            <w:tcW w:w="1134" w:type="dxa"/>
            <w:vAlign w:val="center"/>
          </w:tcPr>
          <w:p w14:paraId="0408579A" w14:textId="77777777" w:rsidR="00FB6DA5" w:rsidRDefault="00FB6DA5" w:rsidP="002D6438">
            <w:pPr>
              <w:tabs>
                <w:tab w:val="left" w:pos="4200"/>
                <w:tab w:val="left" w:pos="8400"/>
              </w:tabs>
              <w:ind w:firstLineChars="0" w:firstLine="0"/>
              <w:jc w:val="left"/>
              <w:textAlignment w:val="center"/>
              <w:rPr>
                <w:rFonts w:ascii="Arial" w:hAnsi="Arial" w:cs="Arial"/>
                <w:sz w:val="16"/>
                <w:szCs w:val="16"/>
              </w:rPr>
            </w:pPr>
            <w:r>
              <w:rPr>
                <w:rFonts w:ascii="Arial" w:hAnsi="Arial" w:cs="Arial"/>
                <w:sz w:val="16"/>
                <w:szCs w:val="16"/>
              </w:rPr>
              <w:t>Coefficient</w:t>
            </w:r>
          </w:p>
        </w:tc>
        <w:tc>
          <w:tcPr>
            <w:tcW w:w="567" w:type="dxa"/>
            <w:vAlign w:val="center"/>
          </w:tcPr>
          <w:p w14:paraId="0408579B"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992" w:type="dxa"/>
            <w:vAlign w:val="center"/>
          </w:tcPr>
          <w:p w14:paraId="0408579C"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9" w:type="dxa"/>
            <w:vAlign w:val="center"/>
          </w:tcPr>
          <w:p w14:paraId="0408579D"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142" w:type="dxa"/>
          </w:tcPr>
          <w:p w14:paraId="7CA0D6C4"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vAlign w:val="center"/>
          </w:tcPr>
          <w:p w14:paraId="0408579E" w14:textId="24BCDE1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vAlign w:val="center"/>
          </w:tcPr>
          <w:p w14:paraId="0408579F"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992" w:type="dxa"/>
            <w:vAlign w:val="center"/>
          </w:tcPr>
          <w:p w14:paraId="040857A0"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vAlign w:val="center"/>
          </w:tcPr>
          <w:p w14:paraId="040857A1"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3827" w:type="dxa"/>
            <w:vAlign w:val="center"/>
          </w:tcPr>
          <w:p w14:paraId="040857A2" w14:textId="027A11D6" w:rsidR="00FB6DA5" w:rsidRDefault="00FD48CD" w:rsidP="002D6438">
            <w:pPr>
              <w:tabs>
                <w:tab w:val="left" w:pos="4200"/>
                <w:tab w:val="left" w:pos="8400"/>
              </w:tabs>
              <w:ind w:firstLineChars="0" w:firstLine="0"/>
              <w:jc w:val="left"/>
              <w:textAlignment w:val="center"/>
              <w:rPr>
                <w:rFonts w:ascii="Arial" w:eastAsia="DengXian" w:hAnsi="Arial" w:cs="Arial"/>
                <w:color w:val="4472C4"/>
                <w:sz w:val="16"/>
                <w:szCs w:val="16"/>
              </w:rPr>
            </w:pPr>
            <w:r>
              <w:rPr>
                <w:rFonts w:ascii="Arial" w:hAnsi="Arial" w:cs="Arial"/>
                <w:noProof/>
                <w:color w:val="4472C4" w:themeColor="accent1"/>
                <w:sz w:val="16"/>
                <w:szCs w:val="16"/>
              </w:rPr>
              <w:fldChar w:fldCharType="begin">
                <w:fldData xml:space="preserve">PEVuZE5vdGU+PENpdGUgQXV0aG9yWWVhcj0iMSI+PEF1dGhvcj5FZHdhcmRzPC9BdXRob3I+PFll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</w:fldData>
              </w:fldChar>
            </w:r>
            <w:r>
              <w:rPr>
                <w:rFonts w:ascii="Arial" w:hAnsi="Arial" w:cs="Arial"/>
                <w:noProof/>
                <w:color w:val="4472C4" w:themeColor="accent1"/>
                <w:sz w:val="16"/>
                <w:szCs w:val="16"/>
              </w:rPr>
              <w:instrText xml:space="preserve"> ADDIN EN.CITE </w:instrText>
            </w:r>
            <w:r>
              <w:rPr>
                <w:rFonts w:ascii="Arial" w:hAnsi="Arial" w:cs="Arial"/>
                <w:noProof/>
                <w:color w:val="4472C4" w:themeColor="accent1"/>
                <w:sz w:val="16"/>
                <w:szCs w:val="16"/>
              </w:rPr>
              <w:fldChar w:fldCharType="begin">
                <w:fldData xml:space="preserve">PEVuZE5vdGU+PENpdGUgQXV0aG9yWWVhcj0iMSI+PEF1dGhvcj5FZHdhcmRzPC9BdXRob3I+PFll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</w:fldData>
              </w:fldChar>
            </w:r>
            <w:r>
              <w:rPr>
                <w:rFonts w:ascii="Arial" w:hAnsi="Arial" w:cs="Arial"/>
                <w:noProof/>
                <w:color w:val="4472C4" w:themeColor="accent1"/>
                <w:sz w:val="16"/>
                <w:szCs w:val="16"/>
              </w:rPr>
              <w:instrText xml:space="preserve"> ADDIN EN.CITE.DATA </w:instrText>
            </w:r>
            <w:r>
              <w:rPr>
                <w:rFonts w:ascii="Arial" w:hAnsi="Arial" w:cs="Arial"/>
                <w:noProof/>
                <w:color w:val="4472C4" w:themeColor="accent1"/>
                <w:sz w:val="16"/>
                <w:szCs w:val="16"/>
              </w:rPr>
            </w:r>
            <w:r>
              <w:rPr>
                <w:rFonts w:ascii="Arial" w:hAnsi="Arial" w:cs="Arial"/>
                <w:noProof/>
                <w:color w:val="4472C4" w:themeColor="accent1"/>
                <w:sz w:val="16"/>
                <w:szCs w:val="16"/>
              </w:rPr>
              <w:fldChar w:fldCharType="end"/>
            </w:r>
            <w:r>
              <w:rPr>
                <w:rFonts w:ascii="Arial" w:hAnsi="Arial" w:cs="Arial"/>
                <w:noProof/>
                <w:color w:val="4472C4" w:themeColor="accent1"/>
                <w:sz w:val="16"/>
                <w:szCs w:val="16"/>
              </w:rPr>
            </w:r>
            <w:r>
              <w:rPr>
                <w:rFonts w:ascii="Arial" w:hAnsi="Arial" w:cs="Arial"/>
                <w:noProof/>
                <w:color w:val="4472C4" w:themeColor="accent1"/>
                <w:sz w:val="16"/>
                <w:szCs w:val="16"/>
              </w:rPr>
              <w:fldChar w:fldCharType="separate"/>
            </w:r>
            <w:r>
              <w:rPr>
                <w:rFonts w:ascii="Arial" w:hAnsi="Arial" w:cs="Arial"/>
                <w:noProof/>
                <w:color w:val="4472C4" w:themeColor="accent1"/>
                <w:sz w:val="16"/>
                <w:szCs w:val="16"/>
              </w:rPr>
              <w:t xml:space="preserve">Edwards, et al. </w:t>
            </w:r>
            <w:r>
              <w:rPr>
                <w:rFonts w:ascii="Arial" w:hAnsi="Arial" w:cs="Arial"/>
                <w:noProof/>
                <w:color w:val="4472C4" w:themeColor="accent1"/>
                <w:sz w:val="16"/>
                <w:szCs w:val="16"/>
                <w:vertAlign w:val="superscript"/>
              </w:rPr>
              <w:t>10</w:t>
            </w:r>
            <w:r>
              <w:rPr>
                <w:rFonts w:ascii="Arial" w:hAnsi="Arial" w:cs="Arial"/>
                <w:noProof/>
                <w:color w:val="4472C4" w:themeColor="accent1"/>
                <w:sz w:val="16"/>
                <w:szCs w:val="16"/>
              </w:rPr>
              <w:fldChar w:fldCharType="end"/>
            </w:r>
            <w:r>
              <w:rPr>
                <w:rFonts w:ascii="Arial" w:hAnsi="Arial" w:cs="Arial"/>
                <w:noProof/>
                <w:color w:val="4472C4" w:themeColor="accent1"/>
                <w:sz w:val="16"/>
                <w:szCs w:val="16"/>
              </w:rPr>
              <w:t xml:space="preserve">; </w:t>
            </w:r>
            <w:r>
              <w:rPr>
                <w:rFonts w:ascii="Arial" w:hAnsi="Arial" w:cs="Arial"/>
                <w:noProof/>
                <w:color w:val="4472C4" w:themeColor="accent1"/>
                <w:sz w:val="16"/>
                <w:szCs w:val="16"/>
              </w:rPr>
              <w:fldChar w:fldCharType="begin"/>
            </w:r>
            <w:r>
              <w:rPr>
                <w:rFonts w:ascii="Arial" w:hAnsi="Arial" w:cs="Arial"/>
                <w:noProof/>
                <w:color w:val="4472C4" w:themeColor="accent1"/>
                <w:sz w:val="16"/>
                <w:szCs w:val="16"/>
              </w:rPr>
              <w:instrText xml:space="preserve"> ADDIN EN.CITE &lt;EndNote&gt;&lt;Cite AuthorYear="1"&gt;&lt;Author&gt;Runting&lt;/Author&gt;&lt;Year&gt;2024&lt;/Year&gt;&lt;RecNum&gt;185&lt;/RecNum&gt;&lt;DisplayText&gt;Runting, et al. &lt;style face="superscript"&gt;11&lt;/style&gt;&lt;/DisplayText&gt;&lt;record&gt;&lt;rec-number&gt;185&lt;/rec-number&gt;&lt;foreign-keys&gt;&lt;key app="EN" db-id="st0zxxax1wfadte9s5gpaptza9tfvrzsvaxs" timestamp="1722507892" guid="876d4233-5f2a-4ab8-ac17-67eb87140044"&gt;185&lt;/key&gt;&lt;/foreign-keys&gt;&lt;ref-type name="Journal Article"&gt;17&lt;/ref-type&gt;&lt;contributors&gt;&lt;authors&gt;&lt;author&gt;Runting, Rebecca K.&lt;/author&gt;&lt;author&gt;King, Darran&lt;/author&gt;&lt;author&gt;Nolan, Martin&lt;/author&gt;&lt;author&gt;Navarro, Javier&lt;/author&gt;&lt;author&gt;Marcos-Martinez, Raymundo&lt;/author&gt;&lt;author&gt;Rhodes, Jonathan R.&lt;/author&gt;&lt;author&gt;Gao, Lei&lt;/author&gt;&lt;author&gt;Watson, Ian&lt;/author&gt;&lt;author&gt;Ash, Andrew&lt;/author&gt;&lt;author&gt;Reside, April E.&lt;/author&gt;&lt;author&gt;Álvarez-Romero, Jorge G.&lt;/author&gt;&lt;author&gt;Wells, Jessie A.&lt;/author&gt;&lt;author&gt;Ritchie, Euan G.&lt;/author&gt;&lt;author&gt;Hadjikakou, Michalis&lt;/author&gt;&lt;author&gt;Driscoll, Don A.&lt;/author&gt;&lt;author&gt;Connor, Jeffery D.&lt;/author&gt;&lt;author&gt;Garber, Jonathan&lt;/author&gt;&lt;author&gt;Bryan, Brett A.&lt;/author&gt;&lt;/authors&gt;&lt;/contributors&gt;&lt;titles&gt;&lt;title&gt;Balancing production and environmental outcomes in Australia’s tropical savanna under global change&lt;/title&gt;&lt;secondary-title&gt;Environmental Research Letters&lt;/secondary-title&gt;&lt;/titles&gt;&lt;periodical&gt;&lt;full-title&gt;Environmental Research Letters&lt;/full-title&gt;&lt;abbr-1&gt;Environ. Res. Lett.&lt;/abbr-1&gt;&lt;/periodical&gt;&lt;volume&gt;19&lt;/volume&gt;&lt;number&gt;10&lt;/number&gt;&lt;section&gt;104014&lt;/section&gt;&lt;keywords&gt;&lt;keyword&gt;climate change&lt;/keyword&gt;&lt;keyword&gt;Ecosystem Services&lt;/keyword&gt;&lt;keyword&gt;global change&lt;/keyword&gt;&lt;keyword&gt;carbon&lt;/keyword&gt;&lt;keyword&gt;rangelands&lt;/keyword&gt;&lt;keyword&gt;savanna&lt;/keyword&gt;&lt;keyword&gt;Northern Australia&lt;/keyword&gt;&lt;keyword&gt;grazing&lt;/keyword&gt;&lt;keyword&gt;beef&lt;/keyword&gt;&lt;keyword&gt;fire&lt;/keyword&gt;&lt;/keywords&gt;&lt;dates&gt;&lt;year&gt;2024&lt;/year&gt;&lt;pub-dates&gt;&lt;date&gt;02/10&lt;/date&gt;&lt;/pub-dates&gt;&lt;/dates&gt;&lt;isbn&gt;1748-9326&lt;/isbn&gt;&lt;urls&gt;&lt;related-urls&gt;&lt;url&gt;https://doi.org/10.32942/X2603M&lt;/url&gt;&lt;/related-urls&gt;&lt;/urls&gt;&lt;electronic-resource-num&gt;10.1088/1748-9326/ad6f2d&lt;/electronic-resource-num&gt;&lt;/record&gt;&lt;/Cite&gt;&lt;/EndNote&gt;</w:instrText>
            </w:r>
            <w:r>
              <w:rPr>
                <w:rFonts w:ascii="Arial" w:hAnsi="Arial" w:cs="Arial"/>
                <w:noProof/>
                <w:color w:val="4472C4" w:themeColor="accent1"/>
                <w:sz w:val="16"/>
                <w:szCs w:val="16"/>
              </w:rPr>
              <w:fldChar w:fldCharType="separate"/>
            </w:r>
            <w:r>
              <w:rPr>
                <w:rFonts w:ascii="Arial" w:hAnsi="Arial" w:cs="Arial"/>
                <w:noProof/>
                <w:color w:val="4472C4" w:themeColor="accent1"/>
                <w:sz w:val="16"/>
                <w:szCs w:val="16"/>
              </w:rPr>
              <w:t xml:space="preserve">Runting, et al. </w:t>
            </w:r>
            <w:r>
              <w:rPr>
                <w:rFonts w:ascii="Arial" w:hAnsi="Arial" w:cs="Arial"/>
                <w:noProof/>
                <w:color w:val="4472C4" w:themeColor="accent1"/>
                <w:sz w:val="16"/>
                <w:szCs w:val="16"/>
                <w:vertAlign w:val="superscript"/>
              </w:rPr>
              <w:t>11</w:t>
            </w:r>
            <w:r>
              <w:rPr>
                <w:rFonts w:ascii="Arial" w:hAnsi="Arial" w:cs="Arial"/>
                <w:noProof/>
                <w:color w:val="4472C4" w:themeColor="accent1"/>
                <w:sz w:val="16"/>
                <w:szCs w:val="16"/>
              </w:rPr>
              <w:fldChar w:fldCharType="end"/>
            </w:r>
          </w:p>
        </w:tc>
      </w:tr>
      <w:tr w:rsidR="00FB6DA5" w14:paraId="040857AE" w14:textId="77777777" w:rsidTr="009469A3">
        <w:trPr>
          <w:trHeight w:val="227"/>
          <w:jc w:val="center"/>
        </w:trPr>
        <w:tc>
          <w:tcPr>
            <w:tcW w:w="2550" w:type="dxa"/>
            <w:vAlign w:val="center"/>
          </w:tcPr>
          <w:p w14:paraId="040857A4"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Biochar</w:t>
            </w:r>
          </w:p>
        </w:tc>
        <w:tc>
          <w:tcPr>
            <w:tcW w:w="1134" w:type="dxa"/>
            <w:vAlign w:val="center"/>
          </w:tcPr>
          <w:p w14:paraId="040857A5" w14:textId="77777777" w:rsidR="00FB6DA5" w:rsidRDefault="00FB6DA5" w:rsidP="002D6438">
            <w:pPr>
              <w:tabs>
                <w:tab w:val="left" w:pos="4200"/>
                <w:tab w:val="left" w:pos="8400"/>
              </w:tabs>
              <w:ind w:firstLineChars="0" w:firstLine="0"/>
              <w:jc w:val="left"/>
              <w:textAlignment w:val="center"/>
              <w:rPr>
                <w:rFonts w:ascii="Arial" w:hAnsi="Arial" w:cs="Arial"/>
                <w:sz w:val="16"/>
                <w:szCs w:val="16"/>
              </w:rPr>
            </w:pPr>
            <w:r>
              <w:rPr>
                <w:rFonts w:ascii="Arial" w:hAnsi="Arial" w:cs="Arial"/>
                <w:sz w:val="16"/>
                <w:szCs w:val="16"/>
              </w:rPr>
              <w:t>Coefficient</w:t>
            </w:r>
          </w:p>
        </w:tc>
        <w:tc>
          <w:tcPr>
            <w:tcW w:w="567" w:type="dxa"/>
            <w:vAlign w:val="center"/>
          </w:tcPr>
          <w:p w14:paraId="040857A6"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vAlign w:val="center"/>
          </w:tcPr>
          <w:p w14:paraId="040857A7"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569" w:type="dxa"/>
            <w:vAlign w:val="center"/>
          </w:tcPr>
          <w:p w14:paraId="040857A8"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142" w:type="dxa"/>
          </w:tcPr>
          <w:p w14:paraId="36783E77"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vAlign w:val="center"/>
          </w:tcPr>
          <w:p w14:paraId="040857A9" w14:textId="42A45C5D"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vAlign w:val="center"/>
          </w:tcPr>
          <w:p w14:paraId="040857AA"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992" w:type="dxa"/>
            <w:vAlign w:val="center"/>
          </w:tcPr>
          <w:p w14:paraId="040857AB"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vAlign w:val="center"/>
          </w:tcPr>
          <w:p w14:paraId="040857AC"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3827" w:type="dxa"/>
            <w:vAlign w:val="center"/>
          </w:tcPr>
          <w:p w14:paraId="040857AD" w14:textId="32D314F7" w:rsidR="00FB6DA5" w:rsidRDefault="00FD48CD" w:rsidP="002D6438">
            <w:pPr>
              <w:tabs>
                <w:tab w:val="left" w:pos="4200"/>
                <w:tab w:val="left" w:pos="8400"/>
              </w:tabs>
              <w:ind w:firstLineChars="0" w:firstLine="0"/>
              <w:jc w:val="left"/>
              <w:textAlignment w:val="center"/>
              <w:rPr>
                <w:rFonts w:ascii="Arial" w:eastAsia="DengXian" w:hAnsi="Arial" w:cs="Arial"/>
                <w:color w:val="4472C4"/>
                <w:sz w:val="16"/>
                <w:szCs w:val="16"/>
              </w:rPr>
            </w:pPr>
            <w:r>
              <w:rPr>
                <w:rFonts w:ascii="Arial" w:hAnsi="Arial" w:cs="Arial"/>
                <w:color w:val="4472C4" w:themeColor="accent1"/>
                <w:sz w:val="16"/>
                <w:szCs w:val="16"/>
              </w:rPr>
              <w:fldChar w:fldCharType="begin"/>
            </w:r>
            <w:r w:rsidR="00EE3C15">
              <w:rPr>
                <w:rFonts w:ascii="Arial" w:hAnsi="Arial" w:cs="Arial"/>
                <w:color w:val="4472C4" w:themeColor="accent1"/>
                <w:sz w:val="16"/>
                <w:szCs w:val="16"/>
              </w:rPr>
              <w:instrText xml:space="preserve"> ADDIN EN.CITE &lt;EndNote&gt;&lt;Cite AuthorYear="1"&gt;&lt;Author&gt;Fitch&lt;/Author&gt;&lt;Year&gt;2022&lt;/Year&gt;&lt;RecNum&gt;205&lt;/RecNum&gt;&lt;DisplayText&gt;Fitch, et al. &lt;style face="superscript"&gt;74&lt;/style&gt;&lt;/DisplayText&gt;&lt;record&gt;&lt;rec-number&gt;205&lt;/rec-number&gt;&lt;foreign-keys&gt;&lt;key app="EN" db-id="st0zxxax1wfadte9s5gpaptza9tfvrzsvaxs" timestamp="1731557166" guid="b558ca32-fe44-4ffb-9f37-082bab95b2b0"&gt;205&lt;/key&gt;&lt;/foreign-keys&gt;&lt;ref-type name="Report"&gt;27&lt;/ref-type&gt;&lt;contributors&gt;&lt;authors&gt;&lt;author&gt;Fitch, Peter&lt;/author&gt;&lt;author&gt;Battaglia, Michael&lt;/author&gt;&lt;author&gt;Lenton, Andrew&lt;/author&gt;&lt;author&gt;Feron, Paul&lt;/author&gt;&lt;author&gt;Gao, Lei&lt;/author&gt;&lt;author&gt;Mei, Yuan&lt;/author&gt;&lt;author&gt;Hortle, Allison&lt;/author&gt;&lt;author&gt;MacDonald, Lynne&lt;/author&gt;&lt;author&gt;Pearce, Mark&lt;/author&gt;&lt;author&gt;Occhipinti, Sandra&lt;/author&gt;&lt;author&gt;Roxburgh, Stephen&lt;/author&gt;&lt;author&gt;Steven, Andy&lt;/author&gt;&lt;/authors&gt;&lt;/contributors&gt;&lt;titles&gt;&lt;title&gt;Australia’s sequestration potential&lt;/title&gt;&lt;/titles&gt;&lt;dates&gt;&lt;year&gt;2022&lt;/year&gt;&lt;/dates&gt;&lt;pub-location&gt;Commonwealth Scientific and Industrial Research Organisation&lt;/pub-location&gt;&lt;publisher&gt;CSIRO&lt;/publisher&gt;&lt;urls&gt;&lt;/urls&gt;&lt;/record&gt;&lt;/Cite&gt;&lt;/EndNote&gt;</w:instrText>
            </w:r>
            <w:r>
              <w:rPr>
                <w:rFonts w:ascii="Arial" w:hAnsi="Arial" w:cs="Arial"/>
                <w:color w:val="4472C4" w:themeColor="accent1"/>
                <w:sz w:val="16"/>
                <w:szCs w:val="16"/>
              </w:rPr>
              <w:fldChar w:fldCharType="separate"/>
            </w:r>
            <w:r w:rsidR="00EE3C15">
              <w:rPr>
                <w:rFonts w:ascii="Arial" w:hAnsi="Arial" w:cs="Arial"/>
                <w:noProof/>
                <w:color w:val="4472C4" w:themeColor="accent1"/>
                <w:sz w:val="16"/>
                <w:szCs w:val="16"/>
              </w:rPr>
              <w:t xml:space="preserve">Fitch, et al. </w:t>
            </w:r>
            <w:r w:rsidR="00EE3C15" w:rsidRPr="00EE3C15">
              <w:rPr>
                <w:rFonts w:ascii="Arial" w:hAnsi="Arial" w:cs="Arial"/>
                <w:noProof/>
                <w:color w:val="4472C4" w:themeColor="accent1"/>
                <w:sz w:val="16"/>
                <w:szCs w:val="16"/>
                <w:vertAlign w:val="superscript"/>
              </w:rPr>
              <w:t>74</w:t>
            </w:r>
            <w:r>
              <w:rPr>
                <w:rFonts w:ascii="Arial" w:hAnsi="Arial" w:cs="Arial"/>
                <w:color w:val="4472C4" w:themeColor="accent1"/>
                <w:sz w:val="16"/>
                <w:szCs w:val="16"/>
              </w:rPr>
              <w:fldChar w:fldCharType="end"/>
            </w:r>
            <w:r>
              <w:rPr>
                <w:rFonts w:ascii="Arial" w:hAnsi="Arial" w:cs="Arial"/>
                <w:color w:val="4472C4" w:themeColor="accent1"/>
                <w:sz w:val="16"/>
                <w:szCs w:val="16"/>
              </w:rPr>
              <w:t xml:space="preserve">; </w:t>
            </w:r>
            <w:r>
              <w:rPr>
                <w:rFonts w:ascii="Arial" w:hAnsi="Arial" w:cs="Arial"/>
                <w:color w:val="4472C4" w:themeColor="accent1"/>
                <w:sz w:val="16"/>
                <w:szCs w:val="16"/>
              </w:rPr>
              <w:fldChar w:fldCharType="begin"/>
            </w:r>
            <w:r w:rsidR="007C0C3E">
              <w:rPr>
                <w:rFonts w:ascii="Arial" w:hAnsi="Arial" w:cs="Arial"/>
                <w:color w:val="4472C4" w:themeColor="accent1"/>
                <w:sz w:val="16"/>
                <w:szCs w:val="16"/>
              </w:rPr>
              <w:instrText xml:space="preserve"> ADDIN EN.CITE &lt;EndNote&gt;&lt;Cite AuthorYear="1"&gt;&lt;Author&gt;Ye&lt;/Author&gt;&lt;Year&gt;2019&lt;/Year&gt;&lt;RecNum&gt;206&lt;/RecNum&gt;&lt;DisplayText&gt;Ye, et al. &lt;style face="superscript"&gt;65&lt;/style&gt;&lt;/DisplayText&gt;&lt;record&gt;&lt;rec-number&gt;206&lt;/rec-number&gt;&lt;foreign-keys&gt;&lt;key app="EN" db-id="st0zxxax1wfadte9s5gpaptza9tfvrzsvaxs" timestamp="1731557277" guid="45ad7202-0bac-4435-b36c-7e0697244936"&gt;206&lt;/key&gt;&lt;/foreign-keys&gt;&lt;ref-type name="Journal Article"&gt;17&lt;/ref-type&gt;&lt;contributors&gt;&lt;authors&gt;&lt;author&gt;Ye, Lili&lt;/author&gt;&lt;author&gt;Camps</w:instrText>
            </w:r>
            <w:r w:rsidR="007C0C3E">
              <w:rPr>
                <w:rFonts w:ascii="Cambria Math" w:hAnsi="Cambria Math" w:cs="Cambria Math"/>
                <w:color w:val="4472C4" w:themeColor="accent1"/>
                <w:sz w:val="16"/>
                <w:szCs w:val="16"/>
              </w:rPr>
              <w:instrText>‐</w:instrText>
            </w:r>
            <w:r w:rsidR="007C0C3E">
              <w:rPr>
                <w:rFonts w:ascii="Arial" w:hAnsi="Arial" w:cs="Arial"/>
                <w:color w:val="4472C4" w:themeColor="accent1"/>
                <w:sz w:val="16"/>
                <w:szCs w:val="16"/>
              </w:rPr>
              <w:instrText>Arbestain, Marta&lt;/author&gt;&lt;author&gt;Shen, Qinhua&lt;/author&gt;&lt;author&gt;Lehmann, Johannes&lt;/author&gt;&lt;author&gt;Singh, Balwant&lt;/author&gt;&lt;author&gt;Sabir, Muhammad&lt;/author&gt;&lt;author&gt;Condron, Leo M.&lt;/author&gt;&lt;/authors&gt;&lt;/contributors&gt;&lt;titles&gt;&lt;title&gt;Biochar effects on crop yields with and without fertilizer: A meta</w:instrText>
            </w:r>
            <w:r w:rsidR="007C0C3E">
              <w:rPr>
                <w:rFonts w:ascii="Cambria Math" w:hAnsi="Cambria Math" w:cs="Cambria Math"/>
                <w:color w:val="4472C4" w:themeColor="accent1"/>
                <w:sz w:val="16"/>
                <w:szCs w:val="16"/>
              </w:rPr>
              <w:instrText>‐</w:instrText>
            </w:r>
            <w:r w:rsidR="007C0C3E">
              <w:rPr>
                <w:rFonts w:ascii="Arial" w:hAnsi="Arial" w:cs="Arial"/>
                <w:color w:val="4472C4" w:themeColor="accent1"/>
                <w:sz w:val="16"/>
                <w:szCs w:val="16"/>
              </w:rPr>
              <w:instrText>analysis of field studies using separate controls&lt;/title&gt;&lt;secondary-title&gt;Soil Use and Management&lt;/secondary-title&gt;&lt;/titles&gt;&lt;periodical&gt;&lt;full-title&gt;Soil Use and Management&lt;/full-title&gt;&lt;/periodical&gt;&lt;pages&gt;2-18&lt;/pages&gt;&lt;volume&gt;36&lt;/volume&gt;&lt;number&gt;1&lt;/number&gt;&lt;section&gt;2&lt;/section&gt;&lt;dates&gt;&lt;year&gt;2019&lt;/year&gt;&lt;/dates&gt;&lt;isbn&gt;0266-0032&amp;#xD;1475-2743&lt;/isbn&gt;&lt;urls&gt;&lt;/urls&gt;&lt;electronic-resource-num&gt;10.1111/sum.12546&lt;/electronic-resource-num&gt;&lt;/record&gt;&lt;/Cite&gt;&lt;/EndNote&gt;</w:instrText>
            </w:r>
            <w:r>
              <w:rPr>
                <w:rFonts w:ascii="Arial" w:hAnsi="Arial" w:cs="Arial"/>
                <w:color w:val="4472C4" w:themeColor="accent1"/>
                <w:sz w:val="16"/>
                <w:szCs w:val="16"/>
              </w:rPr>
              <w:fldChar w:fldCharType="separate"/>
            </w:r>
            <w:r w:rsidR="007C0C3E">
              <w:rPr>
                <w:rFonts w:ascii="Arial" w:hAnsi="Arial" w:cs="Arial"/>
                <w:noProof/>
                <w:color w:val="4472C4" w:themeColor="accent1"/>
                <w:sz w:val="16"/>
                <w:szCs w:val="16"/>
              </w:rPr>
              <w:t xml:space="preserve">Ye, et al. </w:t>
            </w:r>
            <w:r w:rsidR="007C0C3E" w:rsidRPr="007C0C3E">
              <w:rPr>
                <w:rFonts w:ascii="Arial" w:hAnsi="Arial" w:cs="Arial"/>
                <w:noProof/>
                <w:color w:val="4472C4" w:themeColor="accent1"/>
                <w:sz w:val="16"/>
                <w:szCs w:val="16"/>
                <w:vertAlign w:val="superscript"/>
              </w:rPr>
              <w:t>65</w:t>
            </w:r>
            <w:r>
              <w:rPr>
                <w:rFonts w:ascii="Arial" w:hAnsi="Arial" w:cs="Arial"/>
                <w:color w:val="4472C4" w:themeColor="accent1"/>
                <w:sz w:val="16"/>
                <w:szCs w:val="16"/>
              </w:rPr>
              <w:fldChar w:fldCharType="end"/>
            </w:r>
            <w:r>
              <w:rPr>
                <w:rFonts w:ascii="Arial" w:hAnsi="Arial" w:cs="Arial"/>
                <w:color w:val="4472C4" w:themeColor="accent1"/>
                <w:sz w:val="16"/>
                <w:szCs w:val="16"/>
              </w:rPr>
              <w:t xml:space="preserve">; </w:t>
            </w:r>
            <w:r>
              <w:rPr>
                <w:rFonts w:ascii="Arial" w:hAnsi="Arial" w:cs="Arial"/>
                <w:color w:val="4472C4" w:themeColor="accent1"/>
                <w:sz w:val="16"/>
                <w:szCs w:val="16"/>
              </w:rPr>
              <w:fldChar w:fldCharType="begin"/>
            </w:r>
            <w:r w:rsidR="00EE3C15">
              <w:rPr>
                <w:rFonts w:ascii="Arial" w:hAnsi="Arial" w:cs="Arial"/>
                <w:color w:val="4472C4" w:themeColor="accent1"/>
                <w:sz w:val="16"/>
                <w:szCs w:val="16"/>
              </w:rPr>
              <w:instrText xml:space="preserve"> ADDIN EN.CITE &lt;EndNote&gt;&lt;Cite AuthorYear="1"&gt;&lt;Author&gt;Jiang&lt;/Author&gt;&lt;Year&gt;2024&lt;/Year&gt;&lt;RecNum&gt;207&lt;/RecNum&gt;&lt;DisplayText&gt;Jiang, et al. &lt;style face="superscript"&gt;75&lt;/style&gt;&lt;/DisplayText&gt;&lt;record&gt;&lt;rec-number&gt;207&lt;/rec-number&gt;&lt;foreign-keys&gt;&lt;key app="EN" db-id="st0zxxax1wfadte9s5gpaptza9tfvrzsvaxs" timestamp="1731557473" guid="6d951a8c-ed62-4816-b8f4-636e4e91338e"&gt;207&lt;/key&gt;&lt;/foreign-keys&gt;&lt;ref-type name="Journal Article"&gt;17&lt;/ref-type&gt;&lt;contributors&gt;&lt;authors&gt;&lt;author&gt;Jiang, Fuchang&lt;/author&gt;&lt;author&gt;Li, Yi&lt;/author&gt;&lt;author&gt;Jia, Yonglin&lt;/author&gt;&lt;author&gt;Li, Liwei&lt;/author&gt;&lt;author&gt;Guan, Ronghao&lt;/author&gt;&lt;author&gt;Biswas, Asim&lt;/author&gt;&lt;/authors&gt;&lt;/contributors&gt;&lt;titles&gt;&lt;title&gt;Compound effects of biochar application and irrigation on soil water and temperature transport&lt;/title&gt;&lt;secondary-title&gt;Frontiers in Sustainable Food Systems&lt;/secondary-title&gt;&lt;/titles&gt;&lt;periodical&gt;&lt;full-title&gt;Frontiers in Sustainable Food Systems&lt;/full-title&gt;&lt;/periodical&gt;&lt;volume&gt;8&lt;/volume&gt;&lt;dates&gt;&lt;year&gt;2024&lt;/year&gt;&lt;/dates&gt;&lt;isbn&gt;2571-581X&lt;/isbn&gt;&lt;urls&gt;&lt;/urls&gt;&lt;electronic-resource-num&gt;10.3389/fsufs.2024.1480991&lt;/electronic-resource-num&gt;&lt;/record&gt;&lt;/Cite&gt;&lt;/EndNote&gt;</w:instrText>
            </w:r>
            <w:r>
              <w:rPr>
                <w:rFonts w:ascii="Arial" w:hAnsi="Arial" w:cs="Arial"/>
                <w:color w:val="4472C4" w:themeColor="accent1"/>
                <w:sz w:val="16"/>
                <w:szCs w:val="16"/>
              </w:rPr>
              <w:fldChar w:fldCharType="separate"/>
            </w:r>
            <w:r w:rsidR="00EE3C15">
              <w:rPr>
                <w:rFonts w:ascii="Arial" w:hAnsi="Arial" w:cs="Arial"/>
                <w:noProof/>
                <w:color w:val="4472C4" w:themeColor="accent1"/>
                <w:sz w:val="16"/>
                <w:szCs w:val="16"/>
              </w:rPr>
              <w:t xml:space="preserve">Jiang, et al. </w:t>
            </w:r>
            <w:r w:rsidR="00EE3C15" w:rsidRPr="00EE3C15">
              <w:rPr>
                <w:rFonts w:ascii="Arial" w:hAnsi="Arial" w:cs="Arial"/>
                <w:noProof/>
                <w:color w:val="4472C4" w:themeColor="accent1"/>
                <w:sz w:val="16"/>
                <w:szCs w:val="16"/>
                <w:vertAlign w:val="superscript"/>
              </w:rPr>
              <w:t>75</w:t>
            </w:r>
            <w:r>
              <w:rPr>
                <w:rFonts w:ascii="Arial" w:hAnsi="Arial" w:cs="Arial"/>
                <w:color w:val="4472C4" w:themeColor="accent1"/>
                <w:sz w:val="16"/>
                <w:szCs w:val="16"/>
              </w:rPr>
              <w:fldChar w:fldCharType="end"/>
            </w:r>
            <w:r>
              <w:rPr>
                <w:rFonts w:ascii="Arial" w:hAnsi="Arial" w:cs="Arial"/>
                <w:color w:val="4472C4" w:themeColor="accent1"/>
                <w:sz w:val="16"/>
                <w:szCs w:val="16"/>
              </w:rPr>
              <w:t xml:space="preserve">; </w:t>
            </w:r>
            <w:r>
              <w:rPr>
                <w:rFonts w:ascii="Arial" w:hAnsi="Arial" w:cs="Arial"/>
                <w:color w:val="4472C4" w:themeColor="accent1"/>
                <w:sz w:val="16"/>
                <w:szCs w:val="16"/>
              </w:rPr>
              <w:fldChar w:fldCharType="begin"/>
            </w:r>
            <w:r w:rsidR="00EE3C15">
              <w:rPr>
                <w:rFonts w:ascii="Arial" w:hAnsi="Arial" w:cs="Arial"/>
                <w:color w:val="4472C4" w:themeColor="accent1"/>
                <w:sz w:val="16"/>
                <w:szCs w:val="16"/>
              </w:rPr>
              <w:instrText xml:space="preserve"> ADDIN EN.CITE &lt;EndNote&gt;&lt;Cite AuthorYear="1"&gt;&lt;Author&gt;Li&lt;/Author&gt;&lt;Year&gt;2023&lt;/Year&gt;&lt;RecNum&gt;208&lt;/RecNum&gt;&lt;DisplayText&gt;Li and Tasnady &lt;style face="superscript"&gt;76&lt;/style&gt;&lt;/DisplayText&gt;&lt;record&gt;&lt;rec-number&gt;208&lt;/rec-number&gt;&lt;foreign-keys&gt;&lt;key app="EN" db-id="st0zxxax1wfadte9s5gpaptza9tfvrzsvaxs" timestamp="1731557564" guid="08595664-6398-4349-9137-9ef90d12a83f"&gt;208&lt;/key&gt;&lt;/foreign-keys&gt;&lt;ref-type name="Journal Article"&gt;17&lt;/ref-type&gt;&lt;contributors&gt;&lt;authors&gt;&lt;author&gt;Li, Simeng&lt;/author&gt;&lt;author&gt;Tasnady, Desarae&lt;/author&gt;&lt;/authors&gt;&lt;/contributors&gt;&lt;titles&gt;&lt;title&gt;Biochar for Soil Carbon Sequestration: Current Knowledge, Mechanisms, and Future Perspectives&lt;/title&gt;&lt;secondary-title&gt;C&lt;/secondary-title&gt;&lt;/titles&gt;&lt;periodical&gt;&lt;full-title&gt;C&lt;/full-title&gt;&lt;/periodical&gt;&lt;volume&gt;9&lt;/volume&gt;&lt;number&gt;3&lt;/number&gt;&lt;section&gt;67&lt;/section&gt;&lt;dates&gt;&lt;year&gt;2023&lt;/year&gt;&lt;/dates&gt;&lt;isbn&gt;2311-5629&lt;/isbn&gt;&lt;urls&gt;&lt;/urls&gt;&lt;electronic-resource-num&gt;10.3390/c9030067&lt;/electronic-resource-num&gt;&lt;/record&gt;&lt;/Cite&gt;&lt;/EndNote&gt;</w:instrText>
            </w:r>
            <w:r>
              <w:rPr>
                <w:rFonts w:ascii="Arial" w:hAnsi="Arial" w:cs="Arial"/>
                <w:color w:val="4472C4" w:themeColor="accent1"/>
                <w:sz w:val="16"/>
                <w:szCs w:val="16"/>
              </w:rPr>
              <w:fldChar w:fldCharType="separate"/>
            </w:r>
            <w:r w:rsidR="00EE3C15">
              <w:rPr>
                <w:rFonts w:ascii="Arial" w:hAnsi="Arial" w:cs="Arial"/>
                <w:noProof/>
                <w:color w:val="4472C4" w:themeColor="accent1"/>
                <w:sz w:val="16"/>
                <w:szCs w:val="16"/>
              </w:rPr>
              <w:t xml:space="preserve">Li and Tasnady </w:t>
            </w:r>
            <w:r w:rsidR="00EE3C15" w:rsidRPr="00EE3C15">
              <w:rPr>
                <w:rFonts w:ascii="Arial" w:hAnsi="Arial" w:cs="Arial"/>
                <w:noProof/>
                <w:color w:val="4472C4" w:themeColor="accent1"/>
                <w:sz w:val="16"/>
                <w:szCs w:val="16"/>
                <w:vertAlign w:val="superscript"/>
              </w:rPr>
              <w:t>76</w:t>
            </w:r>
            <w:r>
              <w:rPr>
                <w:rFonts w:ascii="Arial" w:hAnsi="Arial" w:cs="Arial"/>
                <w:color w:val="4472C4" w:themeColor="accent1"/>
                <w:sz w:val="16"/>
                <w:szCs w:val="16"/>
              </w:rPr>
              <w:fldChar w:fldCharType="end"/>
            </w:r>
            <w:r>
              <w:rPr>
                <w:rFonts w:ascii="Arial" w:hAnsi="Arial" w:cs="Arial"/>
                <w:color w:val="4472C4" w:themeColor="accent1"/>
                <w:sz w:val="16"/>
                <w:szCs w:val="16"/>
              </w:rPr>
              <w:t xml:space="preserve">; </w:t>
            </w:r>
            <w:r>
              <w:rPr>
                <w:rFonts w:ascii="Arial" w:hAnsi="Arial" w:cs="Arial"/>
                <w:color w:val="4472C4" w:themeColor="accent1"/>
                <w:sz w:val="16"/>
                <w:szCs w:val="16"/>
              </w:rPr>
              <w:fldChar w:fldCharType="begin">
                <w:fldData xml:space="preserve">PEVuZE5vdGU+PENpdGUgQXV0aG9yWWVhcj0iMSI+PEF1dGhvcj5XZWk8L0F1dGhvcj48WWVhcj4y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</w:fldData>
              </w:fldChar>
            </w:r>
            <w:r w:rsidR="00EE3C15">
              <w:rPr>
                <w:rFonts w:ascii="Arial" w:hAnsi="Arial" w:cs="Arial"/>
                <w:color w:val="4472C4" w:themeColor="accent1"/>
                <w:sz w:val="16"/>
                <w:szCs w:val="16"/>
              </w:rPr>
              <w:instrText xml:space="preserve"> ADDIN EN.CITE </w:instrText>
            </w:r>
            <w:r w:rsidR="00EE3C15">
              <w:rPr>
                <w:rFonts w:ascii="Arial" w:hAnsi="Arial" w:cs="Arial"/>
                <w:color w:val="4472C4" w:themeColor="accent1"/>
                <w:sz w:val="16"/>
                <w:szCs w:val="16"/>
              </w:rPr>
              <w:fldChar w:fldCharType="begin">
                <w:fldData xml:space="preserve">PEVuZE5vdGU+PENpdGUgQXV0aG9yWWVhcj0iMSI+PEF1dGhvcj5XZWk8L0F1dGhvcj48WWVhcj4y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</w:fldData>
              </w:fldChar>
            </w:r>
            <w:r w:rsidR="00EE3C15">
              <w:rPr>
                <w:rFonts w:ascii="Arial" w:hAnsi="Arial" w:cs="Arial"/>
                <w:color w:val="4472C4" w:themeColor="accent1"/>
                <w:sz w:val="16"/>
                <w:szCs w:val="16"/>
              </w:rPr>
              <w:instrText xml:space="preserve"> ADDIN EN.CITE.DATA </w:instrText>
            </w:r>
            <w:r w:rsidR="00EE3C15">
              <w:rPr>
                <w:rFonts w:ascii="Arial" w:hAnsi="Arial" w:cs="Arial"/>
                <w:color w:val="4472C4" w:themeColor="accent1"/>
                <w:sz w:val="16"/>
                <w:szCs w:val="16"/>
              </w:rPr>
            </w:r>
            <w:r w:rsidR="00EE3C15">
              <w:rPr>
                <w:rFonts w:ascii="Arial" w:hAnsi="Arial" w:cs="Arial"/>
                <w:color w:val="4472C4" w:themeColor="accent1"/>
                <w:sz w:val="16"/>
                <w:szCs w:val="16"/>
              </w:rPr>
              <w:fldChar w:fldCharType="end"/>
            </w:r>
            <w:r>
              <w:rPr>
                <w:rFonts w:ascii="Arial" w:hAnsi="Arial" w:cs="Arial"/>
                <w:color w:val="4472C4" w:themeColor="accent1"/>
                <w:sz w:val="16"/>
                <w:szCs w:val="16"/>
              </w:rPr>
            </w:r>
            <w:r>
              <w:rPr>
                <w:rFonts w:ascii="Arial" w:hAnsi="Arial" w:cs="Arial"/>
                <w:color w:val="4472C4" w:themeColor="accent1"/>
                <w:sz w:val="16"/>
                <w:szCs w:val="16"/>
              </w:rPr>
              <w:fldChar w:fldCharType="separate"/>
            </w:r>
            <w:r w:rsidR="00EE3C15">
              <w:rPr>
                <w:rFonts w:ascii="Arial" w:hAnsi="Arial" w:cs="Arial"/>
                <w:noProof/>
                <w:color w:val="4472C4" w:themeColor="accent1"/>
                <w:sz w:val="16"/>
                <w:szCs w:val="16"/>
              </w:rPr>
              <w:t xml:space="preserve">Wei, et al. </w:t>
            </w:r>
            <w:r w:rsidR="00EE3C15" w:rsidRPr="00EE3C15">
              <w:rPr>
                <w:rFonts w:ascii="Arial" w:hAnsi="Arial" w:cs="Arial"/>
                <w:noProof/>
                <w:color w:val="4472C4" w:themeColor="accent1"/>
                <w:sz w:val="16"/>
                <w:szCs w:val="16"/>
                <w:vertAlign w:val="superscript"/>
              </w:rPr>
              <w:t>77</w:t>
            </w:r>
            <w:r>
              <w:rPr>
                <w:rFonts w:ascii="Arial" w:hAnsi="Arial" w:cs="Arial"/>
                <w:color w:val="4472C4" w:themeColor="accent1"/>
                <w:sz w:val="16"/>
                <w:szCs w:val="16"/>
              </w:rPr>
              <w:fldChar w:fldCharType="end"/>
            </w:r>
          </w:p>
        </w:tc>
      </w:tr>
      <w:tr w:rsidR="00FB6DA5" w14:paraId="0E9D395D" w14:textId="77777777" w:rsidTr="009469A3">
        <w:trPr>
          <w:trHeight w:val="227"/>
          <w:jc w:val="center"/>
        </w:trPr>
        <w:tc>
          <w:tcPr>
            <w:tcW w:w="2550" w:type="dxa"/>
            <w:tcBorders>
              <w:bottom w:val="single" w:sz="12" w:space="0" w:color="000000"/>
            </w:tcBorders>
            <w:vAlign w:val="center"/>
          </w:tcPr>
          <w:p w14:paraId="75A341EC" w14:textId="77777777" w:rsidR="00FB6DA5" w:rsidRDefault="00FB6DA5" w:rsidP="002D6438">
            <w:pPr>
              <w:tabs>
                <w:tab w:val="left" w:pos="4200"/>
                <w:tab w:val="left" w:pos="8400"/>
              </w:tabs>
              <w:ind w:firstLineChars="0" w:firstLine="0"/>
              <w:jc w:val="left"/>
              <w:textAlignment w:val="center"/>
              <w:rPr>
                <w:rFonts w:ascii="Arial" w:eastAsia="DengXian" w:hAnsi="Arial" w:cs="Arial"/>
                <w:sz w:val="16"/>
                <w:szCs w:val="16"/>
              </w:rPr>
            </w:pPr>
            <w:r>
              <w:rPr>
                <w:rFonts w:ascii="Arial" w:hAnsi="Arial" w:cs="Arial"/>
                <w:sz w:val="16"/>
                <w:szCs w:val="16"/>
              </w:rPr>
              <w:t>Regenerative agriculture (livestock)</w:t>
            </w:r>
          </w:p>
        </w:tc>
        <w:tc>
          <w:tcPr>
            <w:tcW w:w="1134" w:type="dxa"/>
            <w:tcBorders>
              <w:bottom w:val="single" w:sz="12" w:space="0" w:color="000000"/>
            </w:tcBorders>
            <w:vAlign w:val="center"/>
          </w:tcPr>
          <w:p w14:paraId="1324EFC7" w14:textId="77777777" w:rsidR="00FB6DA5" w:rsidRDefault="00FB6DA5" w:rsidP="002D6438">
            <w:pPr>
              <w:tabs>
                <w:tab w:val="left" w:pos="4200"/>
                <w:tab w:val="left" w:pos="8400"/>
              </w:tabs>
              <w:ind w:firstLineChars="0" w:firstLine="0"/>
              <w:jc w:val="left"/>
              <w:textAlignment w:val="center"/>
              <w:rPr>
                <w:rFonts w:ascii="Arial" w:hAnsi="Arial" w:cs="Arial"/>
                <w:sz w:val="16"/>
                <w:szCs w:val="16"/>
              </w:rPr>
            </w:pPr>
            <w:r>
              <w:rPr>
                <w:rFonts w:ascii="Arial" w:hAnsi="Arial" w:cs="Arial"/>
                <w:sz w:val="16"/>
                <w:szCs w:val="16"/>
              </w:rPr>
              <w:t>Coefficient</w:t>
            </w:r>
          </w:p>
        </w:tc>
        <w:tc>
          <w:tcPr>
            <w:tcW w:w="567" w:type="dxa"/>
            <w:tcBorders>
              <w:bottom w:val="single" w:sz="12" w:space="0" w:color="000000"/>
            </w:tcBorders>
            <w:vAlign w:val="center"/>
          </w:tcPr>
          <w:p w14:paraId="0B0F4E22"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992" w:type="dxa"/>
            <w:tcBorders>
              <w:bottom w:val="single" w:sz="12" w:space="0" w:color="000000"/>
            </w:tcBorders>
            <w:vAlign w:val="center"/>
          </w:tcPr>
          <w:p w14:paraId="6535219A"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569" w:type="dxa"/>
            <w:tcBorders>
              <w:bottom w:val="single" w:sz="12" w:space="0" w:color="000000"/>
            </w:tcBorders>
            <w:vAlign w:val="center"/>
          </w:tcPr>
          <w:p w14:paraId="4256F413"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142" w:type="dxa"/>
            <w:tcBorders>
              <w:bottom w:val="single" w:sz="12" w:space="0" w:color="000000"/>
            </w:tcBorders>
          </w:tcPr>
          <w:p w14:paraId="1CDE62A8"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p>
        </w:tc>
        <w:tc>
          <w:tcPr>
            <w:tcW w:w="850" w:type="dxa"/>
            <w:tcBorders>
              <w:bottom w:val="single" w:sz="12" w:space="0" w:color="000000"/>
            </w:tcBorders>
            <w:vAlign w:val="center"/>
          </w:tcPr>
          <w:p w14:paraId="1A7B9423"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426" w:type="dxa"/>
            <w:tcBorders>
              <w:bottom w:val="single" w:sz="12" w:space="0" w:color="000000"/>
            </w:tcBorders>
            <w:vAlign w:val="center"/>
          </w:tcPr>
          <w:p w14:paraId="11EEB2AC" w14:textId="77777777" w:rsidR="00FB6DA5" w:rsidRDefault="00FB6DA5" w:rsidP="002D6438">
            <w:pPr>
              <w:tabs>
                <w:tab w:val="left" w:pos="4200"/>
                <w:tab w:val="left" w:pos="8400"/>
              </w:tabs>
              <w:ind w:firstLineChars="0" w:firstLine="0"/>
              <w:jc w:val="center"/>
              <w:textAlignment w:val="center"/>
              <w:rPr>
                <w:rFonts w:ascii="Arial" w:hAnsi="Arial" w:cs="Arial"/>
                <w:sz w:val="16"/>
                <w:szCs w:val="16"/>
              </w:rPr>
            </w:pPr>
            <w:r>
              <w:rPr>
                <w:rFonts w:ascii="Arial" w:hAnsi="Arial" w:cs="Arial"/>
                <w:sz w:val="16"/>
                <w:szCs w:val="16"/>
              </w:rPr>
              <w:t>✓</w:t>
            </w:r>
          </w:p>
        </w:tc>
        <w:tc>
          <w:tcPr>
            <w:tcW w:w="992" w:type="dxa"/>
            <w:tcBorders>
              <w:bottom w:val="single" w:sz="12" w:space="0" w:color="000000"/>
            </w:tcBorders>
            <w:vAlign w:val="center"/>
          </w:tcPr>
          <w:p w14:paraId="0D492D8E"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567" w:type="dxa"/>
            <w:tcBorders>
              <w:bottom w:val="single" w:sz="12" w:space="0" w:color="000000"/>
            </w:tcBorders>
            <w:vAlign w:val="center"/>
          </w:tcPr>
          <w:p w14:paraId="4B65557C" w14:textId="77777777" w:rsidR="00FB6DA5" w:rsidRDefault="00FB6DA5" w:rsidP="002D6438">
            <w:pPr>
              <w:tabs>
                <w:tab w:val="left" w:pos="4200"/>
                <w:tab w:val="left" w:pos="8400"/>
              </w:tabs>
              <w:ind w:firstLineChars="0" w:firstLine="0"/>
              <w:jc w:val="center"/>
              <w:textAlignment w:val="center"/>
              <w:rPr>
                <w:rFonts w:ascii="Arial" w:eastAsia="DengXian" w:hAnsi="Arial" w:cs="Arial"/>
                <w:sz w:val="16"/>
                <w:szCs w:val="16"/>
              </w:rPr>
            </w:pPr>
            <w:r>
              <w:rPr>
                <w:rFonts w:ascii="Arial" w:hAnsi="Arial" w:cs="Arial"/>
                <w:sz w:val="16"/>
                <w:szCs w:val="16"/>
              </w:rPr>
              <w:t>✓</w:t>
            </w:r>
          </w:p>
        </w:tc>
        <w:tc>
          <w:tcPr>
            <w:tcW w:w="3827" w:type="dxa"/>
            <w:tcBorders>
              <w:bottom w:val="single" w:sz="12" w:space="0" w:color="000000"/>
            </w:tcBorders>
            <w:vAlign w:val="center"/>
          </w:tcPr>
          <w:p w14:paraId="098D5908" w14:textId="49438C7B" w:rsidR="00FB6DA5" w:rsidRDefault="00EF0FA1" w:rsidP="002D6438">
            <w:pPr>
              <w:tabs>
                <w:tab w:val="left" w:pos="4200"/>
                <w:tab w:val="left" w:pos="8400"/>
              </w:tabs>
              <w:ind w:firstLineChars="0" w:firstLine="0"/>
              <w:jc w:val="left"/>
              <w:textAlignment w:val="center"/>
              <w:rPr>
                <w:rFonts w:ascii="Arial" w:eastAsia="DengXian" w:hAnsi="Arial" w:cs="Arial"/>
                <w:color w:val="4472C4"/>
                <w:sz w:val="16"/>
                <w:szCs w:val="16"/>
              </w:rPr>
            </w:pPr>
            <w:r w:rsidRPr="00EF0FA1">
              <w:rPr>
                <w:rFonts w:ascii="Arial" w:eastAsia="DengXian" w:hAnsi="Arial" w:cs="Arial"/>
                <w:color w:val="4472C4"/>
                <w:sz w:val="16"/>
                <w:szCs w:val="16"/>
              </w:rPr>
              <w:t>Johnson</w:t>
            </w:r>
            <w:r w:rsidR="00EF7AA1">
              <w:rPr>
                <w:rFonts w:ascii="Arial" w:eastAsia="DengXian" w:hAnsi="Arial" w:cs="Arial"/>
                <w:color w:val="4472C4"/>
                <w:sz w:val="16"/>
                <w:szCs w:val="16"/>
              </w:rPr>
              <w:fldChar w:fldCharType="begin">
                <w:fldData xml:space="preserve">PEVuZE5vdGU+PENpdGU+PEF1dGhvcj5Kb2huc29uPC9BdXRob3I+PFllYXI+MjAyMjwvWWVhcj48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</w:fldData>
              </w:fldChar>
            </w:r>
            <w:r w:rsidR="00EE3C15">
              <w:rPr>
                <w:rFonts w:ascii="Arial" w:eastAsia="DengXian" w:hAnsi="Arial" w:cs="Arial"/>
                <w:color w:val="4472C4"/>
                <w:sz w:val="16"/>
                <w:szCs w:val="16"/>
              </w:rPr>
              <w:instrText xml:space="preserve"> ADDIN EN.CITE </w:instrText>
            </w:r>
            <w:r w:rsidR="00EE3C15">
              <w:rPr>
                <w:rFonts w:ascii="Arial" w:eastAsia="DengXian" w:hAnsi="Arial" w:cs="Arial"/>
                <w:color w:val="4472C4"/>
                <w:sz w:val="16"/>
                <w:szCs w:val="16"/>
              </w:rPr>
              <w:fldChar w:fldCharType="begin">
                <w:fldData xml:space="preserve">PEVuZE5vdGU+PENpdGU+PEF1dGhvcj5Kb2huc29uPC9BdXRob3I+PFllYXI+MjAyMjwvWWVhcj48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</w:fldData>
              </w:fldChar>
            </w:r>
            <w:r w:rsidR="00EE3C15">
              <w:rPr>
                <w:rFonts w:ascii="Arial" w:eastAsia="DengXian" w:hAnsi="Arial" w:cs="Arial"/>
                <w:color w:val="4472C4"/>
                <w:sz w:val="16"/>
                <w:szCs w:val="16"/>
              </w:rPr>
              <w:instrText xml:space="preserve"> ADDIN EN.CITE.DATA </w:instrText>
            </w:r>
            <w:r w:rsidR="00EE3C15">
              <w:rPr>
                <w:rFonts w:ascii="Arial" w:eastAsia="DengXian" w:hAnsi="Arial" w:cs="Arial"/>
                <w:color w:val="4472C4"/>
                <w:sz w:val="16"/>
                <w:szCs w:val="16"/>
              </w:rPr>
            </w:r>
            <w:r w:rsidR="00EE3C15">
              <w:rPr>
                <w:rFonts w:ascii="Arial" w:eastAsia="DengXian" w:hAnsi="Arial" w:cs="Arial"/>
                <w:color w:val="4472C4"/>
                <w:sz w:val="16"/>
                <w:szCs w:val="16"/>
              </w:rPr>
              <w:fldChar w:fldCharType="end"/>
            </w:r>
            <w:r w:rsidR="00EF7AA1">
              <w:rPr>
                <w:rFonts w:ascii="Arial" w:eastAsia="DengXian" w:hAnsi="Arial" w:cs="Arial"/>
                <w:color w:val="4472C4"/>
                <w:sz w:val="16"/>
                <w:szCs w:val="16"/>
              </w:rPr>
            </w:r>
            <w:r w:rsidR="00EF7AA1">
              <w:rPr>
                <w:rFonts w:ascii="Arial" w:eastAsia="DengXian" w:hAnsi="Arial" w:cs="Arial"/>
                <w:color w:val="4472C4"/>
                <w:sz w:val="16"/>
                <w:szCs w:val="16"/>
              </w:rPr>
              <w:fldChar w:fldCharType="separate"/>
            </w:r>
            <w:r w:rsidR="00EE3C15" w:rsidRPr="00EE3C15">
              <w:rPr>
                <w:rFonts w:ascii="Arial" w:eastAsia="DengXian" w:hAnsi="Arial" w:cs="Arial"/>
                <w:noProof/>
                <w:color w:val="4472C4"/>
                <w:sz w:val="16"/>
                <w:szCs w:val="16"/>
                <w:vertAlign w:val="superscript"/>
              </w:rPr>
              <w:t>78</w:t>
            </w:r>
            <w:r w:rsidR="00EF7AA1">
              <w:rPr>
                <w:rFonts w:ascii="Arial" w:eastAsia="DengXian" w:hAnsi="Arial" w:cs="Arial"/>
                <w:color w:val="4472C4"/>
                <w:sz w:val="16"/>
                <w:szCs w:val="16"/>
              </w:rPr>
              <w:fldChar w:fldCharType="end"/>
            </w:r>
            <w:r>
              <w:rPr>
                <w:rFonts w:ascii="Arial" w:eastAsia="DengXian" w:hAnsi="Arial" w:cs="Arial" w:hint="eastAsia"/>
                <w:color w:val="4472C4"/>
                <w:sz w:val="16"/>
                <w:szCs w:val="16"/>
              </w:rPr>
              <w:t xml:space="preserve">, </w:t>
            </w:r>
            <w:r w:rsidR="00AE03AB">
              <w:rPr>
                <w:rFonts w:ascii="Arial" w:eastAsia="DengXian" w:hAnsi="Arial" w:cs="Arial"/>
                <w:color w:val="4472C4"/>
                <w:sz w:val="16"/>
                <w:szCs w:val="16"/>
              </w:rPr>
              <w:t>Mosier</w:t>
            </w:r>
            <w:r w:rsidR="00AE03AB">
              <w:rPr>
                <w:rFonts w:ascii="Arial" w:eastAsia="DengXian" w:hAnsi="Arial" w:cs="Arial"/>
                <w:color w:val="4472C4"/>
                <w:sz w:val="16"/>
                <w:szCs w:val="16"/>
              </w:rPr>
              <w:fldChar w:fldCharType="begin">
                <w:fldData xml:space="preserve">PEVuZE5vdGU+PENpdGU+PEF1dGhvcj5Nb3NpZXI8L0F1dGhvcj48WWVhcj4yMDIxPC9ZZWFyPjxS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=
</w:fldData>
              </w:fldChar>
            </w:r>
            <w:r w:rsidR="00EE3C15">
              <w:rPr>
                <w:rFonts w:ascii="Arial" w:eastAsia="DengXian" w:hAnsi="Arial" w:cs="Arial"/>
                <w:color w:val="4472C4"/>
                <w:sz w:val="16"/>
                <w:szCs w:val="16"/>
              </w:rPr>
              <w:instrText xml:space="preserve"> ADDIN EN.CITE </w:instrText>
            </w:r>
            <w:r w:rsidR="00EE3C15">
              <w:rPr>
                <w:rFonts w:ascii="Arial" w:eastAsia="DengXian" w:hAnsi="Arial" w:cs="Arial"/>
                <w:color w:val="4472C4"/>
                <w:sz w:val="16"/>
                <w:szCs w:val="16"/>
              </w:rPr>
              <w:fldChar w:fldCharType="begin">
                <w:fldData xml:space="preserve">PEVuZE5vdGU+PENpdGU+PEF1dGhvcj5Nb3NpZXI8L0F1dGhvcj48WWVhcj4yMDIxPC9ZZWFyPjxS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=
</w:fldData>
              </w:fldChar>
            </w:r>
            <w:r w:rsidR="00EE3C15">
              <w:rPr>
                <w:rFonts w:ascii="Arial" w:eastAsia="DengXian" w:hAnsi="Arial" w:cs="Arial"/>
                <w:color w:val="4472C4"/>
                <w:sz w:val="16"/>
                <w:szCs w:val="16"/>
              </w:rPr>
              <w:instrText xml:space="preserve"> ADDIN EN.CITE.DATA </w:instrText>
            </w:r>
            <w:r w:rsidR="00EE3C15">
              <w:rPr>
                <w:rFonts w:ascii="Arial" w:eastAsia="DengXian" w:hAnsi="Arial" w:cs="Arial"/>
                <w:color w:val="4472C4"/>
                <w:sz w:val="16"/>
                <w:szCs w:val="16"/>
              </w:rPr>
            </w:r>
            <w:r w:rsidR="00EE3C15">
              <w:rPr>
                <w:rFonts w:ascii="Arial" w:eastAsia="DengXian" w:hAnsi="Arial" w:cs="Arial"/>
                <w:color w:val="4472C4"/>
                <w:sz w:val="16"/>
                <w:szCs w:val="16"/>
              </w:rPr>
              <w:fldChar w:fldCharType="end"/>
            </w:r>
            <w:r w:rsidR="00AE03AB">
              <w:rPr>
                <w:rFonts w:ascii="Arial" w:eastAsia="DengXian" w:hAnsi="Arial" w:cs="Arial"/>
                <w:color w:val="4472C4"/>
                <w:sz w:val="16"/>
                <w:szCs w:val="16"/>
              </w:rPr>
            </w:r>
            <w:r w:rsidR="00AE03AB">
              <w:rPr>
                <w:rFonts w:ascii="Arial" w:eastAsia="DengXian" w:hAnsi="Arial" w:cs="Arial"/>
                <w:color w:val="4472C4"/>
                <w:sz w:val="16"/>
                <w:szCs w:val="16"/>
              </w:rPr>
              <w:fldChar w:fldCharType="separate"/>
            </w:r>
            <w:r w:rsidR="00EE3C15" w:rsidRPr="00EE3C15">
              <w:rPr>
                <w:rFonts w:ascii="Arial" w:eastAsia="DengXian" w:hAnsi="Arial" w:cs="Arial"/>
                <w:noProof/>
                <w:color w:val="4472C4"/>
                <w:sz w:val="16"/>
                <w:szCs w:val="16"/>
                <w:vertAlign w:val="superscript"/>
              </w:rPr>
              <w:t>69</w:t>
            </w:r>
            <w:r w:rsidR="00AE03AB">
              <w:rPr>
                <w:rFonts w:ascii="Arial" w:eastAsia="DengXian" w:hAnsi="Arial" w:cs="Arial"/>
                <w:color w:val="4472C4"/>
                <w:sz w:val="16"/>
                <w:szCs w:val="16"/>
              </w:rPr>
              <w:fldChar w:fldCharType="end"/>
            </w:r>
          </w:p>
        </w:tc>
      </w:tr>
    </w:tbl>
    <w:p w14:paraId="040857AF" w14:textId="77777777" w:rsidR="002A1696" w:rsidRDefault="002A1696">
      <w:pPr>
        <w:ind w:firstLine="420"/>
        <w:sectPr w:rsidR="002A1696">
          <w:pgSz w:w="16838" w:h="11906" w:orient="landscape"/>
          <w:pgMar w:top="1800" w:right="1440" w:bottom="1800" w:left="1440" w:header="0" w:footer="0" w:gutter="0"/>
          <w:cols w:space="720"/>
          <w:formProt w:val="0"/>
          <w:docGrid w:type="lines" w:linePitch="326"/>
        </w:sectPr>
      </w:pPr>
    </w:p>
    <w:p w14:paraId="040857B0" w14:textId="10470BBC" w:rsidR="002A1696" w:rsidRDefault="00D27809">
      <w:pPr>
        <w:pStyle w:val="afe"/>
        <w:keepNext/>
        <w:keepLines/>
      </w:pPr>
      <w:r>
        <w:rPr>
          <w:b/>
          <w:bCs/>
        </w:rPr>
        <w:lastRenderedPageBreak/>
        <w:t>Table S</w:t>
      </w:r>
      <w:r>
        <w:rPr>
          <w:b/>
          <w:bCs/>
        </w:rPr>
        <w:fldChar w:fldCharType="begin"/>
      </w:r>
      <w:r>
        <w:rPr>
          <w:b/>
          <w:bCs/>
        </w:rPr>
        <w:instrText xml:space="preserve"> SEQ Table_S \* ARABIC </w:instrText>
      </w:r>
      <w:r>
        <w:rPr>
          <w:b/>
          <w:bCs/>
        </w:rPr>
        <w:fldChar w:fldCharType="separate"/>
      </w:r>
      <w:r>
        <w:rPr>
          <w:b/>
          <w:bCs/>
          <w:noProof/>
        </w:rPr>
        <w:t>7</w:t>
      </w:r>
      <w:r>
        <w:rPr>
          <w:b/>
          <w:bCs/>
        </w:rPr>
        <w:fldChar w:fldCharType="end"/>
      </w:r>
      <w:r>
        <w:rPr>
          <w:rFonts w:hint="eastAsia"/>
          <w:b/>
          <w:bCs/>
        </w:rPr>
        <w:t>.</w:t>
      </w:r>
      <w:r>
        <w:t xml:space="preserve"> </w:t>
      </w:r>
      <w:r>
        <w:rPr>
          <w:b/>
          <w:bCs/>
        </w:rPr>
        <w:t>Primary data sources used to quantify the time-varying input parameters of the four Ag2050 scenarios.</w:t>
      </w:r>
    </w:p>
    <w:tbl>
      <w:tblPr>
        <w:tblW w:w="8315" w:type="dxa"/>
        <w:tblLayout w:type="fixed"/>
        <w:tblCellMar>
          <w:top w:w="60" w:type="dxa"/>
          <w:left w:w="90" w:type="dxa"/>
          <w:bottom w:w="60" w:type="dxa"/>
          <w:right w:w="90" w:type="dxa"/>
        </w:tblCellMar>
        <w:tblLook w:val="04A0" w:firstRow="1" w:lastRow="0" w:firstColumn="1" w:lastColumn="0" w:noHBand="0" w:noVBand="1"/>
      </w:tblPr>
      <w:tblGrid>
        <w:gridCol w:w="2268"/>
        <w:gridCol w:w="3827"/>
        <w:gridCol w:w="2220"/>
      </w:tblGrid>
      <w:tr w:rsidR="002A1696" w:rsidRPr="00415FB9" w14:paraId="040857B4" w14:textId="77777777">
        <w:trPr>
          <w:cantSplit/>
          <w:trHeight w:val="245"/>
        </w:trPr>
        <w:tc>
          <w:tcPr>
            <w:tcW w:w="2268" w:type="dxa"/>
            <w:tcBorders>
              <w:top w:val="single" w:sz="12" w:space="0" w:color="000000"/>
              <w:bottom w:val="single" w:sz="6" w:space="0" w:color="000000"/>
            </w:tcBorders>
          </w:tcPr>
          <w:p w14:paraId="040857B1" w14:textId="77777777" w:rsidR="002A1696" w:rsidRPr="00415FB9" w:rsidRDefault="00C30874">
            <w:pPr>
              <w:pStyle w:val="afe"/>
              <w:keepNext/>
              <w:keepLines/>
              <w:rPr>
                <w:rFonts w:ascii="Arial" w:hAnsi="Arial" w:cs="Arial"/>
                <w:sz w:val="18"/>
                <w:szCs w:val="18"/>
              </w:rPr>
            </w:pPr>
            <w:r>
              <w:rPr>
                <w:rFonts w:ascii="Arial" w:hAnsi="Arial" w:cs="Arial"/>
                <w:sz w:val="18"/>
                <w:szCs w:val="18"/>
              </w:rPr>
              <w:t>Parameter</w:t>
            </w:r>
          </w:p>
        </w:tc>
        <w:tc>
          <w:tcPr>
            <w:tcW w:w="3827" w:type="dxa"/>
            <w:tcBorders>
              <w:top w:val="single" w:sz="12" w:space="0" w:color="000000"/>
              <w:bottom w:val="single" w:sz="6" w:space="0" w:color="000000"/>
            </w:tcBorders>
          </w:tcPr>
          <w:p w14:paraId="040857B2" w14:textId="77777777" w:rsidR="002A1696" w:rsidRPr="00415FB9" w:rsidRDefault="00C30874">
            <w:pPr>
              <w:pStyle w:val="afe"/>
              <w:keepNext/>
              <w:keepLines/>
              <w:rPr>
                <w:rFonts w:ascii="Arial" w:hAnsi="Arial" w:cs="Arial"/>
                <w:sz w:val="18"/>
                <w:szCs w:val="18"/>
              </w:rPr>
            </w:pPr>
            <w:r>
              <w:rPr>
                <w:rFonts w:ascii="Arial" w:hAnsi="Arial" w:cs="Arial"/>
                <w:sz w:val="18"/>
                <w:szCs w:val="18"/>
              </w:rPr>
              <w:t>Data source</w:t>
            </w:r>
          </w:p>
        </w:tc>
        <w:tc>
          <w:tcPr>
            <w:tcW w:w="2220" w:type="dxa"/>
            <w:tcBorders>
              <w:top w:val="single" w:sz="12" w:space="0" w:color="000000"/>
              <w:bottom w:val="single" w:sz="6" w:space="0" w:color="000000"/>
            </w:tcBorders>
          </w:tcPr>
          <w:p w14:paraId="040857B3" w14:textId="77777777" w:rsidR="002A1696" w:rsidRPr="00415FB9" w:rsidRDefault="00C30874">
            <w:pPr>
              <w:pStyle w:val="afe"/>
              <w:keepNext/>
              <w:keepLines/>
              <w:rPr>
                <w:rFonts w:ascii="Arial" w:hAnsi="Arial" w:cs="Arial"/>
                <w:sz w:val="18"/>
                <w:szCs w:val="18"/>
              </w:rPr>
            </w:pPr>
            <w:r>
              <w:rPr>
                <w:rFonts w:ascii="Arial" w:hAnsi="Arial" w:cs="Arial"/>
                <w:sz w:val="18"/>
                <w:szCs w:val="18"/>
              </w:rPr>
              <w:t>Reference</w:t>
            </w:r>
          </w:p>
        </w:tc>
      </w:tr>
      <w:tr w:rsidR="002A1696" w:rsidRPr="00415FB9" w14:paraId="040857B8" w14:textId="77777777">
        <w:trPr>
          <w:cantSplit/>
          <w:trHeight w:val="234"/>
        </w:trPr>
        <w:tc>
          <w:tcPr>
            <w:tcW w:w="2268" w:type="dxa"/>
            <w:tcBorders>
              <w:top w:val="single" w:sz="6" w:space="0" w:color="000000"/>
            </w:tcBorders>
          </w:tcPr>
          <w:p w14:paraId="040857B5" w14:textId="77777777" w:rsidR="002A1696" w:rsidRPr="00415FB9" w:rsidRDefault="00C30874">
            <w:pPr>
              <w:pStyle w:val="afe"/>
              <w:keepNext/>
              <w:keepLines/>
              <w:rPr>
                <w:rFonts w:ascii="Arial" w:hAnsi="Arial" w:cs="Arial"/>
                <w:sz w:val="18"/>
                <w:szCs w:val="18"/>
              </w:rPr>
            </w:pPr>
            <w:r>
              <w:rPr>
                <w:rFonts w:ascii="Arial" w:hAnsi="Arial" w:cs="Arial"/>
                <w:sz w:val="18"/>
                <w:szCs w:val="18"/>
              </w:rPr>
              <w:t>Agricultural productivity</w:t>
            </w:r>
          </w:p>
        </w:tc>
        <w:tc>
          <w:tcPr>
            <w:tcW w:w="3827" w:type="dxa"/>
            <w:tcBorders>
              <w:top w:val="single" w:sz="6" w:space="0" w:color="000000"/>
            </w:tcBorders>
          </w:tcPr>
          <w:p w14:paraId="040857B6" w14:textId="77777777" w:rsidR="002A1696" w:rsidRPr="00415FB9" w:rsidRDefault="00C30874">
            <w:pPr>
              <w:pStyle w:val="afe"/>
              <w:keepNext/>
              <w:keepLines/>
              <w:rPr>
                <w:rFonts w:ascii="Arial" w:hAnsi="Arial" w:cs="Arial"/>
                <w:sz w:val="18"/>
                <w:szCs w:val="18"/>
              </w:rPr>
            </w:pPr>
            <w:r>
              <w:rPr>
                <w:rFonts w:ascii="Arial" w:hAnsi="Arial" w:cs="Arial"/>
                <w:sz w:val="18"/>
                <w:szCs w:val="18"/>
              </w:rPr>
              <w:t>Broadacre and dairy farm productivity estimates</w:t>
            </w:r>
          </w:p>
        </w:tc>
        <w:tc>
          <w:tcPr>
            <w:tcW w:w="2220" w:type="dxa"/>
            <w:tcBorders>
              <w:top w:val="single" w:sz="6" w:space="0" w:color="000000"/>
            </w:tcBorders>
          </w:tcPr>
          <w:p w14:paraId="040857B7" w14:textId="4DCDE956" w:rsidR="002A1696" w:rsidRPr="00415FB9" w:rsidRDefault="00FD48CD">
            <w:pPr>
              <w:pStyle w:val="afe"/>
              <w:keepNext/>
              <w:keepLines/>
              <w:rPr>
                <w:rFonts w:ascii="Arial" w:hAnsi="Arial" w:cs="Arial"/>
                <w:sz w:val="18"/>
                <w:szCs w:val="18"/>
              </w:rPr>
            </w:pPr>
            <w:r>
              <w:rPr>
                <w:rFonts w:ascii="Arial" w:hAnsi="Arial" w:cs="Arial"/>
                <w:sz w:val="18"/>
                <w:szCs w:val="18"/>
              </w:rPr>
              <w:fldChar w:fldCharType="begin"/>
            </w:r>
            <w:r w:rsidR="007C0C3E">
              <w:rPr>
                <w:rFonts w:ascii="Arial" w:hAnsi="Arial" w:cs="Arial"/>
                <w:sz w:val="18"/>
                <w:szCs w:val="18"/>
              </w:rPr>
              <w:instrText xml:space="preserve"> ADDIN EN.CITE &lt;EndNote&gt;&lt;Cite AuthorYear="1"&gt;&lt;Author&gt;ABARES&lt;/Author&gt;&lt;Year&gt;2025&lt;/Year&gt;&lt;RecNum&gt;557&lt;/RecNum&gt;&lt;DisplayText&gt;ABARES &lt;style face="superscript"&gt;34&lt;/style&gt;&lt;/DisplayText&gt;&lt;record&gt;&lt;rec-number&gt;557&lt;/rec-number&gt;&lt;foreign-keys&gt;&lt;key app="EN" db-id="st0zxxax1wfadte9s5gpaptza9tfvrzsvaxs" timestamp="1773643370" guid="62dbfb8f-a05b-41f4-bd58-c69ade51b737"&gt;557&lt;/key&gt;&lt;/foreign-keys&gt;&lt;ref-type name="Web Page"&gt;12&lt;/ref-type&gt;&lt;contributors&gt;&lt;authors&gt;&lt;author&gt;ABARES&lt;/author&gt;&lt;/authors&gt;&lt;/contributors&gt;&lt;titles&gt;&lt;title&gt;Australian farm productivity: Broadacre and dairy estimates&lt;/title&gt;&lt;/titles&gt;&lt;dates&gt;&lt;year&gt;2025&lt;/year&gt;&lt;/dates&gt;&lt;pub-location&gt;Canberra, Australia&lt;/pub-location&gt;&lt;publisher&gt;Department of Agriculture, Fisheries and Forestry&lt;/publisher&gt;&lt;urls&gt;&lt;related-urls&gt;&lt;url&gt;https://www.agriculture.gov.au/abares/research-topics/productivity/agricultural-productivity-estimates&lt;/url&gt;&lt;/related-urls&gt;&lt;/urls&gt;&lt;/record&gt;&lt;/Cite&gt;&lt;/EndNote&gt;</w:instrText>
            </w:r>
            <w:r>
              <w:rPr>
                <w:rFonts w:ascii="Arial" w:hAnsi="Arial" w:cs="Arial"/>
                <w:sz w:val="18"/>
                <w:szCs w:val="18"/>
              </w:rPr>
              <w:fldChar w:fldCharType="separate"/>
            </w:r>
            <w:r w:rsidR="007C0C3E">
              <w:rPr>
                <w:rFonts w:ascii="Arial" w:hAnsi="Arial" w:cs="Arial"/>
                <w:noProof/>
                <w:sz w:val="18"/>
                <w:szCs w:val="18"/>
              </w:rPr>
              <w:t xml:space="preserve">ABARES </w:t>
            </w:r>
            <w:r w:rsidR="007C0C3E" w:rsidRPr="007C0C3E">
              <w:rPr>
                <w:rFonts w:ascii="Arial" w:hAnsi="Arial" w:cs="Arial"/>
                <w:noProof/>
                <w:sz w:val="18"/>
                <w:szCs w:val="18"/>
                <w:vertAlign w:val="superscript"/>
              </w:rPr>
              <w:t>34</w:t>
            </w:r>
            <w:r>
              <w:rPr>
                <w:rFonts w:ascii="Arial" w:hAnsi="Arial" w:cs="Arial"/>
                <w:sz w:val="18"/>
                <w:szCs w:val="18"/>
              </w:rPr>
              <w:fldChar w:fldCharType="end"/>
            </w:r>
            <w:r>
              <w:rPr>
                <w:rFonts w:ascii="Arial" w:hAnsi="Arial" w:cs="Arial"/>
                <w:sz w:val="18"/>
                <w:szCs w:val="18"/>
              </w:rPr>
              <w:t xml:space="preserve"> </w:t>
            </w:r>
            <w:r>
              <w:rPr>
                <w:rFonts w:ascii="Arial" w:hAnsi="Arial" w:cs="Arial"/>
                <w:sz w:val="18"/>
                <w:szCs w:val="18"/>
              </w:rPr>
              <w:fldChar w:fldCharType="begin"/>
            </w:r>
            <w:r w:rsidR="007C0C3E">
              <w:rPr>
                <w:rFonts w:ascii="Arial" w:hAnsi="Arial" w:cs="Arial"/>
                <w:sz w:val="18"/>
                <w:szCs w:val="18"/>
              </w:rPr>
              <w:instrText xml:space="preserve"> ADDIN EN.CITE &lt;EndNote&gt;&lt;Cite&gt;&lt;Author&gt;ABARES&lt;/Author&gt;&lt;Year&gt;2025&lt;/Year&gt;&lt;RecNum&gt;557&lt;/RecNum&gt;&lt;DisplayText&gt;&lt;style face="superscript"&gt;34&lt;/style&gt;&lt;/DisplayText&gt;&lt;record&gt;&lt;rec-number&gt;557&lt;/rec-number&gt;&lt;foreign-keys&gt;&lt;key app="EN" db-id="st0zxxax1wfadte9s5gpaptza9tfvrzsvaxs" timestamp="1773643370" guid="62dbfb8f-a05b-41f4-bd58-c69ade51b737"&gt;557&lt;/key&gt;&lt;/foreign-keys&gt;&lt;ref-type name="Web Page"&gt;12&lt;/ref-type&gt;&lt;contributors&gt;&lt;authors&gt;&lt;author&gt;ABARES&lt;/author&gt;&lt;/authors&gt;&lt;/contributors&gt;&lt;titles&gt;&lt;title&gt;Australian farm productivity: Broadacre and dairy estimates&lt;/title&gt;&lt;/titles&gt;&lt;dates&gt;&lt;year&gt;2025&lt;/year&gt;&lt;/dates&gt;&lt;pub-location&gt;Canberra, Australia&lt;/pub-location&gt;&lt;publisher&gt;Department of Agriculture, Fisheries and Forestry&lt;/publisher&gt;&lt;urls&gt;&lt;related-urls&gt;&lt;url&gt;https://www.agriculture.gov.au/abares/research-topics/productivity/agricultural-productivity-estimates&lt;/url&gt;&lt;/related-urls&gt;&lt;/urls&gt;&lt;/record&gt;&lt;/Cite&gt;&lt;/EndNote&gt;</w:instrText>
            </w:r>
            <w:r>
              <w:rPr>
                <w:rFonts w:ascii="Arial" w:hAnsi="Arial" w:cs="Arial"/>
                <w:sz w:val="18"/>
                <w:szCs w:val="18"/>
              </w:rPr>
              <w:fldChar w:fldCharType="separate"/>
            </w:r>
            <w:r w:rsidR="007C0C3E" w:rsidRPr="007C0C3E">
              <w:rPr>
                <w:rFonts w:ascii="Arial" w:hAnsi="Arial" w:cs="Arial"/>
                <w:noProof/>
                <w:sz w:val="18"/>
                <w:szCs w:val="18"/>
                <w:vertAlign w:val="superscript"/>
              </w:rPr>
              <w:t>34</w:t>
            </w:r>
            <w:r>
              <w:rPr>
                <w:rFonts w:ascii="Arial" w:hAnsi="Arial" w:cs="Arial"/>
                <w:sz w:val="18"/>
                <w:szCs w:val="18"/>
              </w:rPr>
              <w:fldChar w:fldCharType="end"/>
            </w:r>
          </w:p>
        </w:tc>
      </w:tr>
      <w:tr w:rsidR="002A1696" w:rsidRPr="00415FB9" w14:paraId="040857BC" w14:textId="77777777">
        <w:trPr>
          <w:cantSplit/>
          <w:trHeight w:val="479"/>
        </w:trPr>
        <w:tc>
          <w:tcPr>
            <w:tcW w:w="2268" w:type="dxa"/>
          </w:tcPr>
          <w:p w14:paraId="040857B9" w14:textId="77777777" w:rsidR="002A1696" w:rsidRPr="00415FB9" w:rsidRDefault="00C30874">
            <w:pPr>
              <w:pStyle w:val="afe"/>
              <w:keepNext/>
              <w:keepLines/>
              <w:rPr>
                <w:rFonts w:ascii="Arial" w:hAnsi="Arial" w:cs="Arial"/>
                <w:sz w:val="18"/>
                <w:szCs w:val="18"/>
              </w:rPr>
            </w:pPr>
            <w:r>
              <w:rPr>
                <w:rFonts w:ascii="Arial" w:hAnsi="Arial" w:cs="Arial"/>
                <w:sz w:val="18"/>
                <w:szCs w:val="18"/>
              </w:rPr>
              <w:t>Labour cost</w:t>
            </w:r>
          </w:p>
        </w:tc>
        <w:tc>
          <w:tcPr>
            <w:tcW w:w="3827" w:type="dxa"/>
          </w:tcPr>
          <w:p w14:paraId="040857BA" w14:textId="77777777" w:rsidR="002A1696" w:rsidRPr="00415FB9" w:rsidRDefault="00C30874">
            <w:pPr>
              <w:pStyle w:val="afe"/>
              <w:keepNext/>
              <w:keepLines/>
              <w:rPr>
                <w:rFonts w:ascii="Arial" w:hAnsi="Arial" w:cs="Arial"/>
                <w:sz w:val="18"/>
                <w:szCs w:val="18"/>
              </w:rPr>
            </w:pPr>
            <w:r>
              <w:rPr>
                <w:rFonts w:ascii="Arial" w:hAnsi="Arial" w:cs="Arial"/>
                <w:sz w:val="18"/>
                <w:szCs w:val="18"/>
              </w:rPr>
              <w:t>Employee earnings, Agriculture, Forestry and Fishing industry</w:t>
            </w:r>
          </w:p>
        </w:tc>
        <w:tc>
          <w:tcPr>
            <w:tcW w:w="2220" w:type="dxa"/>
          </w:tcPr>
          <w:p w14:paraId="040857BB" w14:textId="1C769A73" w:rsidR="002A1696" w:rsidRPr="00415FB9" w:rsidRDefault="00FD48CD">
            <w:pPr>
              <w:pStyle w:val="afe"/>
              <w:keepNext/>
              <w:keepLines/>
              <w:rPr>
                <w:rFonts w:ascii="Arial" w:hAnsi="Arial" w:cs="Arial"/>
                <w:sz w:val="18"/>
                <w:szCs w:val="18"/>
              </w:rPr>
            </w:pPr>
            <w:r>
              <w:rPr>
                <w:rFonts w:ascii="Arial" w:hAnsi="Arial" w:cs="Arial"/>
                <w:sz w:val="18"/>
                <w:szCs w:val="18"/>
              </w:rPr>
              <w:fldChar w:fldCharType="begin"/>
            </w:r>
            <w:r w:rsidR="00EF0FA1">
              <w:rPr>
                <w:rFonts w:ascii="Arial" w:hAnsi="Arial" w:cs="Arial"/>
                <w:sz w:val="18"/>
                <w:szCs w:val="18"/>
              </w:rPr>
              <w:instrText xml:space="preserve"> ADDIN EN.CITE &lt;EndNote&gt;&lt;Cite AuthorYear="1"&gt;&lt;Author&gt;ABS&lt;/Author&gt;&lt;Year&gt;2024&lt;/Year&gt;&lt;RecNum&gt;558&lt;/RecNum&gt;&lt;DisplayText&gt;ABS &lt;style face="superscript"&gt;35&lt;/style&gt;&lt;/DisplayText&gt;&lt;record&gt;&lt;rec-number&gt;558&lt;/rec-number&gt;&lt;foreign-keys&gt;&lt;key app="EN" db-id="st0zxxax1wfadte9s5gpaptza9tfvrzsvaxs" timestamp="1773643534" guid="c26166b8-0a22-47c5-8994-3cb51eb66a97"&gt;558&lt;/key&gt;&lt;/foreign-keys&gt;&lt;ref-type name="Journal Article"&gt;17&lt;/ref-type&gt;&lt;contributors&gt;&lt;authors&gt;&lt;author&gt;ABS&lt;/author&gt;&lt;/authors&gt;&lt;/contributors&gt;&lt;titles&gt;&lt;title&gt;Employee earnings, August 2024: Table 3 - Distribution of earnings for employees by industry&lt;/title&gt;&lt;/titles&gt;&lt;dates&gt;&lt;year&gt;2024&lt;/year&gt;&lt;/dates&gt;&lt;pub-location&gt;Canberra, Australia&lt;/pub-location&gt;&lt;publisher&gt;Australian Bureau of Statistics&lt;/publisher&gt;&lt;urls&gt;&lt;related-urls&gt;&lt;url&gt;https://www.abs.gov.au/statistics/labour/earnings-and-working-conditions/employee-earnings/aug-2024&lt;/url&gt;&lt;/related-urls&gt;&lt;/urls&gt;&lt;/record&gt;&lt;/Cite&gt;&lt;/EndNote&gt;</w:instrText>
            </w:r>
            <w:r>
              <w:rPr>
                <w:rFonts w:ascii="Arial" w:hAnsi="Arial" w:cs="Arial"/>
                <w:sz w:val="18"/>
                <w:szCs w:val="18"/>
              </w:rPr>
              <w:fldChar w:fldCharType="separate"/>
            </w:r>
            <w:r w:rsidR="007C0C3E">
              <w:rPr>
                <w:rFonts w:ascii="Arial" w:hAnsi="Arial" w:cs="Arial"/>
                <w:noProof/>
                <w:sz w:val="18"/>
                <w:szCs w:val="18"/>
              </w:rPr>
              <w:t xml:space="preserve">ABS </w:t>
            </w:r>
            <w:r w:rsidR="007C0C3E" w:rsidRPr="007C0C3E">
              <w:rPr>
                <w:rFonts w:ascii="Arial" w:hAnsi="Arial" w:cs="Arial"/>
                <w:noProof/>
                <w:sz w:val="18"/>
                <w:szCs w:val="18"/>
                <w:vertAlign w:val="superscript"/>
              </w:rPr>
              <w:t>35</w:t>
            </w:r>
            <w:r>
              <w:rPr>
                <w:rFonts w:ascii="Arial" w:hAnsi="Arial" w:cs="Arial"/>
                <w:sz w:val="18"/>
                <w:szCs w:val="18"/>
              </w:rPr>
              <w:fldChar w:fldCharType="end"/>
            </w:r>
          </w:p>
        </w:tc>
      </w:tr>
      <w:tr w:rsidR="002A1696" w:rsidRPr="00415FB9" w14:paraId="040857C0" w14:textId="77777777">
        <w:trPr>
          <w:cantSplit/>
          <w:trHeight w:val="245"/>
        </w:trPr>
        <w:tc>
          <w:tcPr>
            <w:tcW w:w="2268" w:type="dxa"/>
          </w:tcPr>
          <w:p w14:paraId="040857BD" w14:textId="77777777" w:rsidR="002A1696" w:rsidRPr="00415FB9" w:rsidRDefault="00C30874">
            <w:pPr>
              <w:pStyle w:val="afe"/>
              <w:keepNext/>
              <w:keepLines/>
              <w:rPr>
                <w:rFonts w:ascii="Arial" w:hAnsi="Arial" w:cs="Arial"/>
                <w:sz w:val="18"/>
                <w:szCs w:val="18"/>
              </w:rPr>
            </w:pPr>
            <w:r>
              <w:rPr>
                <w:rFonts w:ascii="Arial" w:hAnsi="Arial" w:cs="Arial"/>
                <w:sz w:val="18"/>
                <w:szCs w:val="18"/>
              </w:rPr>
              <w:t>Feedlot cattle numbers</w:t>
            </w:r>
          </w:p>
        </w:tc>
        <w:tc>
          <w:tcPr>
            <w:tcW w:w="3827" w:type="dxa"/>
          </w:tcPr>
          <w:p w14:paraId="040857BE" w14:textId="77777777" w:rsidR="002A1696" w:rsidRPr="00415FB9" w:rsidRDefault="00C30874">
            <w:pPr>
              <w:pStyle w:val="afe"/>
              <w:keepNext/>
              <w:keepLines/>
              <w:rPr>
                <w:rFonts w:ascii="Arial" w:hAnsi="Arial" w:cs="Arial"/>
                <w:sz w:val="18"/>
                <w:szCs w:val="18"/>
              </w:rPr>
            </w:pPr>
            <w:r>
              <w:rPr>
                <w:rFonts w:ascii="Arial" w:hAnsi="Arial" w:cs="Arial"/>
                <w:sz w:val="18"/>
                <w:szCs w:val="18"/>
              </w:rPr>
              <w:t>Quarterly feedlot industry surveys</w:t>
            </w:r>
          </w:p>
        </w:tc>
        <w:tc>
          <w:tcPr>
            <w:tcW w:w="2220" w:type="dxa"/>
          </w:tcPr>
          <w:p w14:paraId="040857BF" w14:textId="6AF517EF" w:rsidR="002A1696" w:rsidRPr="00415FB9" w:rsidRDefault="00FD48CD">
            <w:pPr>
              <w:pStyle w:val="afe"/>
              <w:keepNext/>
              <w:keepLines/>
              <w:rPr>
                <w:rFonts w:ascii="Arial" w:hAnsi="Arial" w:cs="Arial"/>
                <w:sz w:val="18"/>
                <w:szCs w:val="18"/>
              </w:rPr>
            </w:pPr>
            <w:r>
              <w:rPr>
                <w:rFonts w:ascii="Arial" w:hAnsi="Arial" w:cs="Arial"/>
                <w:sz w:val="18"/>
                <w:szCs w:val="18"/>
              </w:rPr>
              <w:fldChar w:fldCharType="begin"/>
            </w:r>
            <w:r w:rsidR="007C0C3E">
              <w:rPr>
                <w:rFonts w:ascii="Arial" w:hAnsi="Arial" w:cs="Arial"/>
                <w:sz w:val="18"/>
                <w:szCs w:val="18"/>
              </w:rPr>
              <w:instrText xml:space="preserve"> ADDIN EN.CITE &lt;EndNote&gt;&lt;Cite AuthorYear="1"&gt;&lt;Author&gt;MLA&lt;/Author&gt;&lt;Year&gt;2025&lt;/Year&gt;&lt;RecNum&gt;563&lt;/RecNum&gt;&lt;DisplayText&gt;MLA &lt;style face="superscript"&gt;38&lt;/style&gt;&lt;/DisplayText&gt;&lt;record&gt;&lt;rec-number&gt;563&lt;/rec-number&gt;&lt;foreign-keys&gt;&lt;key app="EN" db-id="st0zxxax1wfadte9s5gpaptza9tfvrzsvaxs" timestamp="1773647049" guid="9a7d786f-b407-411a-b8b7-2a21729c6bdf"&gt;563&lt;/key&gt;&lt;/foreign-keys&gt;&lt;ref-type name="Report"&gt;27&lt;/ref-type&gt;&lt;contributors&gt;&lt;authors&gt;&lt;author&gt;MLA&lt;/author&gt;&lt;/authors&gt;&lt;/contributors&gt;&lt;titles&gt;&lt;title&gt;Lot feeding brief – Results for the March quarter 2025 feedlot survey&lt;/title&gt;&lt;/titles&gt;&lt;dates&gt;&lt;year&gt;2025&lt;/year&gt;&lt;/dates&gt;&lt;pub-location&gt;Sydney, Australia&lt;/pub-location&gt;&lt;publisher&gt;Meat and Livestock Australia&lt;/publisher&gt;&lt;urls&gt;&lt;related-urls&gt;&lt;url&gt;https://www.mla.com.au/prices-markets/Trends-analysis/quarterly-lot-feeding-briefs/&lt;/url&gt;&lt;/related-urls&gt;&lt;/urls&gt;&lt;/record&gt;&lt;/Cite&gt;&lt;/EndNote&gt;</w:instrText>
            </w:r>
            <w:r>
              <w:rPr>
                <w:rFonts w:ascii="Arial" w:hAnsi="Arial" w:cs="Arial"/>
                <w:sz w:val="18"/>
                <w:szCs w:val="18"/>
              </w:rPr>
              <w:fldChar w:fldCharType="separate"/>
            </w:r>
            <w:r w:rsidR="007C0C3E">
              <w:rPr>
                <w:rFonts w:ascii="Arial" w:hAnsi="Arial" w:cs="Arial"/>
                <w:noProof/>
                <w:sz w:val="18"/>
                <w:szCs w:val="18"/>
              </w:rPr>
              <w:t xml:space="preserve">MLA </w:t>
            </w:r>
            <w:r w:rsidR="007C0C3E" w:rsidRPr="007C0C3E">
              <w:rPr>
                <w:rFonts w:ascii="Arial" w:hAnsi="Arial" w:cs="Arial"/>
                <w:noProof/>
                <w:sz w:val="18"/>
                <w:szCs w:val="18"/>
                <w:vertAlign w:val="superscript"/>
              </w:rPr>
              <w:t>38</w:t>
            </w:r>
            <w:r>
              <w:rPr>
                <w:rFonts w:ascii="Arial" w:hAnsi="Arial" w:cs="Arial"/>
                <w:sz w:val="18"/>
                <w:szCs w:val="18"/>
              </w:rPr>
              <w:fldChar w:fldCharType="end"/>
            </w:r>
            <w:r>
              <w:rPr>
                <w:rFonts w:ascii="Arial" w:hAnsi="Arial" w:cs="Arial"/>
                <w:sz w:val="18"/>
                <w:szCs w:val="18"/>
              </w:rPr>
              <w:t xml:space="preserve">; </w:t>
            </w:r>
            <w:r>
              <w:rPr>
                <w:rFonts w:ascii="Arial" w:hAnsi="Arial" w:cs="Arial"/>
                <w:sz w:val="18"/>
                <w:szCs w:val="18"/>
              </w:rPr>
              <w:fldChar w:fldCharType="begin"/>
            </w:r>
            <w:r w:rsidR="007C0C3E">
              <w:rPr>
                <w:rFonts w:ascii="Arial" w:hAnsi="Arial" w:cs="Arial"/>
                <w:sz w:val="18"/>
                <w:szCs w:val="18"/>
              </w:rPr>
              <w:instrText xml:space="preserve"> ADDIN EN.CITE &lt;EndNote&gt;&lt;Cite AuthorYear="1"&gt;&lt;Author&gt;ALFA&lt;/Author&gt;&lt;Year&gt;2025&lt;/Year&gt;&lt;RecNum&gt;564&lt;/RecNum&gt;&lt;DisplayText&gt;ALFA &lt;style face="superscript"&gt;36&lt;/style&gt;&lt;/DisplayText&gt;&lt;record&gt;&lt;rec-number&gt;564&lt;/rec-number&gt;&lt;foreign-keys&gt;&lt;key app="EN" db-id="st0zxxax1wfadte9s5gpaptza9tfvrzsvaxs" timestamp="1773647160" guid="62e4c328-02df-4065-955d-74798686a3b1"&gt;564&lt;/key&gt;&lt;/foreign-keys&gt;&lt;ref-type name="Web Page"&gt;12&lt;/ref-type&gt;&lt;contributors&gt;&lt;authors&gt;&lt;author&gt;ALFA&lt;/author&gt;&lt;/authors&gt;&lt;/contributors&gt;&lt;titles&gt;&lt;title&gt;Feedlot industry figures and quarterly survey results&lt;/title&gt;&lt;/titles&gt;&lt;dates&gt;&lt;year&gt;2025&lt;/year&gt;&lt;/dates&gt;&lt;pub-location&gt;Sydney, Australia&lt;/pub-location&gt;&lt;publisher&gt;Australian Lot Feeders&amp;apos; Association&lt;/publisher&gt;&lt;urls&gt;&lt;related-urls&gt;&lt;url&gt;https://www.feedlots.com.au/resources/figures&lt;/url&gt;&lt;/related-urls&gt;&lt;/urls&gt;&lt;/record&gt;&lt;/Cite&gt;&lt;/EndNote&gt;</w:instrText>
            </w:r>
            <w:r>
              <w:rPr>
                <w:rFonts w:ascii="Arial" w:hAnsi="Arial" w:cs="Arial"/>
                <w:sz w:val="18"/>
                <w:szCs w:val="18"/>
              </w:rPr>
              <w:fldChar w:fldCharType="separate"/>
            </w:r>
            <w:r w:rsidR="007C0C3E">
              <w:rPr>
                <w:rFonts w:ascii="Arial" w:hAnsi="Arial" w:cs="Arial"/>
                <w:noProof/>
                <w:sz w:val="18"/>
                <w:szCs w:val="18"/>
              </w:rPr>
              <w:t xml:space="preserve">ALFA </w:t>
            </w:r>
            <w:r w:rsidR="007C0C3E" w:rsidRPr="007C0C3E">
              <w:rPr>
                <w:rFonts w:ascii="Arial" w:hAnsi="Arial" w:cs="Arial"/>
                <w:noProof/>
                <w:sz w:val="18"/>
                <w:szCs w:val="18"/>
                <w:vertAlign w:val="superscript"/>
              </w:rPr>
              <w:t>36</w:t>
            </w:r>
            <w:r>
              <w:rPr>
                <w:rFonts w:ascii="Arial" w:hAnsi="Arial" w:cs="Arial"/>
                <w:sz w:val="18"/>
                <w:szCs w:val="18"/>
              </w:rPr>
              <w:fldChar w:fldCharType="end"/>
            </w:r>
            <w:r>
              <w:rPr>
                <w:rFonts w:ascii="Arial" w:hAnsi="Arial" w:cs="Arial"/>
                <w:sz w:val="18"/>
                <w:szCs w:val="18"/>
              </w:rPr>
              <w:t xml:space="preserve">; </w:t>
            </w:r>
            <w:r>
              <w:rPr>
                <w:rFonts w:ascii="Arial" w:hAnsi="Arial" w:cs="Arial"/>
                <w:sz w:val="18"/>
                <w:szCs w:val="18"/>
              </w:rPr>
              <w:fldChar w:fldCharType="begin"/>
            </w:r>
            <w:r w:rsidR="00A47AEC">
              <w:rPr>
                <w:rFonts w:ascii="Arial" w:hAnsi="Arial" w:cs="Arial"/>
                <w:sz w:val="18"/>
                <w:szCs w:val="18"/>
              </w:rPr>
              <w:instrText xml:space="preserve"> ADDIN EN.CITE &lt;EndNote&gt;&lt;Cite AuthorYear="1"&gt;&lt;Author&gt;Condon&lt;/Author&gt;&lt;Year&gt;2025&lt;/Year&gt;&lt;RecNum&gt;562&lt;/RecNum&gt;&lt;DisplayText&gt;Condon &lt;style face="superscript"&gt;37&lt;/style&gt;&lt;/DisplayText&gt;&lt;record&gt;&lt;rec-number&gt;562&lt;/rec-number&gt;&lt;foreign-keys&gt;&lt;key app="EN" db-id="st0zxxax1wfadte9s5gpaptza9tfvrzsvaxs" timestamp="1773646978" guid="afe867c9-939f-45d5-8b16-a62230fafa86"&gt;562&lt;/key&gt;&lt;/foreign-keys&gt;&lt;ref-type name="Web Page"&gt;12&lt;/ref-type&gt;&lt;contributors&gt;&lt;authors&gt;&lt;author&gt;Condon, Jon&lt;/author&gt;&lt;/authors&gt;&lt;/contributors&gt;&lt;titles&gt;&lt;title&gt;Segmented days-on-feed data adds value to quarterly feedlot industry surveys&lt;/title&gt;&lt;alt-title&gt;Beef Central&lt;/alt-title&gt;&lt;/titles&gt;&lt;dates&gt;&lt;year&gt;2025&lt;/year&gt;&lt;pub-dates&gt;&lt;date&gt;2025-07-09&lt;/date&gt;&lt;/pub-dates&gt;&lt;/dates&gt;&lt;urls&gt;&lt;related-urls&gt;&lt;url&gt;https://www.beefcentral.com/news/segmented-days-on-feed-data-adds-value-to-quarterly-feedlot-industry-surveys/&lt;/url&gt;&lt;/related-urls&gt;&lt;/urls&gt;&lt;/record&gt;&lt;/Cite&gt;&lt;/EndNote&gt;</w:instrText>
            </w:r>
            <w:r>
              <w:rPr>
                <w:rFonts w:ascii="Arial" w:hAnsi="Arial" w:cs="Arial"/>
                <w:sz w:val="18"/>
                <w:szCs w:val="18"/>
              </w:rPr>
              <w:fldChar w:fldCharType="separate"/>
            </w:r>
            <w:r w:rsidR="007C0C3E">
              <w:rPr>
                <w:rFonts w:ascii="Arial" w:hAnsi="Arial" w:cs="Arial"/>
                <w:noProof/>
                <w:sz w:val="18"/>
                <w:szCs w:val="18"/>
              </w:rPr>
              <w:t xml:space="preserve">Condon </w:t>
            </w:r>
            <w:r w:rsidR="007C0C3E" w:rsidRPr="007C0C3E">
              <w:rPr>
                <w:rFonts w:ascii="Arial" w:hAnsi="Arial" w:cs="Arial"/>
                <w:noProof/>
                <w:sz w:val="18"/>
                <w:szCs w:val="18"/>
                <w:vertAlign w:val="superscript"/>
              </w:rPr>
              <w:t>37</w:t>
            </w:r>
            <w:r>
              <w:rPr>
                <w:rFonts w:ascii="Arial" w:hAnsi="Arial" w:cs="Arial"/>
                <w:sz w:val="18"/>
                <w:szCs w:val="18"/>
              </w:rPr>
              <w:fldChar w:fldCharType="end"/>
            </w:r>
          </w:p>
        </w:tc>
      </w:tr>
      <w:tr w:rsidR="002A1696" w:rsidRPr="00415FB9" w14:paraId="040857C4" w14:textId="77777777">
        <w:trPr>
          <w:cantSplit/>
          <w:trHeight w:val="479"/>
        </w:trPr>
        <w:tc>
          <w:tcPr>
            <w:tcW w:w="2268" w:type="dxa"/>
          </w:tcPr>
          <w:p w14:paraId="040857C1" w14:textId="77777777" w:rsidR="002A1696" w:rsidRPr="00415FB9" w:rsidRDefault="00C30874">
            <w:pPr>
              <w:pStyle w:val="afe"/>
              <w:keepNext/>
              <w:keepLines/>
              <w:rPr>
                <w:rFonts w:ascii="Arial" w:hAnsi="Arial" w:cs="Arial"/>
                <w:sz w:val="18"/>
                <w:szCs w:val="18"/>
              </w:rPr>
            </w:pPr>
            <w:r>
              <w:rPr>
                <w:rFonts w:ascii="Arial" w:hAnsi="Arial" w:cs="Arial"/>
                <w:sz w:val="18"/>
                <w:szCs w:val="18"/>
              </w:rPr>
              <w:t>Feedlot emissions, water, and cost coefficients</w:t>
            </w:r>
          </w:p>
        </w:tc>
        <w:tc>
          <w:tcPr>
            <w:tcW w:w="3827" w:type="dxa"/>
          </w:tcPr>
          <w:p w14:paraId="040857C2" w14:textId="77777777" w:rsidR="002A1696" w:rsidRPr="00415FB9" w:rsidRDefault="00C30874">
            <w:pPr>
              <w:pStyle w:val="afe"/>
              <w:keepNext/>
              <w:keepLines/>
              <w:rPr>
                <w:rFonts w:ascii="Arial" w:hAnsi="Arial" w:cs="Arial"/>
                <w:sz w:val="18"/>
                <w:szCs w:val="18"/>
              </w:rPr>
            </w:pPr>
            <w:r>
              <w:rPr>
                <w:rFonts w:ascii="Arial" w:hAnsi="Arial" w:cs="Arial"/>
                <w:sz w:val="18"/>
                <w:szCs w:val="18"/>
              </w:rPr>
              <w:t>Life-cycle assessment of Australian feedlots; grain-fed market reports</w:t>
            </w:r>
          </w:p>
        </w:tc>
        <w:tc>
          <w:tcPr>
            <w:tcW w:w="2220" w:type="dxa"/>
          </w:tcPr>
          <w:p w14:paraId="040857C3" w14:textId="6287A4D1" w:rsidR="002A1696" w:rsidRPr="00415FB9" w:rsidRDefault="00C30874">
            <w:pPr>
              <w:pStyle w:val="afe"/>
              <w:keepNext/>
              <w:keepLines/>
              <w:rPr>
                <w:rFonts w:ascii="Arial" w:hAnsi="Arial" w:cs="Arial"/>
                <w:sz w:val="18"/>
                <w:szCs w:val="18"/>
              </w:rPr>
            </w:pPr>
            <w:r>
              <w:rPr>
                <w:rFonts w:ascii="Arial" w:hAnsi="Arial" w:cs="Arial"/>
                <w:sz w:val="18"/>
                <w:szCs w:val="18"/>
              </w:rPr>
              <w:t xml:space="preserve">Wiedemann </w:t>
            </w:r>
            <w:r>
              <w:rPr>
                <w:rFonts w:ascii="Arial" w:hAnsi="Arial" w:cs="Arial"/>
                <w:sz w:val="18"/>
                <w:szCs w:val="18"/>
              </w:rPr>
              <w:fldChar w:fldCharType="begin"/>
            </w:r>
            <w:r w:rsidR="007C0C3E">
              <w:rPr>
                <w:rFonts w:ascii="Arial" w:hAnsi="Arial" w:cs="Arial"/>
                <w:sz w:val="18"/>
                <w:szCs w:val="18"/>
              </w:rPr>
              <w:instrText xml:space="preserve"> ADDIN EN.CITE &lt;EndNote&gt;&lt;Cite ExcludeAuth="1"&gt;&lt;Author&gt;Wiedemann&lt;/Author&gt;&lt;Year&gt;2014&lt;/Year&gt;&lt;RecNum&gt;673&lt;/RecNum&gt;&lt;DisplayText&gt;&lt;style face="superscript"&gt;39,43&lt;/style&gt;&lt;/DisplayText&gt;&lt;record&gt;&lt;rec-number&gt;673&lt;/rec-number&gt;&lt;foreign-keys&gt;&lt;key app="EN" db-id="st0zxxax1wfadte9s5gpaptza9tfvrzsvaxs" timestamp="1779775515"&gt;673&lt;/key&gt;&lt;/foreign-keys&gt;&lt;ref-type name="Report"&gt;27&lt;/ref-type&gt;&lt;contributors&gt;&lt;authors&gt;&lt;author&gt;Wiedemann, S. G.&lt;/author&gt;&lt;author&gt;McGahan, E. J.&lt;/author&gt;&lt;author&gt;Yan, M. J.&lt;/author&gt;&lt;author&gt;Murphy, C. M.&lt;/author&gt;&lt;author&gt;Henry, B. K.&lt;/author&gt;&lt;author&gt;Thoma, G.&lt;/author&gt;&lt;author&gt;Ledgard, S.&lt;/author&gt;&lt;/authors&gt;&lt;/contributors&gt;&lt;titles&gt;&lt;title&gt;The environmental sustainability of premium Australian beef exported to the USA: A Life Cycle Assessment&lt;/title&gt;&lt;/titles&gt;&lt;dates&gt;&lt;year&gt;2014&lt;/year&gt;&lt;pub-dates&gt;&lt;date&gt;2014-06-30&lt;/date&gt;&lt;/pub-dates&gt;&lt;/dates&gt;&lt;pub-location&gt;North Sydney, NSW, Australia&lt;/pub-location&gt;&lt;publisher&gt;Meat and Livestock Australia Limited&lt;/publisher&gt;&lt;isbn&gt;9781741919011&lt;/isbn&gt;&lt;work-type&gt;Final report&lt;/work-type&gt;&lt;urls&gt;&lt;/urls&gt;&lt;/record&gt;&lt;/Cite&gt;&lt;Cite ExcludeAuth="1"&gt;&lt;Author&gt;Wiedemann&lt;/Author&gt;&lt;Year&gt;2017&lt;/Year&gt;&lt;RecNum&gt;559&lt;/RecNum&gt;&lt;record&gt;&lt;rec-number&gt;559&lt;/rec-number&gt;&lt;foreign-keys&gt;&lt;key app="EN" db-id="st0zxxax1wfadte9s5gpaptza9tfvrzsvaxs" timestamp="1773645329" guid="fa14ca0e-feb1-44f6-b2d4-0b503b6f953b"&gt;559&lt;/key&gt;&lt;/foreign-keys&gt;&lt;ref-type name="Journal Article"&gt;17&lt;/ref-type&gt;&lt;contributors&gt;&lt;authors&gt;&lt;author&gt;Wiedemann, Stephen&lt;/author&gt;&lt;author&gt;Davis, Rod&lt;/author&gt;&lt;author&gt;McGahan, Eugene&lt;/author&gt;&lt;author&gt;Murphy, Caoilinn&lt;/author&gt;&lt;author&gt;Redding, Matthew&lt;/author&gt;&lt;/authors&gt;&lt;/contributors&gt;&lt;titles&gt;&lt;title&gt;Resource use and greenhouse gas emissions from grain-finishing beef cattle in seven Australian feedlots: a life cycle assessment&lt;/title&gt;&lt;secondary-title&gt;Animal Production Science&lt;/secondary-title&gt;&lt;/titles&gt;&lt;periodical&gt;&lt;full-title&gt;Animal Production Science&lt;/full-title&gt;&lt;/periodical&gt;&lt;pages&gt;1149-1162&lt;/pages&gt;&lt;volume&gt;57&lt;/volume&gt;&lt;number&gt;6&lt;/number&gt;&lt;dates&gt;&lt;year&gt;2017&lt;/year&gt;&lt;/dates&gt;&lt;isbn&gt;1836-0939&lt;/isbn&gt;&lt;urls&gt;&lt;/urls&gt;&lt;/record&gt;&lt;/Cite&gt;&lt;/EndNote&gt;</w:instrText>
            </w:r>
            <w:r>
              <w:rPr>
                <w:rFonts w:ascii="Arial" w:hAnsi="Arial" w:cs="Arial"/>
                <w:sz w:val="18"/>
                <w:szCs w:val="18"/>
              </w:rPr>
              <w:fldChar w:fldCharType="separate"/>
            </w:r>
            <w:r w:rsidR="007C0C3E" w:rsidRPr="007C0C3E">
              <w:rPr>
                <w:rFonts w:ascii="Arial" w:hAnsi="Arial" w:cs="Arial"/>
                <w:noProof/>
                <w:sz w:val="18"/>
                <w:szCs w:val="18"/>
                <w:vertAlign w:val="superscript"/>
              </w:rPr>
              <w:t>39,43</w:t>
            </w:r>
            <w:r>
              <w:rPr>
                <w:rFonts w:ascii="Arial" w:hAnsi="Arial" w:cs="Arial"/>
                <w:sz w:val="18"/>
                <w:szCs w:val="18"/>
              </w:rPr>
              <w:fldChar w:fldCharType="end"/>
            </w:r>
            <w:r>
              <w:rPr>
                <w:rFonts w:ascii="Arial" w:hAnsi="Arial" w:cs="Arial"/>
                <w:sz w:val="18"/>
                <w:szCs w:val="18"/>
              </w:rPr>
              <w:t xml:space="preserve">; Condon </w:t>
            </w:r>
            <w:r>
              <w:rPr>
                <w:rFonts w:ascii="Arial" w:hAnsi="Arial" w:cs="Arial"/>
                <w:sz w:val="18"/>
                <w:szCs w:val="18"/>
              </w:rPr>
              <w:fldChar w:fldCharType="begin"/>
            </w:r>
            <w:r w:rsidR="00A47AEC">
              <w:rPr>
                <w:rFonts w:ascii="Arial" w:hAnsi="Arial" w:cs="Arial"/>
                <w:sz w:val="18"/>
                <w:szCs w:val="18"/>
              </w:rPr>
              <w:instrText xml:space="preserve"> ADDIN EN.CITE &lt;EndNote&gt;&lt;Cite ExcludeAuth="1"&gt;&lt;Author&gt;Condon&lt;/Author&gt;&lt;Year&gt;2025&lt;/Year&gt;&lt;RecNum&gt;670&lt;/RecNum&gt;&lt;DisplayText&gt;&lt;style face="superscript"&gt;41,42&lt;/style&gt;&lt;/DisplayText&gt;&lt;record&gt;&lt;rec-number&gt;670&lt;/rec-number&gt;&lt;foreign-keys&gt;&lt;key app="EN" db-id="st0zxxax1wfadte9s5gpaptza9tfvrzsvaxs" timestamp="1779774474"&gt;670&lt;/key&gt;&lt;/foreign-keys&gt;&lt;ref-type name="Web Page"&gt;12&lt;/ref-type&gt;&lt;contributors&gt;&lt;authors&gt;&lt;author&gt;Condon, Jon&lt;/author&gt;&lt;/authors&gt;&lt;/contributors&gt;&lt;titles&gt;&lt;title&gt;Wagyu feeder steer prices stable, but premium over Angus under pressure&lt;/title&gt;&lt;alt-title&gt;Beef Central&lt;/alt-title&gt;&lt;/titles&gt;&lt;dates&gt;&lt;year&gt;2025&lt;/year&gt;&lt;pub-dates&gt;&lt;date&gt;2025&lt;/date&gt;&lt;/pub-dates&gt;&lt;/dates&gt;&lt;publisher&gt;Beef Central&lt;/publisher&gt;&lt;urls&gt;&lt;related-urls&gt;&lt;url&gt;https://www.beefcentral.com/news/wagyu-feeder-steer-prices-stable-but-premium-over-angus-under-pressure/&lt;/url&gt;&lt;/related-urls&gt;&lt;/urls&gt;&lt;/record&gt;&lt;/Cite&gt;&lt;Cite ExcludeAuth="1"&gt;&lt;Author&gt;Condon&lt;/Author&gt;&lt;Year&gt;2022&lt;/Year&gt;&lt;RecNum&gt;671&lt;/RecNum&gt;&lt;record&gt;&lt;rec-number&gt;671&lt;/rec-number&gt;&lt;foreign-keys&gt;&lt;key app="EN" db-id="st0zxxax1wfadte9s5gpaptza9tfvrzsvaxs" timestamp="1779774516"&gt;671&lt;/key&gt;&lt;/foreign-keys&gt;&lt;ref-type name="Web Page"&gt;12&lt;/ref-type&gt;&lt;contributors&gt;&lt;authors&gt;&lt;author&gt;Condon, Jon&lt;/author&gt;&lt;/authors&gt;&lt;/contributors&gt;&lt;titles&gt;&lt;title&gt;Killara feedlot manager delivers sobering assessment about feeder prices heading into 2023&lt;/title&gt;&lt;alt-title&gt;Beef Central&lt;/alt-title&gt;&lt;/titles&gt;&lt;dates&gt;&lt;year&gt;2022&lt;/year&gt;&lt;pub-dates&gt;&lt;date&gt;2022-11-16&lt;/date&gt;&lt;/pub-dates&gt;&lt;/dates&gt;&lt;publisher&gt;Beef Central&lt;/publisher&gt;&lt;urls&gt;&lt;related-urls&gt;&lt;url&gt;https://www.beefcentral.com/news/killara-feedlot-manager-delivers-sobering-assessment-about-feeder-prices-heading-into-2023/&lt;/url&gt;&lt;/related-urls&gt;&lt;/urls&gt;&lt;/record&gt;&lt;/Cite&gt;&lt;/EndNote&gt;</w:instrText>
            </w:r>
            <w:r>
              <w:rPr>
                <w:rFonts w:ascii="Arial" w:hAnsi="Arial" w:cs="Arial"/>
                <w:sz w:val="18"/>
                <w:szCs w:val="18"/>
              </w:rPr>
              <w:fldChar w:fldCharType="separate"/>
            </w:r>
            <w:r w:rsidR="007C0C3E" w:rsidRPr="007C0C3E">
              <w:rPr>
                <w:rFonts w:ascii="Arial" w:hAnsi="Arial" w:cs="Arial"/>
                <w:noProof/>
                <w:sz w:val="18"/>
                <w:szCs w:val="18"/>
                <w:vertAlign w:val="superscript"/>
              </w:rPr>
              <w:t>41,42</w:t>
            </w:r>
            <w:r>
              <w:rPr>
                <w:rFonts w:ascii="Arial" w:hAnsi="Arial" w:cs="Arial"/>
                <w:sz w:val="18"/>
                <w:szCs w:val="18"/>
              </w:rPr>
              <w:fldChar w:fldCharType="end"/>
            </w:r>
          </w:p>
        </w:tc>
      </w:tr>
      <w:tr w:rsidR="002A1696" w:rsidRPr="00415FB9" w14:paraId="040857C8" w14:textId="77777777">
        <w:trPr>
          <w:cantSplit/>
          <w:trHeight w:val="479"/>
        </w:trPr>
        <w:tc>
          <w:tcPr>
            <w:tcW w:w="2268" w:type="dxa"/>
          </w:tcPr>
          <w:p w14:paraId="040857C5" w14:textId="77777777" w:rsidR="002A1696" w:rsidRPr="00415FB9" w:rsidRDefault="00C30874">
            <w:pPr>
              <w:pStyle w:val="afe"/>
              <w:keepNext/>
              <w:keepLines/>
              <w:rPr>
                <w:rFonts w:ascii="Arial" w:hAnsi="Arial" w:cs="Arial"/>
                <w:sz w:val="18"/>
                <w:szCs w:val="18"/>
              </w:rPr>
            </w:pPr>
            <w:r>
              <w:rPr>
                <w:rFonts w:ascii="Arial" w:hAnsi="Arial" w:cs="Arial"/>
                <w:sz w:val="18"/>
                <w:szCs w:val="18"/>
              </w:rPr>
              <w:t>Food demand</w:t>
            </w:r>
          </w:p>
        </w:tc>
        <w:tc>
          <w:tcPr>
            <w:tcW w:w="3827" w:type="dxa"/>
          </w:tcPr>
          <w:p w14:paraId="040857C6" w14:textId="77777777" w:rsidR="002A1696" w:rsidRPr="00415FB9" w:rsidRDefault="00C30874">
            <w:pPr>
              <w:pStyle w:val="afe"/>
              <w:keepNext/>
              <w:keepLines/>
              <w:rPr>
                <w:rFonts w:ascii="Arial" w:hAnsi="Arial" w:cs="Arial"/>
                <w:sz w:val="18"/>
                <w:szCs w:val="18"/>
              </w:rPr>
            </w:pPr>
            <w:r>
              <w:rPr>
                <w:rFonts w:ascii="Arial" w:hAnsi="Arial" w:cs="Arial"/>
                <w:sz w:val="18"/>
                <w:szCs w:val="18"/>
              </w:rPr>
              <w:t>FAOSTAT food balances</w:t>
            </w:r>
          </w:p>
        </w:tc>
        <w:tc>
          <w:tcPr>
            <w:tcW w:w="2220" w:type="dxa"/>
          </w:tcPr>
          <w:p w14:paraId="040857C7" w14:textId="0CA5D466" w:rsidR="002A1696" w:rsidRPr="00415FB9" w:rsidRDefault="00FD48CD">
            <w:pPr>
              <w:pStyle w:val="afe"/>
              <w:keepNext/>
              <w:keepLines/>
              <w:rPr>
                <w:rFonts w:ascii="Arial" w:hAnsi="Arial" w:cs="Arial"/>
                <w:sz w:val="18"/>
                <w:szCs w:val="18"/>
              </w:rPr>
            </w:pPr>
            <w:r>
              <w:rPr>
                <w:rFonts w:ascii="Arial" w:hAnsi="Arial" w:cs="Arial"/>
                <w:sz w:val="18"/>
                <w:szCs w:val="18"/>
              </w:rPr>
              <w:fldChar w:fldCharType="begin"/>
            </w:r>
            <w:r w:rsidR="00704008">
              <w:rPr>
                <w:rFonts w:ascii="Arial" w:hAnsi="Arial" w:cs="Arial"/>
                <w:sz w:val="18"/>
                <w:szCs w:val="18"/>
              </w:rPr>
              <w:instrText xml:space="preserve"> ADDIN EN.CITE &lt;EndNote&gt;&lt;Cite AuthorYear="1"&gt;&lt;Author&gt;FAOSTAT&lt;/Author&gt;&lt;Year&gt;2024&lt;/Year&gt;&lt;RecNum&gt;560&lt;/RecNum&gt;&lt;DisplayText&gt;FAOSTAT &lt;style face="superscript"&gt;44&lt;/style&gt;&lt;/DisplayText&gt;&lt;record&gt;&lt;rec-number&gt;560&lt;/rec-number&gt;&lt;foreign-keys&gt;&lt;key app="EN" db-id="st0zxxax1wfadte9s5gpaptza9tfvrzsvaxs" timestamp="1773645717" guid="0bb716c8-601c-4b8e-a9f9-a9dbe176d56f"&gt;560&lt;/key&gt;&lt;/foreign-keys&gt;&lt;ref-type name="Journal Article"&gt;17&lt;/ref-type&gt;&lt;contributors&gt;&lt;authors&gt;&lt;author&gt;FAOSTAT&lt;/author&gt;&lt;/authors&gt;&lt;/contributors&gt;&lt;titles&gt;&lt;title&gt;FAOSTAT: Food Balances (Food Balance Sheets)&lt;/title&gt;&lt;/titles&gt;&lt;dates&gt;&lt;year&gt;2024&lt;/year&gt;&lt;/dates&gt;&lt;pub-location&gt;Rome, Italy&lt;/pub-location&gt;&lt;publisher&gt;FAO&lt;/publisher&gt;&lt;urls&gt;&lt;related-urls&gt;&lt;url&gt;https://www.fao.org/faostat/en/#data/FBS&lt;/url&gt;&lt;/related-urls&gt;&lt;/urls&gt;&lt;/record&gt;&lt;/Cite&gt;&lt;/EndNote&gt;</w:instrText>
            </w:r>
            <w:r>
              <w:rPr>
                <w:rFonts w:ascii="Arial" w:hAnsi="Arial" w:cs="Arial"/>
                <w:sz w:val="18"/>
                <w:szCs w:val="18"/>
              </w:rPr>
              <w:fldChar w:fldCharType="separate"/>
            </w:r>
            <w:r w:rsidR="007C0C3E">
              <w:rPr>
                <w:rFonts w:ascii="Arial" w:hAnsi="Arial" w:cs="Arial"/>
                <w:noProof/>
                <w:sz w:val="18"/>
                <w:szCs w:val="18"/>
              </w:rPr>
              <w:t xml:space="preserve">FAOSTAT </w:t>
            </w:r>
            <w:r w:rsidR="007C0C3E" w:rsidRPr="007C0C3E">
              <w:rPr>
                <w:rFonts w:ascii="Arial" w:hAnsi="Arial" w:cs="Arial"/>
                <w:noProof/>
                <w:sz w:val="18"/>
                <w:szCs w:val="18"/>
                <w:vertAlign w:val="superscript"/>
              </w:rPr>
              <w:t>44</w:t>
            </w:r>
            <w:r>
              <w:rPr>
                <w:rFonts w:ascii="Arial" w:hAnsi="Arial" w:cs="Arial"/>
                <w:sz w:val="18"/>
                <w:szCs w:val="18"/>
              </w:rPr>
              <w:fldChar w:fldCharType="end"/>
            </w:r>
          </w:p>
        </w:tc>
      </w:tr>
      <w:tr w:rsidR="002A1696" w:rsidRPr="00415FB9" w14:paraId="040857CC" w14:textId="77777777">
        <w:trPr>
          <w:cantSplit/>
          <w:trHeight w:val="245"/>
        </w:trPr>
        <w:tc>
          <w:tcPr>
            <w:tcW w:w="2268" w:type="dxa"/>
            <w:tcBorders>
              <w:bottom w:val="single" w:sz="12" w:space="0" w:color="000000"/>
            </w:tcBorders>
          </w:tcPr>
          <w:p w14:paraId="040857C9" w14:textId="77777777" w:rsidR="002A1696" w:rsidRPr="00415FB9" w:rsidRDefault="00C30874">
            <w:pPr>
              <w:pStyle w:val="afe"/>
              <w:keepNext/>
              <w:keepLines/>
              <w:rPr>
                <w:rFonts w:ascii="Arial" w:hAnsi="Arial" w:cs="Arial"/>
                <w:sz w:val="18"/>
                <w:szCs w:val="18"/>
              </w:rPr>
            </w:pPr>
            <w:r>
              <w:rPr>
                <w:rFonts w:ascii="Arial" w:hAnsi="Arial" w:cs="Arial"/>
                <w:sz w:val="18"/>
                <w:szCs w:val="18"/>
              </w:rPr>
              <w:t>Population</w:t>
            </w:r>
          </w:p>
        </w:tc>
        <w:tc>
          <w:tcPr>
            <w:tcW w:w="3827" w:type="dxa"/>
            <w:tcBorders>
              <w:bottom w:val="single" w:sz="12" w:space="0" w:color="000000"/>
            </w:tcBorders>
          </w:tcPr>
          <w:p w14:paraId="040857CA" w14:textId="77777777" w:rsidR="002A1696" w:rsidRPr="00415FB9" w:rsidRDefault="00C30874">
            <w:pPr>
              <w:pStyle w:val="afe"/>
              <w:keepNext/>
              <w:keepLines/>
              <w:rPr>
                <w:rFonts w:ascii="Arial" w:hAnsi="Arial" w:cs="Arial"/>
                <w:sz w:val="18"/>
                <w:szCs w:val="18"/>
              </w:rPr>
            </w:pPr>
            <w:r>
              <w:rPr>
                <w:rFonts w:ascii="Arial" w:hAnsi="Arial" w:cs="Arial"/>
                <w:sz w:val="18"/>
                <w:szCs w:val="18"/>
              </w:rPr>
              <w:t>SSP2 population projections for Australia</w:t>
            </w:r>
          </w:p>
        </w:tc>
        <w:tc>
          <w:tcPr>
            <w:tcW w:w="2220" w:type="dxa"/>
            <w:tcBorders>
              <w:bottom w:val="single" w:sz="12" w:space="0" w:color="000000"/>
            </w:tcBorders>
          </w:tcPr>
          <w:p w14:paraId="040857CB" w14:textId="0C1E36A9" w:rsidR="002A1696" w:rsidRPr="00415FB9" w:rsidRDefault="00C30874">
            <w:pPr>
              <w:pStyle w:val="afe"/>
              <w:keepNext/>
              <w:keepLines/>
              <w:rPr>
                <w:rFonts w:ascii="Arial" w:hAnsi="Arial" w:cs="Arial"/>
                <w:sz w:val="18"/>
                <w:szCs w:val="18"/>
              </w:rPr>
            </w:pPr>
            <w:r>
              <w:rPr>
                <w:rFonts w:ascii="Arial" w:hAnsi="Arial" w:cs="Arial"/>
                <w:sz w:val="18"/>
                <w:szCs w:val="18"/>
              </w:rPr>
              <w:t xml:space="preserve">IIASA SSP database </w:t>
            </w:r>
            <w:r>
              <w:fldChar w:fldCharType="begin">
                <w:fldData xml:space="preserve">PEVuZE5vdGU+PENpdGU+PEF1dGhvcj5SaWFoaTwvQXV0aG9yPjxZZWFyPjIwMTc8L1llYXI+PFJl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</w:fldData>
              </w:fldChar>
            </w:r>
            <w:r w:rsidR="007C0C3E">
              <w:instrText xml:space="preserve"> ADDIN EN.CITE </w:instrText>
            </w:r>
            <w:r w:rsidR="007C0C3E">
              <w:fldChar w:fldCharType="begin">
                <w:fldData xml:space="preserve">PEVuZE5vdGU+PENpdGU+PEF1dGhvcj5SaWFoaTwvQXV0aG9yPjxZZWFyPjIwMTc8L1llYXI+PFJl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</w:fldData>
              </w:fldChar>
            </w:r>
            <w:r w:rsidR="007C0C3E">
              <w:instrText xml:space="preserve"> ADDIN EN.CITE.DATA </w:instrText>
            </w:r>
            <w:r w:rsidR="007C0C3E">
              <w:fldChar w:fldCharType="end"/>
            </w:r>
            <w:r>
              <w:fldChar w:fldCharType="separate"/>
            </w:r>
            <w:r w:rsidR="007C0C3E" w:rsidRPr="007C0C3E">
              <w:rPr>
                <w:noProof/>
                <w:vertAlign w:val="superscript"/>
              </w:rPr>
              <w:t>47</w:t>
            </w:r>
            <w:r>
              <w:fldChar w:fldCharType="end"/>
            </w:r>
          </w:p>
        </w:tc>
      </w:tr>
    </w:tbl>
    <w:p w14:paraId="040857CD" w14:textId="77777777" w:rsidR="002A1696" w:rsidRDefault="002A1696">
      <w:pPr>
        <w:ind w:firstLine="420"/>
      </w:pPr>
    </w:p>
    <w:p w14:paraId="040857CE" w14:textId="5629464C" w:rsidR="002A1696" w:rsidRDefault="00D27809">
      <w:pPr>
        <w:keepNext/>
        <w:keepLines/>
        <w:spacing w:before="200" w:after="80"/>
        <w:ind w:firstLineChars="0" w:firstLine="0"/>
      </w:pPr>
      <w:r>
        <w:rPr>
          <w:b/>
          <w:bCs/>
          <w:sz w:val="20"/>
          <w:szCs w:val="20"/>
        </w:rPr>
        <w:t>Table S</w:t>
      </w:r>
      <w:r>
        <w:rPr>
          <w:b/>
          <w:bCs/>
          <w:sz w:val="20"/>
          <w:szCs w:val="20"/>
        </w:rPr>
        <w:fldChar w:fldCharType="begin"/>
      </w:r>
      <w:r>
        <w:rPr>
          <w:b/>
          <w:bCs/>
          <w:sz w:val="20"/>
          <w:szCs w:val="20"/>
        </w:rPr>
        <w:instrText xml:space="preserve"> SEQ Table_S \* ARABIC </w:instrText>
      </w:r>
      <w:r>
        <w:rPr>
          <w:b/>
          <w:bCs/>
          <w:sz w:val="20"/>
          <w:szCs w:val="20"/>
        </w:rPr>
        <w:fldChar w:fldCharType="separate"/>
      </w:r>
      <w:r>
        <w:rPr>
          <w:b/>
          <w:bCs/>
          <w:noProof/>
          <w:sz w:val="20"/>
          <w:szCs w:val="20"/>
        </w:rPr>
        <w:t>8</w:t>
      </w:r>
      <w:r>
        <w:rPr>
          <w:b/>
          <w:bCs/>
          <w:sz w:val="20"/>
          <w:szCs w:val="20"/>
        </w:rPr>
        <w:fldChar w:fldCharType="end"/>
      </w:r>
      <w:r>
        <w:rPr>
          <w:rFonts w:hint="eastAsia"/>
          <w:sz w:val="20"/>
          <w:szCs w:val="20"/>
        </w:rPr>
        <w:t>.</w:t>
      </w:r>
      <w:r>
        <w:rPr>
          <w:rFonts w:cs="Times New Roman"/>
          <w:b/>
          <w:bCs/>
          <w:sz w:val="20"/>
          <w:szCs w:val="20"/>
        </w:rPr>
        <w:t xml:space="preserve"> System-specific coefficients for grass-fed and grain-fed (short-, mid-, and long-fed) cattle used to derive the time-varying feedlot adjustment ratios. </w:t>
      </w:r>
      <w:r>
        <w:rPr>
          <w:rFonts w:cs="Times New Roman"/>
          <w:sz w:val="20"/>
          <w:szCs w:val="20"/>
        </w:rPr>
        <w:t>Revenue and cost are expressed per kg boneless meat; GHG and water are expressed per kg and per tonne liveweight (LW), respectively. Grass-fed values are the LUTO2 baseline against which adjustment ratios were computed.</w:t>
      </w:r>
    </w:p>
    <w:tbl>
      <w:tblPr>
        <w:tblW w:w="8381" w:type="dxa"/>
        <w:tblLayout w:type="fixed"/>
        <w:tblCellMar>
          <w:top w:w="60" w:type="dxa"/>
          <w:left w:w="90" w:type="dxa"/>
          <w:bottom w:w="60" w:type="dxa"/>
          <w:right w:w="90" w:type="dxa"/>
        </w:tblCellMar>
        <w:tblLook w:val="04A0" w:firstRow="1" w:lastRow="0" w:firstColumn="1" w:lastColumn="0" w:noHBand="0" w:noVBand="1"/>
      </w:tblPr>
      <w:tblGrid>
        <w:gridCol w:w="1842"/>
        <w:gridCol w:w="1346"/>
        <w:gridCol w:w="1342"/>
        <w:gridCol w:w="1255"/>
        <w:gridCol w:w="1297"/>
        <w:gridCol w:w="1299"/>
      </w:tblGrid>
      <w:tr w:rsidR="002A1696" w14:paraId="040857D5" w14:textId="77777777">
        <w:trPr>
          <w:trHeight w:val="464"/>
        </w:trPr>
        <w:tc>
          <w:tcPr>
            <w:tcW w:w="1842" w:type="dxa"/>
            <w:tcBorders>
              <w:top w:val="single" w:sz="12" w:space="0" w:color="000000"/>
              <w:bottom w:val="single" w:sz="6" w:space="0" w:color="000000"/>
            </w:tcBorders>
            <w:vAlign w:val="center"/>
          </w:tcPr>
          <w:p w14:paraId="040857CF" w14:textId="77777777" w:rsidR="002A1696" w:rsidRDefault="00C30874">
            <w:pPr>
              <w:keepNext/>
              <w:keepLines/>
              <w:ind w:firstLineChars="0" w:firstLine="0"/>
              <w:rPr>
                <w:sz w:val="16"/>
                <w:szCs w:val="16"/>
              </w:rPr>
            </w:pPr>
            <w:r>
              <w:rPr>
                <w:rFonts w:ascii="Arial" w:hAnsi="Arial" w:cs="Arial"/>
                <w:sz w:val="16"/>
                <w:szCs w:val="16"/>
              </w:rPr>
              <w:t>Cattle system</w:t>
            </w:r>
          </w:p>
        </w:tc>
        <w:tc>
          <w:tcPr>
            <w:tcW w:w="1346" w:type="dxa"/>
            <w:tcBorders>
              <w:top w:val="single" w:sz="12" w:space="0" w:color="000000"/>
              <w:bottom w:val="single" w:sz="6" w:space="0" w:color="000000"/>
            </w:tcBorders>
            <w:vAlign w:val="center"/>
          </w:tcPr>
          <w:p w14:paraId="040857D0" w14:textId="77777777" w:rsidR="002A1696" w:rsidRDefault="00C30874">
            <w:pPr>
              <w:keepNext/>
              <w:keepLines/>
              <w:ind w:firstLineChars="0" w:firstLine="0"/>
              <w:jc w:val="center"/>
              <w:rPr>
                <w:sz w:val="16"/>
                <w:szCs w:val="16"/>
              </w:rPr>
            </w:pPr>
            <w:r>
              <w:rPr>
                <w:rFonts w:ascii="Arial" w:hAnsi="Arial" w:cs="Arial"/>
                <w:sz w:val="16"/>
                <w:szCs w:val="16"/>
              </w:rPr>
              <w:t>Meat yield (kg head⁻¹)</w:t>
            </w:r>
          </w:p>
        </w:tc>
        <w:tc>
          <w:tcPr>
            <w:tcW w:w="1342" w:type="dxa"/>
            <w:tcBorders>
              <w:top w:val="single" w:sz="12" w:space="0" w:color="000000"/>
              <w:bottom w:val="single" w:sz="6" w:space="0" w:color="000000"/>
            </w:tcBorders>
            <w:vAlign w:val="center"/>
          </w:tcPr>
          <w:p w14:paraId="040857D1" w14:textId="77777777" w:rsidR="002A1696" w:rsidRDefault="00C30874">
            <w:pPr>
              <w:keepNext/>
              <w:keepLines/>
              <w:ind w:firstLineChars="0" w:firstLine="0"/>
              <w:jc w:val="center"/>
              <w:rPr>
                <w:sz w:val="16"/>
                <w:szCs w:val="16"/>
              </w:rPr>
            </w:pPr>
            <w:r>
              <w:rPr>
                <w:rFonts w:ascii="Arial" w:hAnsi="Arial" w:cs="Arial"/>
                <w:sz w:val="16"/>
                <w:szCs w:val="16"/>
              </w:rPr>
              <w:t>Revenue (AU$ kg⁻¹)</w:t>
            </w:r>
          </w:p>
        </w:tc>
        <w:tc>
          <w:tcPr>
            <w:tcW w:w="1255" w:type="dxa"/>
            <w:tcBorders>
              <w:top w:val="single" w:sz="12" w:space="0" w:color="000000"/>
              <w:bottom w:val="single" w:sz="6" w:space="0" w:color="000000"/>
            </w:tcBorders>
            <w:vAlign w:val="center"/>
          </w:tcPr>
          <w:p w14:paraId="040857D2" w14:textId="77777777" w:rsidR="002A1696" w:rsidRDefault="00C30874">
            <w:pPr>
              <w:keepNext/>
              <w:keepLines/>
              <w:ind w:firstLineChars="0" w:firstLine="0"/>
              <w:jc w:val="center"/>
              <w:rPr>
                <w:sz w:val="16"/>
                <w:szCs w:val="16"/>
              </w:rPr>
            </w:pPr>
            <w:r>
              <w:rPr>
                <w:rFonts w:ascii="Arial" w:hAnsi="Arial" w:cs="Arial"/>
                <w:sz w:val="16"/>
                <w:szCs w:val="16"/>
              </w:rPr>
              <w:t>Cost (AU$ kg⁻¹)</w:t>
            </w:r>
          </w:p>
        </w:tc>
        <w:tc>
          <w:tcPr>
            <w:tcW w:w="1297" w:type="dxa"/>
            <w:tcBorders>
              <w:top w:val="single" w:sz="12" w:space="0" w:color="000000"/>
              <w:bottom w:val="single" w:sz="6" w:space="0" w:color="000000"/>
            </w:tcBorders>
            <w:vAlign w:val="center"/>
          </w:tcPr>
          <w:p w14:paraId="040857D3" w14:textId="77777777" w:rsidR="002A1696" w:rsidRDefault="00C30874">
            <w:pPr>
              <w:keepNext/>
              <w:keepLines/>
              <w:ind w:firstLineChars="0" w:firstLine="0"/>
              <w:jc w:val="center"/>
              <w:rPr>
                <w:sz w:val="16"/>
                <w:szCs w:val="16"/>
              </w:rPr>
            </w:pPr>
            <w:r>
              <w:rPr>
                <w:rFonts w:ascii="Arial" w:hAnsi="Arial" w:cs="Arial"/>
                <w:sz w:val="16"/>
                <w:szCs w:val="16"/>
              </w:rPr>
              <w:t>GHG (kg CO₂e kg⁻¹ LW)</w:t>
            </w:r>
          </w:p>
        </w:tc>
        <w:tc>
          <w:tcPr>
            <w:tcW w:w="1299" w:type="dxa"/>
            <w:tcBorders>
              <w:top w:val="single" w:sz="12" w:space="0" w:color="000000"/>
              <w:bottom w:val="single" w:sz="6" w:space="0" w:color="000000"/>
            </w:tcBorders>
            <w:vAlign w:val="center"/>
          </w:tcPr>
          <w:p w14:paraId="040857D4" w14:textId="77777777" w:rsidR="002A1696" w:rsidRDefault="00C30874">
            <w:pPr>
              <w:keepNext/>
              <w:keepLines/>
              <w:ind w:firstLineChars="0" w:firstLine="0"/>
              <w:jc w:val="center"/>
              <w:rPr>
                <w:sz w:val="16"/>
                <w:szCs w:val="16"/>
              </w:rPr>
            </w:pPr>
            <w:r>
              <w:rPr>
                <w:rFonts w:ascii="Arial" w:hAnsi="Arial" w:cs="Arial"/>
                <w:sz w:val="16"/>
                <w:szCs w:val="16"/>
              </w:rPr>
              <w:t>Water (ML t⁻¹ LW)</w:t>
            </w:r>
          </w:p>
        </w:tc>
      </w:tr>
      <w:tr w:rsidR="002A1696" w14:paraId="040857DC" w14:textId="77777777">
        <w:trPr>
          <w:trHeight w:val="238"/>
        </w:trPr>
        <w:tc>
          <w:tcPr>
            <w:tcW w:w="1842" w:type="dxa"/>
            <w:tcBorders>
              <w:top w:val="single" w:sz="6" w:space="0" w:color="000000"/>
            </w:tcBorders>
            <w:vAlign w:val="center"/>
          </w:tcPr>
          <w:p w14:paraId="040857D6" w14:textId="77777777" w:rsidR="002A1696" w:rsidRDefault="00C30874">
            <w:pPr>
              <w:keepNext/>
              <w:keepLines/>
              <w:ind w:firstLineChars="0" w:firstLine="0"/>
              <w:rPr>
                <w:sz w:val="16"/>
                <w:szCs w:val="16"/>
              </w:rPr>
            </w:pPr>
            <w:r>
              <w:rPr>
                <w:rFonts w:ascii="Arial" w:hAnsi="Arial" w:cs="Arial"/>
                <w:sz w:val="16"/>
                <w:szCs w:val="16"/>
              </w:rPr>
              <w:t>Grass-fed</w:t>
            </w:r>
          </w:p>
        </w:tc>
        <w:tc>
          <w:tcPr>
            <w:tcW w:w="1346" w:type="dxa"/>
            <w:tcBorders>
              <w:top w:val="single" w:sz="6" w:space="0" w:color="000000"/>
            </w:tcBorders>
            <w:vAlign w:val="center"/>
          </w:tcPr>
          <w:p w14:paraId="040857D7" w14:textId="77777777" w:rsidR="002A1696" w:rsidRDefault="00C30874">
            <w:pPr>
              <w:keepNext/>
              <w:keepLines/>
              <w:ind w:firstLineChars="0" w:firstLine="0"/>
              <w:jc w:val="center"/>
              <w:rPr>
                <w:sz w:val="16"/>
                <w:szCs w:val="16"/>
              </w:rPr>
            </w:pPr>
            <w:r>
              <w:rPr>
                <w:rFonts w:ascii="Arial" w:hAnsi="Arial" w:cs="Arial"/>
                <w:sz w:val="16"/>
                <w:szCs w:val="16"/>
              </w:rPr>
              <w:t>233.2</w:t>
            </w:r>
          </w:p>
        </w:tc>
        <w:tc>
          <w:tcPr>
            <w:tcW w:w="1342" w:type="dxa"/>
            <w:tcBorders>
              <w:top w:val="single" w:sz="6" w:space="0" w:color="000000"/>
            </w:tcBorders>
            <w:vAlign w:val="center"/>
          </w:tcPr>
          <w:p w14:paraId="040857D8" w14:textId="77777777" w:rsidR="002A1696" w:rsidRDefault="00C30874">
            <w:pPr>
              <w:keepNext/>
              <w:keepLines/>
              <w:ind w:firstLineChars="0" w:firstLine="0"/>
              <w:jc w:val="center"/>
              <w:rPr>
                <w:sz w:val="16"/>
                <w:szCs w:val="16"/>
              </w:rPr>
            </w:pPr>
            <w:r>
              <w:rPr>
                <w:rFonts w:ascii="Arial" w:hAnsi="Arial" w:cs="Arial"/>
                <w:sz w:val="16"/>
                <w:szCs w:val="16"/>
              </w:rPr>
              <w:t>baseline</w:t>
            </w:r>
          </w:p>
        </w:tc>
        <w:tc>
          <w:tcPr>
            <w:tcW w:w="1255" w:type="dxa"/>
            <w:tcBorders>
              <w:top w:val="single" w:sz="6" w:space="0" w:color="000000"/>
            </w:tcBorders>
            <w:vAlign w:val="center"/>
          </w:tcPr>
          <w:p w14:paraId="040857D9" w14:textId="77777777" w:rsidR="002A1696" w:rsidRDefault="00C30874">
            <w:pPr>
              <w:keepNext/>
              <w:keepLines/>
              <w:ind w:firstLineChars="0" w:firstLine="0"/>
              <w:jc w:val="center"/>
              <w:rPr>
                <w:sz w:val="16"/>
                <w:szCs w:val="16"/>
              </w:rPr>
            </w:pPr>
            <w:r>
              <w:rPr>
                <w:rFonts w:ascii="Arial" w:hAnsi="Arial" w:cs="Arial"/>
                <w:sz w:val="16"/>
                <w:szCs w:val="16"/>
              </w:rPr>
              <w:t>baseline</w:t>
            </w:r>
          </w:p>
        </w:tc>
        <w:tc>
          <w:tcPr>
            <w:tcW w:w="1297" w:type="dxa"/>
            <w:tcBorders>
              <w:top w:val="single" w:sz="6" w:space="0" w:color="000000"/>
            </w:tcBorders>
            <w:vAlign w:val="center"/>
          </w:tcPr>
          <w:p w14:paraId="040857DA" w14:textId="77777777" w:rsidR="002A1696" w:rsidRDefault="00C30874">
            <w:pPr>
              <w:keepNext/>
              <w:keepLines/>
              <w:ind w:firstLineChars="0" w:firstLine="0"/>
              <w:jc w:val="center"/>
              <w:rPr>
                <w:sz w:val="16"/>
                <w:szCs w:val="16"/>
              </w:rPr>
            </w:pPr>
            <w:r>
              <w:rPr>
                <w:rFonts w:ascii="Arial" w:hAnsi="Arial" w:cs="Arial"/>
                <w:sz w:val="16"/>
                <w:szCs w:val="16"/>
              </w:rPr>
              <w:t>12.0</w:t>
            </w:r>
          </w:p>
        </w:tc>
        <w:tc>
          <w:tcPr>
            <w:tcW w:w="1299" w:type="dxa"/>
            <w:tcBorders>
              <w:top w:val="single" w:sz="6" w:space="0" w:color="000000"/>
            </w:tcBorders>
            <w:vAlign w:val="center"/>
          </w:tcPr>
          <w:p w14:paraId="040857DB" w14:textId="77777777" w:rsidR="002A1696" w:rsidRDefault="00C30874">
            <w:pPr>
              <w:keepNext/>
              <w:keepLines/>
              <w:ind w:firstLineChars="0" w:firstLine="0"/>
              <w:jc w:val="center"/>
              <w:rPr>
                <w:sz w:val="16"/>
                <w:szCs w:val="16"/>
              </w:rPr>
            </w:pPr>
            <w:r>
              <w:rPr>
                <w:rFonts w:ascii="Arial" w:hAnsi="Arial" w:cs="Arial"/>
                <w:sz w:val="16"/>
                <w:szCs w:val="16"/>
              </w:rPr>
              <w:t>0.200</w:t>
            </w:r>
          </w:p>
        </w:tc>
      </w:tr>
      <w:tr w:rsidR="002A1696" w14:paraId="040857E3" w14:textId="77777777">
        <w:trPr>
          <w:trHeight w:val="226"/>
        </w:trPr>
        <w:tc>
          <w:tcPr>
            <w:tcW w:w="1842" w:type="dxa"/>
            <w:vAlign w:val="center"/>
          </w:tcPr>
          <w:p w14:paraId="040857DD" w14:textId="77777777" w:rsidR="002A1696" w:rsidRDefault="00C30874">
            <w:pPr>
              <w:keepNext/>
              <w:keepLines/>
              <w:ind w:firstLineChars="0" w:firstLine="0"/>
              <w:rPr>
                <w:sz w:val="16"/>
                <w:szCs w:val="16"/>
              </w:rPr>
            </w:pPr>
            <w:r>
              <w:rPr>
                <w:rFonts w:ascii="Arial" w:hAnsi="Arial" w:cs="Arial"/>
                <w:sz w:val="16"/>
                <w:szCs w:val="16"/>
              </w:rPr>
              <w:t>Short-fed (~90 days)</w:t>
            </w:r>
          </w:p>
        </w:tc>
        <w:tc>
          <w:tcPr>
            <w:tcW w:w="1346" w:type="dxa"/>
            <w:vAlign w:val="center"/>
          </w:tcPr>
          <w:p w14:paraId="040857DE" w14:textId="77777777" w:rsidR="002A1696" w:rsidRDefault="00C30874">
            <w:pPr>
              <w:keepNext/>
              <w:keepLines/>
              <w:ind w:firstLineChars="0" w:firstLine="0"/>
              <w:jc w:val="center"/>
              <w:rPr>
                <w:sz w:val="16"/>
                <w:szCs w:val="16"/>
              </w:rPr>
            </w:pPr>
            <w:r>
              <w:rPr>
                <w:rFonts w:ascii="Arial" w:hAnsi="Arial" w:cs="Arial"/>
                <w:sz w:val="16"/>
                <w:szCs w:val="16"/>
              </w:rPr>
              <w:t>316.5</w:t>
            </w:r>
          </w:p>
        </w:tc>
        <w:tc>
          <w:tcPr>
            <w:tcW w:w="1342" w:type="dxa"/>
            <w:vAlign w:val="center"/>
          </w:tcPr>
          <w:p w14:paraId="040857DF" w14:textId="77777777" w:rsidR="002A1696" w:rsidRDefault="00C30874">
            <w:pPr>
              <w:keepNext/>
              <w:keepLines/>
              <w:ind w:firstLineChars="0" w:firstLine="0"/>
              <w:jc w:val="center"/>
              <w:rPr>
                <w:sz w:val="16"/>
                <w:szCs w:val="16"/>
              </w:rPr>
            </w:pPr>
            <w:r>
              <w:rPr>
                <w:rFonts w:ascii="Arial" w:hAnsi="Arial" w:cs="Arial"/>
                <w:sz w:val="16"/>
                <w:szCs w:val="16"/>
              </w:rPr>
              <w:t>13.23</w:t>
            </w:r>
          </w:p>
        </w:tc>
        <w:tc>
          <w:tcPr>
            <w:tcW w:w="1255" w:type="dxa"/>
            <w:vAlign w:val="center"/>
          </w:tcPr>
          <w:p w14:paraId="040857E0" w14:textId="77777777" w:rsidR="002A1696" w:rsidRDefault="00C30874">
            <w:pPr>
              <w:keepNext/>
              <w:keepLines/>
              <w:ind w:firstLineChars="0" w:firstLine="0"/>
              <w:jc w:val="center"/>
              <w:rPr>
                <w:sz w:val="16"/>
                <w:szCs w:val="16"/>
              </w:rPr>
            </w:pPr>
            <w:r>
              <w:rPr>
                <w:rFonts w:ascii="Arial" w:hAnsi="Arial" w:cs="Arial"/>
                <w:sz w:val="16"/>
                <w:szCs w:val="16"/>
              </w:rPr>
              <w:t>10.28</w:t>
            </w:r>
          </w:p>
        </w:tc>
        <w:tc>
          <w:tcPr>
            <w:tcW w:w="1297" w:type="dxa"/>
            <w:vAlign w:val="center"/>
          </w:tcPr>
          <w:p w14:paraId="040857E1" w14:textId="77777777" w:rsidR="002A1696" w:rsidRDefault="00C30874">
            <w:pPr>
              <w:keepNext/>
              <w:keepLines/>
              <w:ind w:firstLineChars="0" w:firstLine="0"/>
              <w:jc w:val="center"/>
              <w:rPr>
                <w:sz w:val="16"/>
                <w:szCs w:val="16"/>
              </w:rPr>
            </w:pPr>
            <w:r>
              <w:rPr>
                <w:rFonts w:ascii="Arial" w:hAnsi="Arial" w:cs="Arial"/>
                <w:sz w:val="16"/>
                <w:szCs w:val="16"/>
              </w:rPr>
              <w:t>9.9</w:t>
            </w:r>
          </w:p>
        </w:tc>
        <w:tc>
          <w:tcPr>
            <w:tcW w:w="1299" w:type="dxa"/>
            <w:vAlign w:val="center"/>
          </w:tcPr>
          <w:p w14:paraId="040857E2" w14:textId="77777777" w:rsidR="002A1696" w:rsidRDefault="00C30874">
            <w:pPr>
              <w:keepNext/>
              <w:keepLines/>
              <w:ind w:firstLineChars="0" w:firstLine="0"/>
              <w:jc w:val="center"/>
              <w:rPr>
                <w:sz w:val="16"/>
                <w:szCs w:val="16"/>
              </w:rPr>
            </w:pPr>
            <w:r>
              <w:rPr>
                <w:rFonts w:ascii="Arial" w:hAnsi="Arial" w:cs="Arial"/>
                <w:sz w:val="16"/>
                <w:szCs w:val="16"/>
              </w:rPr>
              <w:t>0.296</w:t>
            </w:r>
          </w:p>
        </w:tc>
      </w:tr>
      <w:tr w:rsidR="002A1696" w14:paraId="040857EA" w14:textId="77777777">
        <w:trPr>
          <w:trHeight w:val="238"/>
        </w:trPr>
        <w:tc>
          <w:tcPr>
            <w:tcW w:w="1842" w:type="dxa"/>
            <w:vAlign w:val="center"/>
          </w:tcPr>
          <w:p w14:paraId="040857E4" w14:textId="77777777" w:rsidR="002A1696" w:rsidRDefault="00C30874">
            <w:pPr>
              <w:keepNext/>
              <w:keepLines/>
              <w:ind w:firstLineChars="0" w:firstLine="0"/>
              <w:rPr>
                <w:sz w:val="16"/>
                <w:szCs w:val="16"/>
              </w:rPr>
            </w:pPr>
            <w:r>
              <w:rPr>
                <w:rFonts w:ascii="Arial" w:hAnsi="Arial" w:cs="Arial"/>
                <w:sz w:val="16"/>
                <w:szCs w:val="16"/>
              </w:rPr>
              <w:t>Mid-fed (~150 days)</w:t>
            </w:r>
          </w:p>
        </w:tc>
        <w:tc>
          <w:tcPr>
            <w:tcW w:w="1346" w:type="dxa"/>
            <w:vAlign w:val="center"/>
          </w:tcPr>
          <w:p w14:paraId="040857E5" w14:textId="77777777" w:rsidR="002A1696" w:rsidRDefault="00C30874">
            <w:pPr>
              <w:keepNext/>
              <w:keepLines/>
              <w:ind w:firstLineChars="0" w:firstLine="0"/>
              <w:jc w:val="center"/>
              <w:rPr>
                <w:sz w:val="16"/>
                <w:szCs w:val="16"/>
              </w:rPr>
            </w:pPr>
            <w:r>
              <w:rPr>
                <w:rFonts w:ascii="Arial" w:hAnsi="Arial" w:cs="Arial"/>
                <w:sz w:val="16"/>
                <w:szCs w:val="16"/>
              </w:rPr>
              <w:t>441.4</w:t>
            </w:r>
          </w:p>
        </w:tc>
        <w:tc>
          <w:tcPr>
            <w:tcW w:w="1342" w:type="dxa"/>
            <w:vAlign w:val="center"/>
          </w:tcPr>
          <w:p w14:paraId="040857E6" w14:textId="77777777" w:rsidR="002A1696" w:rsidRDefault="00C30874">
            <w:pPr>
              <w:keepNext/>
              <w:keepLines/>
              <w:ind w:firstLineChars="0" w:firstLine="0"/>
              <w:jc w:val="center"/>
              <w:rPr>
                <w:sz w:val="16"/>
                <w:szCs w:val="16"/>
              </w:rPr>
            </w:pPr>
            <w:r>
              <w:rPr>
                <w:rFonts w:ascii="Arial" w:hAnsi="Arial" w:cs="Arial"/>
                <w:sz w:val="16"/>
                <w:szCs w:val="16"/>
              </w:rPr>
              <w:t>16.08</w:t>
            </w:r>
          </w:p>
        </w:tc>
        <w:tc>
          <w:tcPr>
            <w:tcW w:w="1255" w:type="dxa"/>
            <w:vAlign w:val="center"/>
          </w:tcPr>
          <w:p w14:paraId="040857E7" w14:textId="77777777" w:rsidR="002A1696" w:rsidRDefault="00C30874">
            <w:pPr>
              <w:keepNext/>
              <w:keepLines/>
              <w:ind w:firstLineChars="0" w:firstLine="0"/>
              <w:jc w:val="center"/>
              <w:rPr>
                <w:sz w:val="16"/>
                <w:szCs w:val="16"/>
              </w:rPr>
            </w:pPr>
            <w:r>
              <w:rPr>
                <w:rFonts w:ascii="Arial" w:hAnsi="Arial" w:cs="Arial"/>
                <w:sz w:val="16"/>
                <w:szCs w:val="16"/>
              </w:rPr>
              <w:t>9.84</w:t>
            </w:r>
          </w:p>
        </w:tc>
        <w:tc>
          <w:tcPr>
            <w:tcW w:w="1297" w:type="dxa"/>
            <w:vAlign w:val="center"/>
          </w:tcPr>
          <w:p w14:paraId="040857E8" w14:textId="77777777" w:rsidR="002A1696" w:rsidRDefault="00C30874">
            <w:pPr>
              <w:keepNext/>
              <w:keepLines/>
              <w:ind w:firstLineChars="0" w:firstLine="0"/>
              <w:jc w:val="center"/>
              <w:rPr>
                <w:sz w:val="16"/>
                <w:szCs w:val="16"/>
              </w:rPr>
            </w:pPr>
            <w:r>
              <w:rPr>
                <w:rFonts w:ascii="Arial" w:hAnsi="Arial" w:cs="Arial"/>
                <w:sz w:val="16"/>
                <w:szCs w:val="16"/>
              </w:rPr>
              <w:t>9.4</w:t>
            </w:r>
          </w:p>
        </w:tc>
        <w:tc>
          <w:tcPr>
            <w:tcW w:w="1299" w:type="dxa"/>
            <w:vAlign w:val="center"/>
          </w:tcPr>
          <w:p w14:paraId="040857E9" w14:textId="77777777" w:rsidR="002A1696" w:rsidRDefault="00C30874">
            <w:pPr>
              <w:keepNext/>
              <w:keepLines/>
              <w:ind w:firstLineChars="0" w:firstLine="0"/>
              <w:jc w:val="center"/>
              <w:rPr>
                <w:sz w:val="16"/>
                <w:szCs w:val="16"/>
              </w:rPr>
            </w:pPr>
            <w:r>
              <w:rPr>
                <w:rFonts w:ascii="Arial" w:hAnsi="Arial" w:cs="Arial"/>
                <w:sz w:val="16"/>
                <w:szCs w:val="16"/>
              </w:rPr>
              <w:t>0.308</w:t>
            </w:r>
          </w:p>
        </w:tc>
      </w:tr>
      <w:tr w:rsidR="002A1696" w14:paraId="040857F1" w14:textId="77777777">
        <w:trPr>
          <w:trHeight w:val="238"/>
        </w:trPr>
        <w:tc>
          <w:tcPr>
            <w:tcW w:w="1842" w:type="dxa"/>
            <w:tcBorders>
              <w:bottom w:val="single" w:sz="12" w:space="0" w:color="000000"/>
            </w:tcBorders>
            <w:vAlign w:val="center"/>
          </w:tcPr>
          <w:p w14:paraId="040857EB" w14:textId="77777777" w:rsidR="002A1696" w:rsidRDefault="00C30874">
            <w:pPr>
              <w:keepNext/>
              <w:keepLines/>
              <w:ind w:firstLineChars="0" w:firstLine="0"/>
              <w:rPr>
                <w:sz w:val="16"/>
                <w:szCs w:val="16"/>
              </w:rPr>
            </w:pPr>
            <w:r>
              <w:rPr>
                <w:rFonts w:ascii="Arial" w:hAnsi="Arial" w:cs="Arial"/>
                <w:sz w:val="16"/>
                <w:szCs w:val="16"/>
              </w:rPr>
              <w:t>Long-fed (~300 days)</w:t>
            </w:r>
          </w:p>
        </w:tc>
        <w:tc>
          <w:tcPr>
            <w:tcW w:w="1346" w:type="dxa"/>
            <w:tcBorders>
              <w:bottom w:val="single" w:sz="12" w:space="0" w:color="000000"/>
            </w:tcBorders>
            <w:vAlign w:val="center"/>
          </w:tcPr>
          <w:p w14:paraId="040857EC" w14:textId="77777777" w:rsidR="002A1696" w:rsidRDefault="00C30874">
            <w:pPr>
              <w:keepNext/>
              <w:keepLines/>
              <w:ind w:firstLineChars="0" w:firstLine="0"/>
              <w:jc w:val="center"/>
              <w:rPr>
                <w:sz w:val="16"/>
                <w:szCs w:val="16"/>
              </w:rPr>
            </w:pPr>
            <w:r>
              <w:rPr>
                <w:rFonts w:ascii="Arial" w:hAnsi="Arial" w:cs="Arial"/>
                <w:sz w:val="16"/>
                <w:szCs w:val="16"/>
              </w:rPr>
              <w:t>523.2</w:t>
            </w:r>
          </w:p>
        </w:tc>
        <w:tc>
          <w:tcPr>
            <w:tcW w:w="1342" w:type="dxa"/>
            <w:tcBorders>
              <w:bottom w:val="single" w:sz="12" w:space="0" w:color="000000"/>
            </w:tcBorders>
            <w:vAlign w:val="center"/>
          </w:tcPr>
          <w:p w14:paraId="040857ED" w14:textId="77777777" w:rsidR="002A1696" w:rsidRDefault="00C30874">
            <w:pPr>
              <w:keepNext/>
              <w:keepLines/>
              <w:ind w:firstLineChars="0" w:firstLine="0"/>
              <w:jc w:val="center"/>
              <w:rPr>
                <w:sz w:val="16"/>
                <w:szCs w:val="16"/>
              </w:rPr>
            </w:pPr>
            <w:r>
              <w:rPr>
                <w:rFonts w:ascii="Arial" w:hAnsi="Arial" w:cs="Arial"/>
                <w:sz w:val="16"/>
                <w:szCs w:val="16"/>
              </w:rPr>
              <w:t>23.39</w:t>
            </w:r>
          </w:p>
        </w:tc>
        <w:tc>
          <w:tcPr>
            <w:tcW w:w="1255" w:type="dxa"/>
            <w:tcBorders>
              <w:bottom w:val="single" w:sz="12" w:space="0" w:color="000000"/>
            </w:tcBorders>
            <w:vAlign w:val="center"/>
          </w:tcPr>
          <w:p w14:paraId="040857EE" w14:textId="77777777" w:rsidR="002A1696" w:rsidRDefault="00C30874">
            <w:pPr>
              <w:keepNext/>
              <w:keepLines/>
              <w:ind w:firstLineChars="0" w:firstLine="0"/>
              <w:jc w:val="center"/>
              <w:rPr>
                <w:sz w:val="16"/>
                <w:szCs w:val="16"/>
              </w:rPr>
            </w:pPr>
            <w:r>
              <w:rPr>
                <w:rFonts w:ascii="Arial" w:hAnsi="Arial" w:cs="Arial"/>
                <w:sz w:val="16"/>
                <w:szCs w:val="16"/>
              </w:rPr>
              <w:t>9.84</w:t>
            </w:r>
          </w:p>
        </w:tc>
        <w:tc>
          <w:tcPr>
            <w:tcW w:w="1297" w:type="dxa"/>
            <w:tcBorders>
              <w:bottom w:val="single" w:sz="12" w:space="0" w:color="000000"/>
            </w:tcBorders>
            <w:vAlign w:val="center"/>
          </w:tcPr>
          <w:p w14:paraId="040857EF" w14:textId="77777777" w:rsidR="002A1696" w:rsidRDefault="00C30874">
            <w:pPr>
              <w:keepNext/>
              <w:keepLines/>
              <w:ind w:firstLineChars="0" w:firstLine="0"/>
              <w:jc w:val="center"/>
              <w:rPr>
                <w:sz w:val="16"/>
                <w:szCs w:val="16"/>
              </w:rPr>
            </w:pPr>
            <w:r>
              <w:rPr>
                <w:rFonts w:ascii="Arial" w:hAnsi="Arial" w:cs="Arial"/>
                <w:sz w:val="16"/>
                <w:szCs w:val="16"/>
              </w:rPr>
              <w:t>10.6</w:t>
            </w:r>
          </w:p>
        </w:tc>
        <w:tc>
          <w:tcPr>
            <w:tcW w:w="1299" w:type="dxa"/>
            <w:tcBorders>
              <w:bottom w:val="single" w:sz="12" w:space="0" w:color="000000"/>
            </w:tcBorders>
            <w:vAlign w:val="center"/>
          </w:tcPr>
          <w:p w14:paraId="040857F0" w14:textId="77777777" w:rsidR="002A1696" w:rsidRDefault="00C30874">
            <w:pPr>
              <w:keepNext/>
              <w:keepLines/>
              <w:ind w:firstLineChars="0" w:firstLine="0"/>
              <w:jc w:val="center"/>
              <w:rPr>
                <w:sz w:val="16"/>
                <w:szCs w:val="16"/>
              </w:rPr>
            </w:pPr>
            <w:r>
              <w:rPr>
                <w:rFonts w:ascii="Arial" w:hAnsi="Arial" w:cs="Arial"/>
                <w:sz w:val="16"/>
                <w:szCs w:val="16"/>
              </w:rPr>
              <w:t>0.206</w:t>
            </w:r>
          </w:p>
        </w:tc>
      </w:tr>
    </w:tbl>
    <w:p w14:paraId="040857F2" w14:textId="77777777" w:rsidR="002A1696" w:rsidRDefault="002A1696">
      <w:pPr>
        <w:ind w:firstLine="420"/>
      </w:pPr>
    </w:p>
    <w:p w14:paraId="2DFEF0F6" w14:textId="2095A441" w:rsidR="004A300F" w:rsidRDefault="004A300F" w:rsidP="004A300F">
      <w:pPr>
        <w:pStyle w:val="1"/>
      </w:pPr>
      <w:r>
        <w:lastRenderedPageBreak/>
        <w:t xml:space="preserve">Supplementary </w:t>
      </w:r>
      <w:r>
        <w:rPr>
          <w:rFonts w:hint="eastAsia"/>
        </w:rPr>
        <w:t>Figure</w:t>
      </w:r>
      <w:r>
        <w:t>s</w:t>
      </w:r>
    </w:p>
    <w:p w14:paraId="476C3B41" w14:textId="77777777" w:rsidR="004A300F" w:rsidRDefault="004A300F" w:rsidP="004A300F">
      <w:pPr>
        <w:spacing w:before="156"/>
        <w:ind w:firstLine="420"/>
        <w:jc w:val="center"/>
      </w:pPr>
      <w:r>
        <w:rPr>
          <w:noProof/>
        </w:rPr>
        <w:drawing>
          <wp:inline distT="0" distB="0" distL="0" distR="0" wp14:anchorId="4CDC0699" wp14:editId="2FF5F400">
            <wp:extent cx="5029200" cy="4225093"/>
            <wp:effectExtent l="0" t="0" r="0" b="0"/>
            <wp:docPr id="9001" name="image1.png"/>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1"/>
                    <a:stretch>
                      <a:fillRect/>
                    </a:stretch>
                  </pic:blipFill>
                  <pic:spPr>
                    <a:xfrm>
                      <a:off x="0" y="0"/>
                      <a:ext cx="5029200" cy="4225093"/>
                    </a:xfrm>
                    <a:prstGeom prst="rect">
                      <a:avLst/>
                    </a:prstGeom>
                  </pic:spPr>
                </pic:pic>
              </a:graphicData>
            </a:graphic>
          </wp:inline>
        </w:drawing>
      </w:r>
    </w:p>
    <w:p w14:paraId="1E2A03AF" w14:textId="0E9D59B6" w:rsidR="004A300F" w:rsidRDefault="004A300F" w:rsidP="004A300F">
      <w:pPr>
        <w:spacing w:before="156"/>
        <w:ind w:firstLineChars="0" w:firstLine="0"/>
      </w:pPr>
      <w:bookmarkStart w:id="6" w:name="_RefCXSFig1"/>
      <w:r>
        <w:rPr>
          <w:b/>
          <w:bCs/>
          <w:sz w:val="20"/>
          <w:szCs w:val="20"/>
        </w:rPr>
        <w:t>Fig. S</w:t>
      </w:r>
      <w:r>
        <w:rPr>
          <w:b/>
          <w:bCs/>
          <w:sz w:val="20"/>
          <w:szCs w:val="20"/>
        </w:rPr>
        <w:fldChar w:fldCharType="begin"/>
      </w:r>
      <w:r>
        <w:rPr>
          <w:b/>
          <w:bCs/>
          <w:sz w:val="20"/>
          <w:szCs w:val="20"/>
        </w:rPr>
        <w:instrText xml:space="preserve"> SEQ Supplementary_Figure \* ARABIC </w:instrText>
      </w:r>
      <w:r>
        <w:rPr>
          <w:b/>
          <w:bCs/>
          <w:sz w:val="20"/>
          <w:szCs w:val="20"/>
        </w:rPr>
        <w:fldChar w:fldCharType="separate"/>
      </w:r>
      <w:r>
        <w:rPr>
          <w:b/>
          <w:bCs/>
          <w:noProof/>
          <w:sz w:val="20"/>
          <w:szCs w:val="20"/>
        </w:rPr>
        <w:t>1</w:t>
      </w:r>
      <w:r>
        <w:rPr>
          <w:b/>
          <w:bCs/>
          <w:sz w:val="20"/>
          <w:szCs w:val="20"/>
        </w:rPr>
        <w:fldChar w:fldCharType="end"/>
      </w:r>
      <w:bookmarkEnd w:id="6"/>
      <w:r>
        <w:rPr>
          <w:b/>
          <w:bCs/>
          <w:sz w:val="20"/>
          <w:szCs w:val="20"/>
        </w:rPr>
        <w:t xml:space="preserve"> | Study area. </w:t>
      </w:r>
      <w:r>
        <w:rPr>
          <w:sz w:val="20"/>
          <w:szCs w:val="20"/>
        </w:rPr>
        <w:t xml:space="preserve">The LUTO2 study area encompasses all privately owned (freehold) and leasehold land in Australia used for agricultural production, excluding public land, Aboriginal land managed for traditional Indigenous purposes, conservation reserves, urban land, plantation forestry, and water bodies, covering about 465 million hectares (around 60% of the continent). Source: </w:t>
      </w:r>
      <w:r>
        <w:rPr>
          <w:sz w:val="20"/>
          <w:szCs w:val="20"/>
        </w:rPr>
        <w:fldChar w:fldCharType="begin"/>
      </w:r>
      <w:r w:rsidR="009C2835">
        <w:rPr>
          <w:sz w:val="20"/>
          <w:szCs w:val="20"/>
        </w:rPr>
        <w:instrText xml:space="preserve"> ADDIN EN.CITE &lt;EndNote&gt;&lt;Cite AuthorYear="1"&gt;&lt;Author&gt;ABARES&lt;/Author&gt;&lt;Year&gt;2016&lt;/Year&gt;&lt;RecNum&gt;504&lt;/RecNum&gt;&lt;DisplayText&gt;ABARES &lt;style face="superscript"&gt;79&lt;/style&gt;&lt;/DisplayText&gt;&lt;record&gt;&lt;rec-number&gt;504&lt;/rec-number&gt;&lt;foreign-keys&gt;&lt;key app="EN" db-id="st0zxxax1wfadte9s5gpaptza9tfvrzsvaxs" timestamp="1768856862" guid="7462e0a0-c3aa-4115-b04e-a1706ee5a821"&gt;504&lt;/key&gt;&lt;/foreign-keys&gt;&lt;ref-type name="Report"&gt;27&lt;/ref-type&gt;&lt;contributors&gt;&lt;authors&gt;&lt;author&gt;ABARES&lt;/author&gt;&lt;/authors&gt;&lt;/contributors&gt;&lt;titles&gt;&lt;title&gt;Land use of Australia 2010–11&lt;/title&gt;&lt;/titles&gt;&lt;dates&gt;&lt;year&gt;2016&lt;/year&gt;&lt;/dates&gt;&lt;publisher&gt;Australian Government Department of Agriculture and Water Resources&lt;/publisher&gt;&lt;urls&gt;&lt;related-urls&gt;&lt;url&gt;https://www.agriculture.gov.au/abares/aclump/land-use/land-use-of-australia-2010-11&lt;/url&gt;&lt;/related-urls&gt;&lt;/urls&gt;&lt;/record&gt;&lt;/Cite&gt;&lt;/EndNote&gt;</w:instrText>
      </w:r>
      <w:r>
        <w:rPr>
          <w:sz w:val="20"/>
          <w:szCs w:val="20"/>
        </w:rPr>
        <w:fldChar w:fldCharType="separate"/>
      </w:r>
      <w:r w:rsidR="009C2835">
        <w:rPr>
          <w:noProof/>
          <w:sz w:val="20"/>
          <w:szCs w:val="20"/>
        </w:rPr>
        <w:t xml:space="preserve">ABARES </w:t>
      </w:r>
      <w:r w:rsidR="009C2835" w:rsidRPr="009C2835">
        <w:rPr>
          <w:noProof/>
          <w:sz w:val="20"/>
          <w:szCs w:val="20"/>
          <w:vertAlign w:val="superscript"/>
        </w:rPr>
        <w:t>79</w:t>
      </w:r>
      <w:r>
        <w:rPr>
          <w:sz w:val="20"/>
          <w:szCs w:val="20"/>
        </w:rPr>
        <w:fldChar w:fldCharType="end"/>
      </w:r>
      <w:r>
        <w:rPr>
          <w:sz w:val="20"/>
          <w:szCs w:val="20"/>
        </w:rPr>
        <w:t>, Land Use of Australia 2010–11.</w:t>
      </w:r>
    </w:p>
    <w:p w14:paraId="0BA40275" w14:textId="77777777" w:rsidR="004A300F" w:rsidRDefault="004A300F">
      <w:pPr>
        <w:ind w:firstLine="420"/>
      </w:pPr>
    </w:p>
    <w:p w14:paraId="040857F5" w14:textId="77777777" w:rsidR="002A1696" w:rsidRDefault="00C30874">
      <w:pPr>
        <w:pStyle w:val="1"/>
        <w:numPr>
          <w:ilvl w:val="0"/>
          <w:numId w:val="0"/>
        </w:numPr>
      </w:pPr>
      <w:r>
        <w:t>References</w:t>
      </w:r>
    </w:p>
    <w:p w14:paraId="497F21C8" w14:textId="77777777" w:rsidR="009C2835" w:rsidRPr="009C2835" w:rsidRDefault="00FD48CD" w:rsidP="003B3CC2">
      <w:pPr>
        <w:pStyle w:val="EndNoteBibliography"/>
        <w:ind w:leftChars="200" w:left="420" w:firstLineChars="0" w:firstLine="0"/>
        <w:rPr>
          <w:noProof/>
        </w:rPr>
      </w:pPr>
      <w:r>
        <w:fldChar w:fldCharType="begin"/>
      </w:r>
      <w:r>
        <w:instrText xml:space="preserve"> ADDIN EN.REFLIST </w:instrText>
      </w:r>
      <w:r>
        <w:fldChar w:fldCharType="separate"/>
      </w:r>
      <w:r w:rsidR="009C2835" w:rsidRPr="009C2835">
        <w:rPr>
          <w:noProof/>
        </w:rPr>
        <w:t>1</w:t>
      </w:r>
      <w:r w:rsidR="009C2835" w:rsidRPr="009C2835">
        <w:rPr>
          <w:noProof/>
        </w:rPr>
        <w:tab/>
        <w:t xml:space="preserve">Navarro, J. &amp; Marcos Martinez, R. Estimating long-term profits, fertilizer and pesticide use baselines in Australian agricultural regions, User Guide. </w:t>
      </w:r>
      <w:r w:rsidR="009C2835" w:rsidRPr="009C2835">
        <w:rPr>
          <w:i/>
          <w:noProof/>
        </w:rPr>
        <w:t>CSIRO</w:t>
      </w:r>
      <w:r w:rsidR="009C2835" w:rsidRPr="009C2835">
        <w:rPr>
          <w:noProof/>
        </w:rPr>
        <w:t xml:space="preserve"> (2021). </w:t>
      </w:r>
    </w:p>
    <w:p w14:paraId="37BC3391" w14:textId="6801221A" w:rsidR="009C2835" w:rsidRPr="009C2835" w:rsidRDefault="009C2835" w:rsidP="003B3CC2">
      <w:pPr>
        <w:pStyle w:val="EndNoteBibliography"/>
        <w:ind w:leftChars="200" w:left="420" w:firstLineChars="0" w:firstLine="0"/>
        <w:rPr>
          <w:noProof/>
        </w:rPr>
      </w:pPr>
      <w:r w:rsidRPr="009C2835">
        <w:rPr>
          <w:noProof/>
        </w:rPr>
        <w:t>2</w:t>
      </w:r>
      <w:r w:rsidRPr="009C2835">
        <w:rPr>
          <w:noProof/>
        </w:rPr>
        <w:tab/>
        <w:t xml:space="preserve">DCCEEW. </w:t>
      </w:r>
      <w:r w:rsidRPr="009C2835">
        <w:rPr>
          <w:i/>
          <w:noProof/>
        </w:rPr>
        <w:t>Full Carbon Accounting Model (FullCAM)</w:t>
      </w:r>
      <w:r w:rsidRPr="009C2835">
        <w:rPr>
          <w:noProof/>
        </w:rPr>
        <w:t>, &lt;</w:t>
      </w:r>
      <w:hyperlink r:id="rId12" w:history="1">
        <w:r w:rsidRPr="009C2835">
          <w:rPr>
            <w:rStyle w:val="af"/>
            <w:noProof/>
          </w:rPr>
          <w:t>https://www.dcceew.gov.au/climate-change/publications/full-carbon-accounting-model-fullcam</w:t>
        </w:r>
      </w:hyperlink>
      <w:r w:rsidRPr="009C2835">
        <w:rPr>
          <w:noProof/>
        </w:rPr>
        <w:t>&gt; (2024).</w:t>
      </w:r>
    </w:p>
    <w:p w14:paraId="569B3096" w14:textId="77777777" w:rsidR="009C2835" w:rsidRPr="009C2835" w:rsidRDefault="009C2835" w:rsidP="003B3CC2">
      <w:pPr>
        <w:pStyle w:val="EndNoteBibliography"/>
        <w:ind w:leftChars="200" w:left="420" w:firstLineChars="0" w:firstLine="0"/>
        <w:rPr>
          <w:noProof/>
        </w:rPr>
      </w:pPr>
      <w:r w:rsidRPr="009C2835">
        <w:rPr>
          <w:noProof/>
        </w:rPr>
        <w:t>3</w:t>
      </w:r>
      <w:r w:rsidRPr="009C2835">
        <w:rPr>
          <w:noProof/>
        </w:rPr>
        <w:tab/>
        <w:t xml:space="preserve">Richards, G. P. &amp; Evans, D. M. Development of a carbon accounting model (FullCAM Vers. 1.0) for the Australian continent. </w:t>
      </w:r>
      <w:r w:rsidRPr="009C2835">
        <w:rPr>
          <w:i/>
          <w:noProof/>
        </w:rPr>
        <w:t>Australian Forestry</w:t>
      </w:r>
      <w:r w:rsidRPr="009C2835">
        <w:rPr>
          <w:noProof/>
        </w:rPr>
        <w:t xml:space="preserve"> </w:t>
      </w:r>
      <w:r w:rsidRPr="009C2835">
        <w:rPr>
          <w:b/>
          <w:noProof/>
        </w:rPr>
        <w:t>67</w:t>
      </w:r>
      <w:r w:rsidRPr="009C2835">
        <w:rPr>
          <w:noProof/>
        </w:rPr>
        <w:t xml:space="preserve">, 277–283 (2004). </w:t>
      </w:r>
    </w:p>
    <w:p w14:paraId="5C5BEC71" w14:textId="72AADFEC" w:rsidR="009C2835" w:rsidRPr="009C2835" w:rsidRDefault="009C2835" w:rsidP="003B3CC2">
      <w:pPr>
        <w:pStyle w:val="EndNoteBibliography"/>
        <w:ind w:leftChars="200" w:left="420" w:firstLineChars="0" w:firstLine="0"/>
        <w:rPr>
          <w:noProof/>
        </w:rPr>
      </w:pPr>
      <w:r w:rsidRPr="009C2835">
        <w:rPr>
          <w:noProof/>
        </w:rPr>
        <w:t>4</w:t>
      </w:r>
      <w:r w:rsidRPr="009C2835">
        <w:rPr>
          <w:noProof/>
        </w:rPr>
        <w:tab/>
        <w:t xml:space="preserve">Azuero-Pedraza, C. G. &amp; Thomas, V. M. Incorporating biodiversity impacts in land use decisions. </w:t>
      </w:r>
      <w:r w:rsidRPr="009C2835">
        <w:rPr>
          <w:i/>
          <w:noProof/>
        </w:rPr>
        <w:t>Ecological Modelling</w:t>
      </w:r>
      <w:r w:rsidRPr="009C2835">
        <w:rPr>
          <w:noProof/>
        </w:rPr>
        <w:t xml:space="preserve"> </w:t>
      </w:r>
      <w:r w:rsidRPr="009C2835">
        <w:rPr>
          <w:b/>
          <w:noProof/>
        </w:rPr>
        <w:t>497</w:t>
      </w:r>
      <w:r w:rsidRPr="009C2835">
        <w:rPr>
          <w:noProof/>
        </w:rPr>
        <w:t xml:space="preserve"> (2024). </w:t>
      </w:r>
      <w:hyperlink r:id="rId13" w:history="1">
        <w:r w:rsidRPr="009C2835">
          <w:rPr>
            <w:rStyle w:val="af"/>
            <w:noProof/>
          </w:rPr>
          <w:t>https://doi.org/10.1016/j.ecolmodel.2024.110852</w:t>
        </w:r>
      </w:hyperlink>
    </w:p>
    <w:p w14:paraId="1F1371FF" w14:textId="08761C62" w:rsidR="009C2835" w:rsidRPr="009C2835" w:rsidRDefault="009C2835" w:rsidP="003B3CC2">
      <w:pPr>
        <w:pStyle w:val="EndNoteBibliography"/>
        <w:ind w:leftChars="200" w:left="420" w:firstLineChars="0" w:firstLine="0"/>
        <w:rPr>
          <w:noProof/>
        </w:rPr>
      </w:pPr>
      <w:r w:rsidRPr="009C2835">
        <w:rPr>
          <w:noProof/>
        </w:rPr>
        <w:t>5</w:t>
      </w:r>
      <w:r w:rsidRPr="009C2835">
        <w:rPr>
          <w:noProof/>
        </w:rPr>
        <w:tab/>
        <w:t xml:space="preserve">Cabernard, L., Pfister, S. &amp; Hellweg, S. Biodiversity impacts of recent land-use change driven by increases in agri-food imports. </w:t>
      </w:r>
      <w:r w:rsidRPr="009C2835">
        <w:rPr>
          <w:i/>
          <w:noProof/>
        </w:rPr>
        <w:t>Nature Sustainability</w:t>
      </w:r>
      <w:r w:rsidRPr="009C2835">
        <w:rPr>
          <w:noProof/>
        </w:rPr>
        <w:t xml:space="preserve"> </w:t>
      </w:r>
      <w:r w:rsidRPr="009C2835">
        <w:rPr>
          <w:b/>
          <w:noProof/>
        </w:rPr>
        <w:t>7</w:t>
      </w:r>
      <w:r w:rsidRPr="009C2835">
        <w:rPr>
          <w:noProof/>
        </w:rPr>
        <w:t xml:space="preserve">, 1512–1524 (2024). </w:t>
      </w:r>
      <w:hyperlink r:id="rId14" w:history="1">
        <w:r w:rsidRPr="009C2835">
          <w:rPr>
            <w:rStyle w:val="af"/>
            <w:noProof/>
          </w:rPr>
          <w:t>https://doi.org/10.1038/s41893-024-01433-4</w:t>
        </w:r>
      </w:hyperlink>
    </w:p>
    <w:p w14:paraId="42FD7114" w14:textId="77777777" w:rsidR="009C2835" w:rsidRPr="009C2835" w:rsidRDefault="009C2835" w:rsidP="003B3CC2">
      <w:pPr>
        <w:pStyle w:val="EndNoteBibliography"/>
        <w:ind w:leftChars="200" w:left="420" w:firstLineChars="0" w:firstLine="0"/>
        <w:rPr>
          <w:noProof/>
        </w:rPr>
      </w:pPr>
      <w:r w:rsidRPr="009C2835">
        <w:rPr>
          <w:noProof/>
        </w:rPr>
        <w:lastRenderedPageBreak/>
        <w:t>6</w:t>
      </w:r>
      <w:r w:rsidRPr="009C2835">
        <w:rPr>
          <w:noProof/>
        </w:rPr>
        <w:tab/>
        <w:t>Munroe, S.</w:t>
      </w:r>
      <w:r w:rsidRPr="009C2835">
        <w:rPr>
          <w:i/>
          <w:noProof/>
        </w:rPr>
        <w:t xml:space="preserve"> et al.</w:t>
      </w:r>
      <w:r w:rsidRPr="009C2835">
        <w:rPr>
          <w:noProof/>
        </w:rPr>
        <w:t xml:space="preserve"> Redesign kicks off for the Habitat Condition Assessment System. (CSIRO, Australian Government Department of Climate Change, Energy, the Environment and Water, 2024).</w:t>
      </w:r>
    </w:p>
    <w:p w14:paraId="02260043" w14:textId="4F905820" w:rsidR="009C2835" w:rsidRPr="009C2835" w:rsidRDefault="009C2835" w:rsidP="003B3CC2">
      <w:pPr>
        <w:pStyle w:val="EndNoteBibliography"/>
        <w:ind w:leftChars="200" w:left="420" w:firstLineChars="0" w:firstLine="0"/>
        <w:rPr>
          <w:noProof/>
        </w:rPr>
      </w:pPr>
      <w:r w:rsidRPr="009C2835">
        <w:rPr>
          <w:noProof/>
        </w:rPr>
        <w:t>7</w:t>
      </w:r>
      <w:r w:rsidRPr="009C2835">
        <w:rPr>
          <w:noProof/>
        </w:rPr>
        <w:tab/>
        <w:t xml:space="preserve">Collard, S. J. &amp; Fisher, A. M. Shrub‐based plantings of woody perennial vegetation in temperate Australian agricultural landscapes: What benefits for native biodiversity? </w:t>
      </w:r>
      <w:r w:rsidRPr="009C2835">
        <w:rPr>
          <w:i/>
          <w:noProof/>
        </w:rPr>
        <w:t>Ecological Management &amp; Restoration</w:t>
      </w:r>
      <w:r w:rsidRPr="009C2835">
        <w:rPr>
          <w:noProof/>
        </w:rPr>
        <w:t xml:space="preserve"> </w:t>
      </w:r>
      <w:r w:rsidRPr="009C2835">
        <w:rPr>
          <w:b/>
          <w:noProof/>
        </w:rPr>
        <w:t>11</w:t>
      </w:r>
      <w:r w:rsidRPr="009C2835">
        <w:rPr>
          <w:noProof/>
        </w:rPr>
        <w:t xml:space="preserve">, 31–35 (2010). </w:t>
      </w:r>
      <w:hyperlink r:id="rId15" w:history="1">
        <w:r w:rsidRPr="009C2835">
          <w:rPr>
            <w:rStyle w:val="af"/>
            <w:noProof/>
          </w:rPr>
          <w:t>https://doi.org/10.1111/j.1442-8903.2010.00510.x</w:t>
        </w:r>
      </w:hyperlink>
    </w:p>
    <w:p w14:paraId="2E834101" w14:textId="77777777" w:rsidR="009C2835" w:rsidRPr="009C2835" w:rsidRDefault="009C2835" w:rsidP="003B3CC2">
      <w:pPr>
        <w:pStyle w:val="EndNoteBibliography"/>
        <w:ind w:leftChars="200" w:left="420" w:firstLineChars="0" w:firstLine="0"/>
        <w:rPr>
          <w:noProof/>
        </w:rPr>
      </w:pPr>
      <w:r w:rsidRPr="009C2835">
        <w:rPr>
          <w:noProof/>
        </w:rPr>
        <w:t>8</w:t>
      </w:r>
      <w:r w:rsidRPr="009C2835">
        <w:rPr>
          <w:noProof/>
        </w:rPr>
        <w:tab/>
        <w:t>DCCEEW. NBAS Settings: For use with the Nature Repair (Replanting Native Forest and Woodland Ecosystems) Methodology Determination 2025 (Version 1.0). (Australian Government, Canberra, Australia, 2025).</w:t>
      </w:r>
    </w:p>
    <w:p w14:paraId="46DA4102" w14:textId="76BDDD23" w:rsidR="009C2835" w:rsidRPr="009C2835" w:rsidRDefault="009C2835" w:rsidP="003B3CC2">
      <w:pPr>
        <w:pStyle w:val="EndNoteBibliography"/>
        <w:ind w:leftChars="200" w:left="420" w:firstLineChars="0" w:firstLine="0"/>
        <w:rPr>
          <w:noProof/>
        </w:rPr>
      </w:pPr>
      <w:r w:rsidRPr="009C2835">
        <w:rPr>
          <w:noProof/>
        </w:rPr>
        <w:t>9</w:t>
      </w:r>
      <w:r w:rsidRPr="009C2835">
        <w:rPr>
          <w:noProof/>
        </w:rPr>
        <w:tab/>
        <w:t xml:space="preserve">Prober, S. M., Wiehl, G., Ogden, G., Ogilvy, S. &amp; Albornoz, F. E. Quantifying biodiversity benefits of woody plantings on Tasmanian farms for natural capital accounting. </w:t>
      </w:r>
      <w:r w:rsidRPr="009C2835">
        <w:rPr>
          <w:i/>
          <w:noProof/>
        </w:rPr>
        <w:t>Restoration Ecology</w:t>
      </w:r>
      <w:r w:rsidRPr="009C2835">
        <w:rPr>
          <w:noProof/>
        </w:rPr>
        <w:t xml:space="preserve"> </w:t>
      </w:r>
      <w:r w:rsidRPr="009C2835">
        <w:rPr>
          <w:b/>
          <w:noProof/>
        </w:rPr>
        <w:t>33</w:t>
      </w:r>
      <w:r w:rsidRPr="009C2835">
        <w:rPr>
          <w:noProof/>
        </w:rPr>
        <w:t xml:space="preserve"> (2025). </w:t>
      </w:r>
      <w:hyperlink r:id="rId16" w:history="1">
        <w:r w:rsidRPr="009C2835">
          <w:rPr>
            <w:rStyle w:val="af"/>
            <w:noProof/>
          </w:rPr>
          <w:t>https://doi.org/10.1111/rec.70026</w:t>
        </w:r>
      </w:hyperlink>
    </w:p>
    <w:p w14:paraId="24E1A39C" w14:textId="3AE247C9" w:rsidR="009C2835" w:rsidRPr="009C2835" w:rsidRDefault="009C2835" w:rsidP="003B3CC2">
      <w:pPr>
        <w:pStyle w:val="EndNoteBibliography"/>
        <w:ind w:leftChars="200" w:left="420" w:firstLineChars="0" w:firstLine="0"/>
        <w:rPr>
          <w:noProof/>
        </w:rPr>
      </w:pPr>
      <w:r w:rsidRPr="009C2835">
        <w:rPr>
          <w:noProof/>
        </w:rPr>
        <w:t>10</w:t>
      </w:r>
      <w:r w:rsidRPr="009C2835">
        <w:rPr>
          <w:noProof/>
        </w:rPr>
        <w:tab/>
        <w:t>Edwards, A.</w:t>
      </w:r>
      <w:r w:rsidRPr="009C2835">
        <w:rPr>
          <w:i/>
          <w:noProof/>
        </w:rPr>
        <w:t xml:space="preserve"> et al.</w:t>
      </w:r>
      <w:r w:rsidRPr="009C2835">
        <w:rPr>
          <w:noProof/>
        </w:rPr>
        <w:t xml:space="preserve"> Transforming fire management in northern Australia through successful implementation of savanna burning emissions reductions projects. </w:t>
      </w:r>
      <w:r w:rsidRPr="009C2835">
        <w:rPr>
          <w:i/>
          <w:noProof/>
        </w:rPr>
        <w:t>J Environ Manage</w:t>
      </w:r>
      <w:r w:rsidRPr="009C2835">
        <w:rPr>
          <w:noProof/>
        </w:rPr>
        <w:t xml:space="preserve"> </w:t>
      </w:r>
      <w:r w:rsidRPr="009C2835">
        <w:rPr>
          <w:b/>
          <w:noProof/>
        </w:rPr>
        <w:t>290</w:t>
      </w:r>
      <w:r w:rsidRPr="009C2835">
        <w:rPr>
          <w:noProof/>
        </w:rPr>
        <w:t xml:space="preserve">, 112568 (2021). </w:t>
      </w:r>
      <w:hyperlink r:id="rId17" w:history="1">
        <w:r w:rsidRPr="009C2835">
          <w:rPr>
            <w:rStyle w:val="af"/>
            <w:noProof/>
          </w:rPr>
          <w:t>https://doi.org/10.1016/j.jenvman.2021.112568</w:t>
        </w:r>
      </w:hyperlink>
    </w:p>
    <w:p w14:paraId="33BDA057" w14:textId="250A6739" w:rsidR="009C2835" w:rsidRPr="009C2835" w:rsidRDefault="009C2835" w:rsidP="003B3CC2">
      <w:pPr>
        <w:pStyle w:val="EndNoteBibliography"/>
        <w:ind w:leftChars="200" w:left="420" w:firstLineChars="0" w:firstLine="0"/>
        <w:rPr>
          <w:noProof/>
        </w:rPr>
      </w:pPr>
      <w:r w:rsidRPr="009C2835">
        <w:rPr>
          <w:noProof/>
        </w:rPr>
        <w:t>11</w:t>
      </w:r>
      <w:r w:rsidRPr="009C2835">
        <w:rPr>
          <w:noProof/>
        </w:rPr>
        <w:tab/>
        <w:t>Runting, R. K.</w:t>
      </w:r>
      <w:r w:rsidRPr="009C2835">
        <w:rPr>
          <w:i/>
          <w:noProof/>
        </w:rPr>
        <w:t xml:space="preserve"> et al.</w:t>
      </w:r>
      <w:r w:rsidRPr="009C2835">
        <w:rPr>
          <w:noProof/>
        </w:rPr>
        <w:t xml:space="preserve"> Balancing production and environmental outcomes in Australia’s tropical savanna under global change. </w:t>
      </w:r>
      <w:r w:rsidRPr="009C2835">
        <w:rPr>
          <w:i/>
          <w:noProof/>
        </w:rPr>
        <w:t>Environ. Res. Lett.</w:t>
      </w:r>
      <w:r w:rsidRPr="009C2835">
        <w:rPr>
          <w:noProof/>
        </w:rPr>
        <w:t xml:space="preserve"> </w:t>
      </w:r>
      <w:r w:rsidRPr="009C2835">
        <w:rPr>
          <w:b/>
          <w:noProof/>
        </w:rPr>
        <w:t>19</w:t>
      </w:r>
      <w:r w:rsidRPr="009C2835">
        <w:rPr>
          <w:noProof/>
        </w:rPr>
        <w:t xml:space="preserve"> (2024). </w:t>
      </w:r>
      <w:hyperlink r:id="rId18" w:history="1">
        <w:r w:rsidRPr="009C2835">
          <w:rPr>
            <w:rStyle w:val="af"/>
            <w:noProof/>
          </w:rPr>
          <w:t>https://doi.org/10.1088/1748-9326/ad6f2d</w:t>
        </w:r>
      </w:hyperlink>
    </w:p>
    <w:p w14:paraId="49AD0758" w14:textId="49A15132" w:rsidR="009C2835" w:rsidRPr="009C2835" w:rsidRDefault="009C2835" w:rsidP="003B3CC2">
      <w:pPr>
        <w:pStyle w:val="EndNoteBibliography"/>
        <w:ind w:leftChars="200" w:left="420" w:firstLineChars="0" w:firstLine="0"/>
        <w:rPr>
          <w:noProof/>
        </w:rPr>
      </w:pPr>
      <w:r w:rsidRPr="009C2835">
        <w:rPr>
          <w:noProof/>
        </w:rPr>
        <w:t>12</w:t>
      </w:r>
      <w:r w:rsidRPr="009C2835">
        <w:rPr>
          <w:noProof/>
        </w:rPr>
        <w:tab/>
        <w:t xml:space="preserve">FAO. </w:t>
      </w:r>
      <w:r w:rsidRPr="009C2835">
        <w:rPr>
          <w:i/>
          <w:noProof/>
        </w:rPr>
        <w:t>Global Agro-Ecological Zones (GAEZ)</w:t>
      </w:r>
      <w:r w:rsidRPr="009C2835">
        <w:rPr>
          <w:noProof/>
        </w:rPr>
        <w:t>, &lt;</w:t>
      </w:r>
      <w:hyperlink r:id="rId19" w:history="1">
        <w:r w:rsidRPr="009C2835">
          <w:rPr>
            <w:rStyle w:val="af"/>
            <w:noProof/>
          </w:rPr>
          <w:t>https://gaez.fao.org/</w:t>
        </w:r>
      </w:hyperlink>
      <w:r w:rsidRPr="009C2835">
        <w:rPr>
          <w:noProof/>
        </w:rPr>
        <w:t>&gt; (2022).</w:t>
      </w:r>
    </w:p>
    <w:p w14:paraId="228C28E6" w14:textId="77777777" w:rsidR="009C2835" w:rsidRPr="009C2835" w:rsidRDefault="009C2835" w:rsidP="003B3CC2">
      <w:pPr>
        <w:pStyle w:val="EndNoteBibliography"/>
        <w:ind w:leftChars="200" w:left="420" w:firstLineChars="0" w:firstLine="0"/>
        <w:rPr>
          <w:noProof/>
        </w:rPr>
      </w:pPr>
      <w:r w:rsidRPr="009C2835">
        <w:rPr>
          <w:noProof/>
        </w:rPr>
        <w:t>13</w:t>
      </w:r>
      <w:r w:rsidRPr="009C2835">
        <w:rPr>
          <w:noProof/>
        </w:rPr>
        <w:tab/>
        <w:t xml:space="preserve">Reid, R. &amp; Moore, R. in </w:t>
      </w:r>
      <w:r w:rsidRPr="009C2835">
        <w:rPr>
          <w:i/>
          <w:noProof/>
        </w:rPr>
        <w:t>Temperate Agroforestry Systems</w:t>
      </w:r>
      <w:r w:rsidRPr="009C2835">
        <w:rPr>
          <w:noProof/>
        </w:rPr>
        <w:t xml:space="preserve">     195–223 (CABI, 2018).</w:t>
      </w:r>
    </w:p>
    <w:p w14:paraId="6591050F" w14:textId="746761EC" w:rsidR="009C2835" w:rsidRPr="009C2835" w:rsidRDefault="009C2835" w:rsidP="003B3CC2">
      <w:pPr>
        <w:pStyle w:val="EndNoteBibliography"/>
        <w:ind w:leftChars="200" w:left="420" w:firstLineChars="0" w:firstLine="0"/>
        <w:rPr>
          <w:noProof/>
        </w:rPr>
      </w:pPr>
      <w:r w:rsidRPr="009C2835">
        <w:rPr>
          <w:noProof/>
        </w:rPr>
        <w:t>14</w:t>
      </w:r>
      <w:r w:rsidRPr="009C2835">
        <w:rPr>
          <w:noProof/>
        </w:rPr>
        <w:tab/>
        <w:t xml:space="preserve">Jordon, M. W., Willis, K. J., Harvey, W. J., Petrokofsky, L. &amp; Petrokofsky, G. Implications of Temperate Agroforestry on Sheep and Cattle Productivity, Environmental Impacts and Enterprise Economics. A Systematic Evidence Map. </w:t>
      </w:r>
      <w:r w:rsidRPr="009C2835">
        <w:rPr>
          <w:i/>
          <w:noProof/>
        </w:rPr>
        <w:t>Forests</w:t>
      </w:r>
      <w:r w:rsidRPr="009C2835">
        <w:rPr>
          <w:noProof/>
        </w:rPr>
        <w:t xml:space="preserve"> </w:t>
      </w:r>
      <w:r w:rsidRPr="009C2835">
        <w:rPr>
          <w:b/>
          <w:noProof/>
        </w:rPr>
        <w:t>11</w:t>
      </w:r>
      <w:r w:rsidRPr="009C2835">
        <w:rPr>
          <w:noProof/>
        </w:rPr>
        <w:t xml:space="preserve"> (2020). </w:t>
      </w:r>
      <w:hyperlink r:id="rId20" w:history="1">
        <w:r w:rsidRPr="009C2835">
          <w:rPr>
            <w:rStyle w:val="af"/>
            <w:noProof/>
          </w:rPr>
          <w:t>https://doi.org/10.3390/f11121321</w:t>
        </w:r>
      </w:hyperlink>
    </w:p>
    <w:p w14:paraId="2068E1CB" w14:textId="73F03951" w:rsidR="009C2835" w:rsidRPr="009C2835" w:rsidRDefault="009C2835" w:rsidP="003B3CC2">
      <w:pPr>
        <w:pStyle w:val="EndNoteBibliography"/>
        <w:ind w:leftChars="200" w:left="420" w:firstLineChars="0" w:firstLine="0"/>
        <w:rPr>
          <w:noProof/>
        </w:rPr>
      </w:pPr>
      <w:r w:rsidRPr="009C2835">
        <w:rPr>
          <w:noProof/>
        </w:rPr>
        <w:t>15</w:t>
      </w:r>
      <w:r w:rsidRPr="009C2835">
        <w:rPr>
          <w:noProof/>
        </w:rPr>
        <w:tab/>
        <w:t xml:space="preserve">Xing, W., Wang, W., Shao, Q. &amp; Yong, B. Identification of dominant interactions between climatic seasonality, catchment characteristics and agricultural activities on Budyko-type equation parameter estimation. </w:t>
      </w:r>
      <w:r w:rsidRPr="009C2835">
        <w:rPr>
          <w:i/>
          <w:noProof/>
        </w:rPr>
        <w:t>Journal of Hydrology</w:t>
      </w:r>
      <w:r w:rsidRPr="009C2835">
        <w:rPr>
          <w:noProof/>
        </w:rPr>
        <w:t xml:space="preserve"> </w:t>
      </w:r>
      <w:r w:rsidRPr="009C2835">
        <w:rPr>
          <w:b/>
          <w:noProof/>
        </w:rPr>
        <w:t>556</w:t>
      </w:r>
      <w:r w:rsidRPr="009C2835">
        <w:rPr>
          <w:noProof/>
        </w:rPr>
        <w:t xml:space="preserve">, 585–599 (2018). </w:t>
      </w:r>
      <w:hyperlink r:id="rId21" w:history="1">
        <w:r w:rsidRPr="009C2835">
          <w:rPr>
            <w:rStyle w:val="af"/>
            <w:noProof/>
          </w:rPr>
          <w:t>https://doi.org/10.1016/j.jhydrol.2017.11.048</w:t>
        </w:r>
      </w:hyperlink>
    </w:p>
    <w:p w14:paraId="42D262E8" w14:textId="27FCFF78" w:rsidR="009C2835" w:rsidRPr="009C2835" w:rsidRDefault="009C2835" w:rsidP="003B3CC2">
      <w:pPr>
        <w:pStyle w:val="EndNoteBibliography"/>
        <w:ind w:leftChars="200" w:left="420" w:firstLineChars="0" w:firstLine="0"/>
        <w:rPr>
          <w:noProof/>
        </w:rPr>
      </w:pPr>
      <w:r w:rsidRPr="009C2835">
        <w:rPr>
          <w:noProof/>
        </w:rPr>
        <w:t>16</w:t>
      </w:r>
      <w:r w:rsidRPr="009C2835">
        <w:rPr>
          <w:noProof/>
        </w:rPr>
        <w:tab/>
        <w:t xml:space="preserve">Collignan, J., Polcher, J., Bastin, S. &amp; Quintana‐Segui, P. Budyko Framework Based Analysis of the Effect of Climate Change on Watershed Evaporation Efficiency and Its Impact on Discharge Over Europe. </w:t>
      </w:r>
      <w:r w:rsidRPr="009C2835">
        <w:rPr>
          <w:i/>
          <w:noProof/>
        </w:rPr>
        <w:t>Water Resources Research</w:t>
      </w:r>
      <w:r w:rsidRPr="009C2835">
        <w:rPr>
          <w:noProof/>
        </w:rPr>
        <w:t xml:space="preserve"> </w:t>
      </w:r>
      <w:r w:rsidRPr="009C2835">
        <w:rPr>
          <w:b/>
          <w:noProof/>
        </w:rPr>
        <w:t>59</w:t>
      </w:r>
      <w:r w:rsidRPr="009C2835">
        <w:rPr>
          <w:noProof/>
        </w:rPr>
        <w:t xml:space="preserve"> (2023). </w:t>
      </w:r>
      <w:hyperlink r:id="rId22" w:history="1">
        <w:r w:rsidRPr="009C2835">
          <w:rPr>
            <w:rStyle w:val="af"/>
            <w:noProof/>
          </w:rPr>
          <w:t>https://doi.org/10.1029/2023wr034509</w:t>
        </w:r>
      </w:hyperlink>
    </w:p>
    <w:p w14:paraId="350A189D" w14:textId="77777777" w:rsidR="009C2835" w:rsidRPr="009C2835" w:rsidRDefault="009C2835" w:rsidP="003B3CC2">
      <w:pPr>
        <w:pStyle w:val="EndNoteBibliography"/>
        <w:ind w:leftChars="200" w:left="420" w:firstLineChars="0" w:firstLine="0"/>
        <w:rPr>
          <w:noProof/>
        </w:rPr>
      </w:pPr>
      <w:r w:rsidRPr="009C2835">
        <w:rPr>
          <w:noProof/>
        </w:rPr>
        <w:t>17</w:t>
      </w:r>
      <w:r w:rsidRPr="009C2835">
        <w:rPr>
          <w:noProof/>
        </w:rPr>
        <w:tab/>
        <w:t>InVEST (Integrated Valuation of Ecosystem Services and Trade-offs) Model (Stanford University, 2014).</w:t>
      </w:r>
    </w:p>
    <w:p w14:paraId="411DC1A4" w14:textId="6045918F" w:rsidR="009C2835" w:rsidRPr="009C2835" w:rsidRDefault="009C2835" w:rsidP="003B3CC2">
      <w:pPr>
        <w:pStyle w:val="EndNoteBibliography"/>
        <w:ind w:leftChars="200" w:left="420" w:firstLineChars="0" w:firstLine="0"/>
        <w:rPr>
          <w:noProof/>
        </w:rPr>
      </w:pPr>
      <w:r w:rsidRPr="009C2835">
        <w:rPr>
          <w:noProof/>
        </w:rPr>
        <w:t>18</w:t>
      </w:r>
      <w:r w:rsidRPr="009C2835">
        <w:rPr>
          <w:noProof/>
        </w:rPr>
        <w:tab/>
        <w:t>Eyring, V.</w:t>
      </w:r>
      <w:r w:rsidRPr="009C2835">
        <w:rPr>
          <w:i/>
          <w:noProof/>
        </w:rPr>
        <w:t xml:space="preserve"> et al.</w:t>
      </w:r>
      <w:r w:rsidRPr="009C2835">
        <w:rPr>
          <w:noProof/>
        </w:rPr>
        <w:t xml:space="preserve"> Overview of the Coupled Model Intercomparison Project Phase 6 (CMIP6) experimental design and organization. </w:t>
      </w:r>
      <w:r w:rsidRPr="009C2835">
        <w:rPr>
          <w:i/>
          <w:noProof/>
        </w:rPr>
        <w:t>Geoscientific Model Development</w:t>
      </w:r>
      <w:r w:rsidRPr="009C2835">
        <w:rPr>
          <w:noProof/>
        </w:rPr>
        <w:t xml:space="preserve"> </w:t>
      </w:r>
      <w:r w:rsidRPr="009C2835">
        <w:rPr>
          <w:b/>
          <w:noProof/>
        </w:rPr>
        <w:t>9</w:t>
      </w:r>
      <w:r w:rsidRPr="009C2835">
        <w:rPr>
          <w:noProof/>
        </w:rPr>
        <w:t xml:space="preserve">, 1937–1958 (2016). </w:t>
      </w:r>
      <w:hyperlink r:id="rId23" w:history="1">
        <w:r w:rsidRPr="009C2835">
          <w:rPr>
            <w:rStyle w:val="af"/>
            <w:noProof/>
          </w:rPr>
          <w:t>https://doi.org/10.5194/gmd-9-1937-2016</w:t>
        </w:r>
      </w:hyperlink>
    </w:p>
    <w:p w14:paraId="1CFF1992" w14:textId="38D10339" w:rsidR="009C2835" w:rsidRPr="009C2835" w:rsidRDefault="009C2835" w:rsidP="003B3CC2">
      <w:pPr>
        <w:pStyle w:val="EndNoteBibliography"/>
        <w:ind w:leftChars="200" w:left="420" w:firstLineChars="0" w:firstLine="0"/>
        <w:rPr>
          <w:noProof/>
        </w:rPr>
      </w:pPr>
      <w:r w:rsidRPr="009C2835">
        <w:rPr>
          <w:noProof/>
        </w:rPr>
        <w:t>19</w:t>
      </w:r>
      <w:r w:rsidRPr="009C2835">
        <w:rPr>
          <w:noProof/>
        </w:rPr>
        <w:tab/>
        <w:t xml:space="preserve">Harris, I., Osborn, T. J., Jones, P. &amp; Lister, D. Version 4 of the CRU TS monthly high-resolution gridded multivariate climate dataset. </w:t>
      </w:r>
      <w:r w:rsidRPr="009C2835">
        <w:rPr>
          <w:i/>
          <w:noProof/>
        </w:rPr>
        <w:t>Sci Data</w:t>
      </w:r>
      <w:r w:rsidRPr="009C2835">
        <w:rPr>
          <w:noProof/>
        </w:rPr>
        <w:t xml:space="preserve"> </w:t>
      </w:r>
      <w:r w:rsidRPr="009C2835">
        <w:rPr>
          <w:b/>
          <w:noProof/>
        </w:rPr>
        <w:t>7</w:t>
      </w:r>
      <w:r w:rsidRPr="009C2835">
        <w:rPr>
          <w:noProof/>
        </w:rPr>
        <w:t xml:space="preserve">, 109 (2020). </w:t>
      </w:r>
      <w:hyperlink r:id="rId24" w:history="1">
        <w:r w:rsidRPr="009C2835">
          <w:rPr>
            <w:rStyle w:val="af"/>
            <w:noProof/>
          </w:rPr>
          <w:t>https://doi.org/10.1038/s41597-020-0453-3</w:t>
        </w:r>
      </w:hyperlink>
    </w:p>
    <w:p w14:paraId="6E8D8C75" w14:textId="77777777" w:rsidR="009C2835" w:rsidRPr="009C2835" w:rsidRDefault="009C2835" w:rsidP="003B3CC2">
      <w:pPr>
        <w:pStyle w:val="EndNoteBibliography"/>
        <w:ind w:leftChars="200" w:left="420" w:firstLineChars="0" w:firstLine="0"/>
        <w:rPr>
          <w:noProof/>
        </w:rPr>
      </w:pPr>
      <w:r w:rsidRPr="009C2835">
        <w:rPr>
          <w:noProof/>
        </w:rPr>
        <w:t>20</w:t>
      </w:r>
      <w:r w:rsidRPr="009C2835">
        <w:rPr>
          <w:noProof/>
        </w:rPr>
        <w:tab/>
        <w:t xml:space="preserve">Fick, S. E. &amp; Hijmans, R. J. WorldClim 2: new 1‐km spatial resolution climate surfaces for global land areas. </w:t>
      </w:r>
      <w:r w:rsidRPr="009C2835">
        <w:rPr>
          <w:i/>
          <w:noProof/>
        </w:rPr>
        <w:t>International journal of climatology</w:t>
      </w:r>
      <w:r w:rsidRPr="009C2835">
        <w:rPr>
          <w:noProof/>
        </w:rPr>
        <w:t xml:space="preserve"> </w:t>
      </w:r>
      <w:r w:rsidRPr="009C2835">
        <w:rPr>
          <w:b/>
          <w:noProof/>
        </w:rPr>
        <w:t>37</w:t>
      </w:r>
      <w:r w:rsidRPr="009C2835">
        <w:rPr>
          <w:noProof/>
        </w:rPr>
        <w:t xml:space="preserve">, 4302–4315 (2017). </w:t>
      </w:r>
    </w:p>
    <w:p w14:paraId="797C894F" w14:textId="77777777" w:rsidR="009C2835" w:rsidRPr="009C2835" w:rsidRDefault="009C2835" w:rsidP="003B3CC2">
      <w:pPr>
        <w:pStyle w:val="EndNoteBibliography"/>
        <w:ind w:leftChars="200" w:left="420" w:firstLineChars="0" w:firstLine="0"/>
        <w:rPr>
          <w:noProof/>
        </w:rPr>
      </w:pPr>
      <w:r w:rsidRPr="009C2835">
        <w:rPr>
          <w:noProof/>
        </w:rPr>
        <w:t>21</w:t>
      </w:r>
      <w:r w:rsidRPr="009C2835">
        <w:rPr>
          <w:noProof/>
        </w:rPr>
        <w:tab/>
        <w:t xml:space="preserve">Priestley, C. H. B. &amp; Taylor, R. J. On the assessment of surface heat flux and evaporation using large-scale parameters. </w:t>
      </w:r>
      <w:r w:rsidRPr="009C2835">
        <w:rPr>
          <w:i/>
          <w:noProof/>
        </w:rPr>
        <w:t>Monthly weather review</w:t>
      </w:r>
      <w:r w:rsidRPr="009C2835">
        <w:rPr>
          <w:noProof/>
        </w:rPr>
        <w:t xml:space="preserve"> </w:t>
      </w:r>
      <w:r w:rsidRPr="009C2835">
        <w:rPr>
          <w:b/>
          <w:noProof/>
        </w:rPr>
        <w:t>100</w:t>
      </w:r>
      <w:r w:rsidRPr="009C2835">
        <w:rPr>
          <w:noProof/>
        </w:rPr>
        <w:t xml:space="preserve">, 81–92 (1972). </w:t>
      </w:r>
    </w:p>
    <w:p w14:paraId="5BDD79B5" w14:textId="6D59F083" w:rsidR="009C2835" w:rsidRPr="009C2835" w:rsidRDefault="009C2835" w:rsidP="003B3CC2">
      <w:pPr>
        <w:pStyle w:val="EndNoteBibliography"/>
        <w:ind w:leftChars="200" w:left="420" w:firstLineChars="0" w:firstLine="0"/>
        <w:rPr>
          <w:noProof/>
        </w:rPr>
      </w:pPr>
      <w:r w:rsidRPr="009C2835">
        <w:rPr>
          <w:noProof/>
        </w:rPr>
        <w:t>22</w:t>
      </w:r>
      <w:r w:rsidRPr="009C2835">
        <w:rPr>
          <w:noProof/>
        </w:rPr>
        <w:tab/>
        <w:t xml:space="preserve">Liu, Z., Yang, H., Li, C. &amp; Wang, T. Estimating the sensitivity of the Priestley–Taylor coefficient to air temperature and humidity. </w:t>
      </w:r>
      <w:r w:rsidRPr="009C2835">
        <w:rPr>
          <w:i/>
          <w:noProof/>
        </w:rPr>
        <w:t>Hydrology and Earth System Sciences</w:t>
      </w:r>
      <w:r w:rsidRPr="009C2835">
        <w:rPr>
          <w:noProof/>
        </w:rPr>
        <w:t xml:space="preserve"> </w:t>
      </w:r>
      <w:r w:rsidRPr="009C2835">
        <w:rPr>
          <w:b/>
          <w:noProof/>
        </w:rPr>
        <w:t>28</w:t>
      </w:r>
      <w:r w:rsidRPr="009C2835">
        <w:rPr>
          <w:noProof/>
        </w:rPr>
        <w:t xml:space="preserve">, 4349–4360 (2024). </w:t>
      </w:r>
      <w:hyperlink r:id="rId25" w:history="1">
        <w:r w:rsidRPr="009C2835">
          <w:rPr>
            <w:rStyle w:val="af"/>
            <w:noProof/>
          </w:rPr>
          <w:t>https://doi.org/10.5194/hess-28-4349-2024</w:t>
        </w:r>
      </w:hyperlink>
    </w:p>
    <w:p w14:paraId="5678599B" w14:textId="1933D863" w:rsidR="009C2835" w:rsidRPr="009C2835" w:rsidRDefault="009C2835" w:rsidP="003B3CC2">
      <w:pPr>
        <w:pStyle w:val="EndNoteBibliography"/>
        <w:ind w:leftChars="200" w:left="420" w:firstLineChars="0" w:firstLine="0"/>
        <w:rPr>
          <w:noProof/>
        </w:rPr>
      </w:pPr>
      <w:r w:rsidRPr="009C2835">
        <w:rPr>
          <w:noProof/>
        </w:rPr>
        <w:lastRenderedPageBreak/>
        <w:t>23</w:t>
      </w:r>
      <w:r w:rsidRPr="009C2835">
        <w:rPr>
          <w:noProof/>
        </w:rPr>
        <w:tab/>
        <w:t xml:space="preserve">TERN. </w:t>
      </w:r>
      <w:r w:rsidRPr="009C2835">
        <w:rPr>
          <w:i/>
          <w:noProof/>
        </w:rPr>
        <w:t>Soil and Landscape Grid of Australia</w:t>
      </w:r>
      <w:r w:rsidRPr="009C2835">
        <w:rPr>
          <w:noProof/>
        </w:rPr>
        <w:t>, &lt;</w:t>
      </w:r>
      <w:hyperlink r:id="rId26" w:history="1">
        <w:r w:rsidRPr="009C2835">
          <w:rPr>
            <w:rStyle w:val="af"/>
            <w:noProof/>
          </w:rPr>
          <w:t>https://esoil.io/TERNLandscapes/Public/Pages/SLGA/index.html</w:t>
        </w:r>
      </w:hyperlink>
      <w:r w:rsidRPr="009C2835">
        <w:rPr>
          <w:noProof/>
        </w:rPr>
        <w:t>&gt; (2024).</w:t>
      </w:r>
    </w:p>
    <w:p w14:paraId="7B8BB81B" w14:textId="77777777" w:rsidR="009C2835" w:rsidRPr="009C2835" w:rsidRDefault="009C2835" w:rsidP="003B3CC2">
      <w:pPr>
        <w:pStyle w:val="EndNoteBibliography"/>
        <w:ind w:leftChars="200" w:left="420" w:firstLineChars="0" w:firstLine="0"/>
        <w:rPr>
          <w:noProof/>
        </w:rPr>
      </w:pPr>
      <w:r w:rsidRPr="009C2835">
        <w:rPr>
          <w:noProof/>
        </w:rPr>
        <w:t>24</w:t>
      </w:r>
      <w:r w:rsidRPr="009C2835">
        <w:rPr>
          <w:noProof/>
        </w:rPr>
        <w:tab/>
        <w:t xml:space="preserve">Budyko, M. I. </w:t>
      </w:r>
      <w:r w:rsidRPr="009C2835">
        <w:rPr>
          <w:i/>
          <w:noProof/>
        </w:rPr>
        <w:t>Climate and life</w:t>
      </w:r>
      <w:r w:rsidRPr="009C2835">
        <w:rPr>
          <w:noProof/>
        </w:rPr>
        <w:t>.  (Academic Press, 1974).</w:t>
      </w:r>
    </w:p>
    <w:p w14:paraId="1067F499" w14:textId="30B2BFB0" w:rsidR="009C2835" w:rsidRPr="009C2835" w:rsidRDefault="009C2835" w:rsidP="003B3CC2">
      <w:pPr>
        <w:pStyle w:val="EndNoteBibliography"/>
        <w:ind w:leftChars="200" w:left="420" w:firstLineChars="0" w:firstLine="0"/>
        <w:rPr>
          <w:noProof/>
        </w:rPr>
      </w:pPr>
      <w:r w:rsidRPr="009C2835">
        <w:rPr>
          <w:noProof/>
        </w:rPr>
        <w:t>25</w:t>
      </w:r>
      <w:r w:rsidRPr="009C2835">
        <w:rPr>
          <w:noProof/>
        </w:rPr>
        <w:tab/>
        <w:t xml:space="preserve">ABS. </w:t>
      </w:r>
      <w:r w:rsidRPr="009C2835">
        <w:rPr>
          <w:i/>
          <w:noProof/>
        </w:rPr>
        <w:t>Water Use on Australian Farms, 2009-10</w:t>
      </w:r>
      <w:r w:rsidRPr="009C2835">
        <w:rPr>
          <w:noProof/>
        </w:rPr>
        <w:t>, &lt;</w:t>
      </w:r>
      <w:hyperlink r:id="rId27" w:history="1">
        <w:r w:rsidRPr="009C2835">
          <w:rPr>
            <w:rStyle w:val="af"/>
            <w:noProof/>
          </w:rPr>
          <w:t>https://www.abs.gov.au/AUSSTATS/abs@.nsf/Lookup/4618.0Main+Features12009-10?OpenDocument</w:t>
        </w:r>
      </w:hyperlink>
      <w:r w:rsidRPr="009C2835">
        <w:rPr>
          <w:noProof/>
        </w:rPr>
        <w:t>&gt; (2010).</w:t>
      </w:r>
    </w:p>
    <w:p w14:paraId="716936EC" w14:textId="77777777" w:rsidR="009C2835" w:rsidRPr="009C2835" w:rsidRDefault="009C2835" w:rsidP="003B3CC2">
      <w:pPr>
        <w:pStyle w:val="EndNoteBibliography"/>
        <w:ind w:leftChars="200" w:left="420" w:firstLineChars="0" w:firstLine="0"/>
        <w:rPr>
          <w:noProof/>
        </w:rPr>
      </w:pPr>
      <w:r w:rsidRPr="009C2835">
        <w:rPr>
          <w:noProof/>
        </w:rPr>
        <w:t>26</w:t>
      </w:r>
      <w:r w:rsidRPr="009C2835">
        <w:rPr>
          <w:noProof/>
        </w:rPr>
        <w:tab/>
        <w:t>BM. Australian Hydrological Geospatial Fabric (Geofabric). (Bureau of Meteorology, Australia, 2016).</w:t>
      </w:r>
    </w:p>
    <w:p w14:paraId="34E09623" w14:textId="77777777" w:rsidR="009C2835" w:rsidRPr="009C2835" w:rsidRDefault="009C2835" w:rsidP="003B3CC2">
      <w:pPr>
        <w:pStyle w:val="EndNoteBibliography"/>
        <w:ind w:leftChars="200" w:left="420" w:firstLineChars="0" w:firstLine="0"/>
        <w:rPr>
          <w:noProof/>
        </w:rPr>
      </w:pPr>
      <w:r w:rsidRPr="009C2835">
        <w:rPr>
          <w:noProof/>
        </w:rPr>
        <w:t>27</w:t>
      </w:r>
      <w:r w:rsidRPr="009C2835">
        <w:rPr>
          <w:noProof/>
        </w:rPr>
        <w:tab/>
        <w:t>FW. Comparing Total Costs of Irrigation Systems in Victoria. (Goulburn Broken Catchment Management Authority, Shepparton, Victoria, 2015).</w:t>
      </w:r>
    </w:p>
    <w:p w14:paraId="596D6464" w14:textId="7AD97FAD" w:rsidR="009C2835" w:rsidRPr="009C2835" w:rsidRDefault="009C2835" w:rsidP="003B3CC2">
      <w:pPr>
        <w:pStyle w:val="EndNoteBibliography"/>
        <w:ind w:leftChars="200" w:left="420" w:firstLineChars="0" w:firstLine="0"/>
        <w:rPr>
          <w:noProof/>
        </w:rPr>
      </w:pPr>
      <w:r w:rsidRPr="009C2835">
        <w:rPr>
          <w:noProof/>
        </w:rPr>
        <w:t>28</w:t>
      </w:r>
      <w:r w:rsidRPr="009C2835">
        <w:rPr>
          <w:noProof/>
        </w:rPr>
        <w:tab/>
        <w:t xml:space="preserve">HomeGuide. </w:t>
      </w:r>
      <w:r w:rsidRPr="009C2835">
        <w:rPr>
          <w:i/>
          <w:noProof/>
        </w:rPr>
        <w:t>2024 Land Clearing Costs | Avg. Cost Per Acre | Wooded Lot Clearing</w:t>
      </w:r>
      <w:r w:rsidRPr="009C2835">
        <w:rPr>
          <w:noProof/>
        </w:rPr>
        <w:t>, &lt;</w:t>
      </w:r>
      <w:hyperlink r:id="rId28" w:history="1">
        <w:r w:rsidRPr="009C2835">
          <w:rPr>
            <w:rStyle w:val="af"/>
            <w:noProof/>
          </w:rPr>
          <w:t>https://homeguide.com/costs/land-clearing-cost</w:t>
        </w:r>
      </w:hyperlink>
      <w:r w:rsidRPr="009C2835">
        <w:rPr>
          <w:noProof/>
        </w:rPr>
        <w:t>&gt; (2023).</w:t>
      </w:r>
    </w:p>
    <w:p w14:paraId="7788BED8" w14:textId="0A86FB72" w:rsidR="009C2835" w:rsidRPr="009C2835" w:rsidRDefault="009C2835" w:rsidP="003B3CC2">
      <w:pPr>
        <w:pStyle w:val="EndNoteBibliography"/>
        <w:ind w:leftChars="200" w:left="420" w:firstLineChars="0" w:firstLine="0"/>
        <w:rPr>
          <w:noProof/>
        </w:rPr>
      </w:pPr>
      <w:r w:rsidRPr="009C2835">
        <w:rPr>
          <w:noProof/>
        </w:rPr>
        <w:t>29</w:t>
      </w:r>
      <w:r w:rsidRPr="009C2835">
        <w:rPr>
          <w:noProof/>
        </w:rPr>
        <w:tab/>
        <w:t xml:space="preserve">EcoSpecifier. </w:t>
      </w:r>
      <w:r w:rsidRPr="009C2835">
        <w:rPr>
          <w:i/>
          <w:noProof/>
        </w:rPr>
        <w:t>Farm Fencing [Price Guide]</w:t>
      </w:r>
      <w:r w:rsidRPr="009C2835">
        <w:rPr>
          <w:noProof/>
        </w:rPr>
        <w:t>, &lt;</w:t>
      </w:r>
      <w:hyperlink r:id="rId29" w:history="1">
        <w:r w:rsidRPr="009C2835">
          <w:rPr>
            <w:rStyle w:val="af"/>
            <w:noProof/>
          </w:rPr>
          <w:t>https://www.ecospecifier.com.au/farm-fencing/</w:t>
        </w:r>
      </w:hyperlink>
      <w:r w:rsidRPr="009C2835">
        <w:rPr>
          <w:noProof/>
        </w:rPr>
        <w:t>&gt; (2024).</w:t>
      </w:r>
    </w:p>
    <w:p w14:paraId="48DC662D" w14:textId="0A97B5E7" w:rsidR="009C2835" w:rsidRPr="009C2835" w:rsidRDefault="009C2835" w:rsidP="003B3CC2">
      <w:pPr>
        <w:pStyle w:val="EndNoteBibliography"/>
        <w:ind w:leftChars="200" w:left="420" w:firstLineChars="0" w:firstLine="0"/>
        <w:rPr>
          <w:noProof/>
        </w:rPr>
      </w:pPr>
      <w:r w:rsidRPr="009C2835">
        <w:rPr>
          <w:noProof/>
        </w:rPr>
        <w:t>30</w:t>
      </w:r>
      <w:r w:rsidRPr="009C2835">
        <w:rPr>
          <w:noProof/>
        </w:rPr>
        <w:tab/>
        <w:t xml:space="preserve">Summers, D. M., Bryan, B. A., Nolan, M. &amp; Hobbs, T. J. The costs of reforestation: A spatial model of the costs of establishing environmental and carbon plantings. </w:t>
      </w:r>
      <w:r w:rsidRPr="009C2835">
        <w:rPr>
          <w:i/>
          <w:noProof/>
        </w:rPr>
        <w:t>Land Use Policy</w:t>
      </w:r>
      <w:r w:rsidRPr="009C2835">
        <w:rPr>
          <w:noProof/>
        </w:rPr>
        <w:t xml:space="preserve"> </w:t>
      </w:r>
      <w:r w:rsidRPr="009C2835">
        <w:rPr>
          <w:b/>
          <w:noProof/>
        </w:rPr>
        <w:t>44</w:t>
      </w:r>
      <w:r w:rsidRPr="009C2835">
        <w:rPr>
          <w:noProof/>
        </w:rPr>
        <w:t xml:space="preserve">, 110–121 (2015). </w:t>
      </w:r>
      <w:hyperlink r:id="rId30" w:history="1">
        <w:r w:rsidRPr="009C2835">
          <w:rPr>
            <w:rStyle w:val="af"/>
            <w:noProof/>
          </w:rPr>
          <w:t>https://doi.org/https://doi.org/10.1016/j.landusepol.2014.12.002</w:t>
        </w:r>
      </w:hyperlink>
    </w:p>
    <w:p w14:paraId="6286554D" w14:textId="77777777" w:rsidR="009C2835" w:rsidRPr="009C2835" w:rsidRDefault="009C2835" w:rsidP="003B3CC2">
      <w:pPr>
        <w:pStyle w:val="EndNoteBibliography"/>
        <w:ind w:leftChars="200" w:left="420" w:firstLineChars="0" w:firstLine="0"/>
        <w:rPr>
          <w:noProof/>
        </w:rPr>
      </w:pPr>
      <w:r w:rsidRPr="009C2835">
        <w:rPr>
          <w:noProof/>
        </w:rPr>
        <w:t>31</w:t>
      </w:r>
      <w:r w:rsidRPr="009C2835">
        <w:rPr>
          <w:noProof/>
        </w:rPr>
        <w:tab/>
        <w:t xml:space="preserve">ABS. SA2 Land and Environment (Data by Region) Nov 2024.  (2024). </w:t>
      </w:r>
    </w:p>
    <w:p w14:paraId="0A155623" w14:textId="77777777" w:rsidR="009C2835" w:rsidRPr="009C2835" w:rsidRDefault="009C2835" w:rsidP="003B3CC2">
      <w:pPr>
        <w:pStyle w:val="EndNoteBibliography"/>
        <w:ind w:leftChars="200" w:left="420" w:firstLineChars="0" w:firstLine="0"/>
        <w:rPr>
          <w:noProof/>
        </w:rPr>
      </w:pPr>
      <w:r w:rsidRPr="009C2835">
        <w:rPr>
          <w:noProof/>
        </w:rPr>
        <w:t>32</w:t>
      </w:r>
      <w:r w:rsidRPr="009C2835">
        <w:rPr>
          <w:noProof/>
        </w:rPr>
        <w:tab/>
        <w:t>Gurobi Optimizer Reference Manual (2024).</w:t>
      </w:r>
    </w:p>
    <w:p w14:paraId="694FA437" w14:textId="77777777" w:rsidR="009C2835" w:rsidRPr="009C2835" w:rsidRDefault="009C2835" w:rsidP="003B3CC2">
      <w:pPr>
        <w:pStyle w:val="EndNoteBibliography"/>
        <w:ind w:leftChars="200" w:left="420" w:firstLineChars="0" w:firstLine="0"/>
        <w:rPr>
          <w:noProof/>
        </w:rPr>
      </w:pPr>
      <w:r w:rsidRPr="009C2835">
        <w:rPr>
          <w:noProof/>
        </w:rPr>
        <w:t>33</w:t>
      </w:r>
      <w:r w:rsidRPr="009C2835">
        <w:rPr>
          <w:noProof/>
        </w:rPr>
        <w:tab/>
        <w:t>Clegg, P.</w:t>
      </w:r>
      <w:r w:rsidRPr="009C2835">
        <w:rPr>
          <w:i/>
          <w:noProof/>
        </w:rPr>
        <w:t xml:space="preserve"> et al.</w:t>
      </w:r>
      <w:r w:rsidRPr="009C2835">
        <w:rPr>
          <w:noProof/>
        </w:rPr>
        <w:t xml:space="preserve"> Ag2050 Scenarios Report. (Commonwealth Scientific and Industrial Research Organisation (CSIRO), Australia, 2024).</w:t>
      </w:r>
    </w:p>
    <w:p w14:paraId="1D7F6E6C" w14:textId="35E93D86" w:rsidR="009C2835" w:rsidRPr="009C2835" w:rsidRDefault="009C2835" w:rsidP="003B3CC2">
      <w:pPr>
        <w:pStyle w:val="EndNoteBibliography"/>
        <w:ind w:leftChars="200" w:left="420" w:firstLineChars="0" w:firstLine="0"/>
        <w:rPr>
          <w:noProof/>
        </w:rPr>
      </w:pPr>
      <w:r w:rsidRPr="009C2835">
        <w:rPr>
          <w:noProof/>
        </w:rPr>
        <w:t>34</w:t>
      </w:r>
      <w:r w:rsidRPr="009C2835">
        <w:rPr>
          <w:noProof/>
        </w:rPr>
        <w:tab/>
        <w:t xml:space="preserve">ABARES. </w:t>
      </w:r>
      <w:r w:rsidRPr="009C2835">
        <w:rPr>
          <w:i/>
          <w:noProof/>
        </w:rPr>
        <w:t>Australian farm productivity: Broadacre and dairy estimates</w:t>
      </w:r>
      <w:r w:rsidRPr="009C2835">
        <w:rPr>
          <w:noProof/>
        </w:rPr>
        <w:t>, &lt;</w:t>
      </w:r>
      <w:hyperlink r:id="rId31" w:history="1">
        <w:r w:rsidRPr="009C2835">
          <w:rPr>
            <w:rStyle w:val="af"/>
            <w:noProof/>
          </w:rPr>
          <w:t>https://www.agriculture.gov.au/abares/research-topics/productivity/agricultural-productivity-estimates</w:t>
        </w:r>
      </w:hyperlink>
      <w:r w:rsidRPr="009C2835">
        <w:rPr>
          <w:noProof/>
        </w:rPr>
        <w:t>&gt; (2025).</w:t>
      </w:r>
    </w:p>
    <w:p w14:paraId="106C6DA6" w14:textId="77777777" w:rsidR="009C2835" w:rsidRPr="009C2835" w:rsidRDefault="009C2835" w:rsidP="003B3CC2">
      <w:pPr>
        <w:pStyle w:val="EndNoteBibliography"/>
        <w:ind w:leftChars="200" w:left="420" w:firstLineChars="0" w:firstLine="0"/>
        <w:rPr>
          <w:noProof/>
        </w:rPr>
      </w:pPr>
      <w:r w:rsidRPr="009C2835">
        <w:rPr>
          <w:noProof/>
        </w:rPr>
        <w:t>35</w:t>
      </w:r>
      <w:r w:rsidRPr="009C2835">
        <w:rPr>
          <w:noProof/>
        </w:rPr>
        <w:tab/>
        <w:t xml:space="preserve">ABS. Employee earnings, August 2024: Table 3 - Distribution of earnings for employees by industry.  (2024). </w:t>
      </w:r>
    </w:p>
    <w:p w14:paraId="53DB5CAF" w14:textId="71071026" w:rsidR="009C2835" w:rsidRPr="009C2835" w:rsidRDefault="009C2835" w:rsidP="003B3CC2">
      <w:pPr>
        <w:pStyle w:val="EndNoteBibliography"/>
        <w:ind w:leftChars="200" w:left="420" w:firstLineChars="0" w:firstLine="0"/>
        <w:rPr>
          <w:noProof/>
        </w:rPr>
      </w:pPr>
      <w:r w:rsidRPr="009C2835">
        <w:rPr>
          <w:noProof/>
        </w:rPr>
        <w:t>36</w:t>
      </w:r>
      <w:r w:rsidRPr="009C2835">
        <w:rPr>
          <w:noProof/>
        </w:rPr>
        <w:tab/>
        <w:t xml:space="preserve">ALFA. </w:t>
      </w:r>
      <w:r w:rsidRPr="009C2835">
        <w:rPr>
          <w:i/>
          <w:noProof/>
        </w:rPr>
        <w:t>Feedlot industry figures and quarterly survey results</w:t>
      </w:r>
      <w:r w:rsidRPr="009C2835">
        <w:rPr>
          <w:noProof/>
        </w:rPr>
        <w:t>, &lt;</w:t>
      </w:r>
      <w:hyperlink r:id="rId32" w:history="1">
        <w:r w:rsidRPr="009C2835">
          <w:rPr>
            <w:rStyle w:val="af"/>
            <w:noProof/>
          </w:rPr>
          <w:t>https://www.feedlots.com.au/resources/figures</w:t>
        </w:r>
      </w:hyperlink>
      <w:r w:rsidRPr="009C2835">
        <w:rPr>
          <w:noProof/>
        </w:rPr>
        <w:t>&gt; (2025).</w:t>
      </w:r>
    </w:p>
    <w:p w14:paraId="46333ACC" w14:textId="7F2CC5D7" w:rsidR="009C2835" w:rsidRPr="009C2835" w:rsidRDefault="009C2835" w:rsidP="003B3CC2">
      <w:pPr>
        <w:pStyle w:val="EndNoteBibliography"/>
        <w:ind w:leftChars="200" w:left="420" w:firstLineChars="0" w:firstLine="0"/>
        <w:rPr>
          <w:noProof/>
        </w:rPr>
      </w:pPr>
      <w:r w:rsidRPr="009C2835">
        <w:rPr>
          <w:noProof/>
        </w:rPr>
        <w:t>37</w:t>
      </w:r>
      <w:r w:rsidRPr="009C2835">
        <w:rPr>
          <w:noProof/>
        </w:rPr>
        <w:tab/>
        <w:t xml:space="preserve">Condon, J. </w:t>
      </w:r>
      <w:r w:rsidRPr="009C2835">
        <w:rPr>
          <w:i/>
          <w:noProof/>
        </w:rPr>
        <w:t>Segmented days-on-feed data adds value to quarterly feedlot industry surveys</w:t>
      </w:r>
      <w:r w:rsidRPr="009C2835">
        <w:rPr>
          <w:noProof/>
        </w:rPr>
        <w:t>, &lt;</w:t>
      </w:r>
      <w:hyperlink r:id="rId33" w:history="1">
        <w:r w:rsidRPr="009C2835">
          <w:rPr>
            <w:rStyle w:val="af"/>
            <w:noProof/>
          </w:rPr>
          <w:t>https://www.beefcentral.com/news/segmented-days-on-feed-data-adds-value-to-quarterly-feedlot-industry-surveys/</w:t>
        </w:r>
      </w:hyperlink>
      <w:r w:rsidRPr="009C2835">
        <w:rPr>
          <w:noProof/>
        </w:rPr>
        <w:t>&gt; (2025).</w:t>
      </w:r>
    </w:p>
    <w:p w14:paraId="3780130D" w14:textId="77777777" w:rsidR="009C2835" w:rsidRPr="009C2835" w:rsidRDefault="009C2835" w:rsidP="003B3CC2">
      <w:pPr>
        <w:pStyle w:val="EndNoteBibliography"/>
        <w:ind w:leftChars="200" w:left="420" w:firstLineChars="0" w:firstLine="0"/>
        <w:rPr>
          <w:noProof/>
        </w:rPr>
      </w:pPr>
      <w:r w:rsidRPr="009C2835">
        <w:rPr>
          <w:noProof/>
        </w:rPr>
        <w:t>38</w:t>
      </w:r>
      <w:r w:rsidRPr="009C2835">
        <w:rPr>
          <w:noProof/>
        </w:rPr>
        <w:tab/>
        <w:t>MLA. Lot feeding brief – Results for the March quarter 2025 feedlot survey. (Meat and Livestock Australia, Sydney, Australia, 2025).</w:t>
      </w:r>
    </w:p>
    <w:p w14:paraId="1E9C74D9" w14:textId="77777777" w:rsidR="009C2835" w:rsidRPr="009C2835" w:rsidRDefault="009C2835" w:rsidP="003B3CC2">
      <w:pPr>
        <w:pStyle w:val="EndNoteBibliography"/>
        <w:ind w:leftChars="200" w:left="420" w:firstLineChars="0" w:firstLine="0"/>
        <w:rPr>
          <w:noProof/>
        </w:rPr>
      </w:pPr>
      <w:r w:rsidRPr="009C2835">
        <w:rPr>
          <w:noProof/>
        </w:rPr>
        <w:t>39</w:t>
      </w:r>
      <w:r w:rsidRPr="009C2835">
        <w:rPr>
          <w:noProof/>
        </w:rPr>
        <w:tab/>
        <w:t xml:space="preserve">Wiedemann, S., Davis, R., McGahan, E., Murphy, C. &amp; Redding, M. Resource use and greenhouse gas emissions from grain-finishing beef cattle in seven Australian feedlots: a life cycle assessment. </w:t>
      </w:r>
      <w:r w:rsidRPr="009C2835">
        <w:rPr>
          <w:i/>
          <w:noProof/>
        </w:rPr>
        <w:t>Animal Production Science</w:t>
      </w:r>
      <w:r w:rsidRPr="009C2835">
        <w:rPr>
          <w:noProof/>
        </w:rPr>
        <w:t xml:space="preserve"> </w:t>
      </w:r>
      <w:r w:rsidRPr="009C2835">
        <w:rPr>
          <w:b/>
          <w:noProof/>
        </w:rPr>
        <w:t>57</w:t>
      </w:r>
      <w:r w:rsidRPr="009C2835">
        <w:rPr>
          <w:noProof/>
        </w:rPr>
        <w:t xml:space="preserve">, 1149–1162 (2017). </w:t>
      </w:r>
    </w:p>
    <w:p w14:paraId="49BDF870" w14:textId="77777777" w:rsidR="009C2835" w:rsidRPr="009C2835" w:rsidRDefault="009C2835" w:rsidP="003B3CC2">
      <w:pPr>
        <w:pStyle w:val="EndNoteBibliography"/>
        <w:ind w:leftChars="200" w:left="420" w:firstLineChars="0" w:firstLine="0"/>
        <w:rPr>
          <w:noProof/>
        </w:rPr>
      </w:pPr>
      <w:r w:rsidRPr="009C2835">
        <w:rPr>
          <w:noProof/>
        </w:rPr>
        <w:t>40</w:t>
      </w:r>
      <w:r w:rsidRPr="009C2835">
        <w:rPr>
          <w:noProof/>
        </w:rPr>
        <w:tab/>
        <w:t>Behrendt, K. &amp; Weeks, P. How are global and Australian beef feedlots performing?: Global agri benchmark network results 2018. (2019).</w:t>
      </w:r>
    </w:p>
    <w:p w14:paraId="47042BE6" w14:textId="28EBA895" w:rsidR="009C2835" w:rsidRPr="009C2835" w:rsidRDefault="009C2835" w:rsidP="003B3CC2">
      <w:pPr>
        <w:pStyle w:val="EndNoteBibliography"/>
        <w:ind w:leftChars="200" w:left="420" w:firstLineChars="0" w:firstLine="0"/>
        <w:rPr>
          <w:noProof/>
        </w:rPr>
      </w:pPr>
      <w:r w:rsidRPr="009C2835">
        <w:rPr>
          <w:noProof/>
        </w:rPr>
        <w:t>41</w:t>
      </w:r>
      <w:r w:rsidRPr="009C2835">
        <w:rPr>
          <w:noProof/>
        </w:rPr>
        <w:tab/>
        <w:t xml:space="preserve">Condon, J. </w:t>
      </w:r>
      <w:r w:rsidRPr="009C2835">
        <w:rPr>
          <w:i/>
          <w:noProof/>
        </w:rPr>
        <w:t>Wagyu feeder steer prices stable, but premium over Angus under pressure</w:t>
      </w:r>
      <w:r w:rsidRPr="009C2835">
        <w:rPr>
          <w:noProof/>
        </w:rPr>
        <w:t>, &lt;</w:t>
      </w:r>
      <w:hyperlink r:id="rId34" w:history="1">
        <w:r w:rsidRPr="009C2835">
          <w:rPr>
            <w:rStyle w:val="af"/>
            <w:noProof/>
          </w:rPr>
          <w:t>https://www.beefcentral.com/news/wagyu-feeder-steer-prices-stable-but-premium-over-angus-under-pressure/</w:t>
        </w:r>
      </w:hyperlink>
      <w:r w:rsidRPr="009C2835">
        <w:rPr>
          <w:noProof/>
        </w:rPr>
        <w:t>&gt; (2025).</w:t>
      </w:r>
    </w:p>
    <w:p w14:paraId="43050847" w14:textId="454ABE5D" w:rsidR="009C2835" w:rsidRPr="009C2835" w:rsidRDefault="009C2835" w:rsidP="003B3CC2">
      <w:pPr>
        <w:pStyle w:val="EndNoteBibliography"/>
        <w:ind w:leftChars="200" w:left="420" w:firstLineChars="0" w:firstLine="0"/>
        <w:rPr>
          <w:noProof/>
        </w:rPr>
      </w:pPr>
      <w:r w:rsidRPr="009C2835">
        <w:rPr>
          <w:noProof/>
        </w:rPr>
        <w:t>42</w:t>
      </w:r>
      <w:r w:rsidRPr="009C2835">
        <w:rPr>
          <w:noProof/>
        </w:rPr>
        <w:tab/>
        <w:t xml:space="preserve">Condon, J. </w:t>
      </w:r>
      <w:r w:rsidRPr="009C2835">
        <w:rPr>
          <w:i/>
          <w:noProof/>
        </w:rPr>
        <w:t>Killara feedlot manager delivers sobering assessment about feeder prices heading into 2023</w:t>
      </w:r>
      <w:r w:rsidRPr="009C2835">
        <w:rPr>
          <w:noProof/>
        </w:rPr>
        <w:t>, &lt;</w:t>
      </w:r>
      <w:hyperlink r:id="rId35" w:history="1">
        <w:r w:rsidRPr="009C2835">
          <w:rPr>
            <w:rStyle w:val="af"/>
            <w:noProof/>
          </w:rPr>
          <w:t>https://www.beefcentral.com/news/killara-feedlot-manager-delivers-sobering-assessment-about-feeder-prices-heading-into-2023/</w:t>
        </w:r>
      </w:hyperlink>
      <w:r w:rsidRPr="009C2835">
        <w:rPr>
          <w:noProof/>
        </w:rPr>
        <w:t>&gt; (2022).</w:t>
      </w:r>
    </w:p>
    <w:p w14:paraId="53D63D91" w14:textId="77777777" w:rsidR="009C2835" w:rsidRPr="009C2835" w:rsidRDefault="009C2835" w:rsidP="003B3CC2">
      <w:pPr>
        <w:pStyle w:val="EndNoteBibliography"/>
        <w:ind w:leftChars="200" w:left="420" w:firstLineChars="0" w:firstLine="0"/>
        <w:rPr>
          <w:noProof/>
        </w:rPr>
      </w:pPr>
      <w:r w:rsidRPr="009C2835">
        <w:rPr>
          <w:noProof/>
        </w:rPr>
        <w:lastRenderedPageBreak/>
        <w:t>43</w:t>
      </w:r>
      <w:r w:rsidRPr="009C2835">
        <w:rPr>
          <w:noProof/>
        </w:rPr>
        <w:tab/>
        <w:t>Wiedemann, S. G.</w:t>
      </w:r>
      <w:r w:rsidRPr="009C2835">
        <w:rPr>
          <w:i/>
          <w:noProof/>
        </w:rPr>
        <w:t xml:space="preserve"> et al.</w:t>
      </w:r>
      <w:r w:rsidRPr="009C2835">
        <w:rPr>
          <w:noProof/>
        </w:rPr>
        <w:t xml:space="preserve"> The environmental sustainability of premium Australian beef exported to the USA: A Life Cycle Assessment. Report No. 9781741919011, (Meat and Livestock Australia Limited, North Sydney, NSW, Australia, 2014).</w:t>
      </w:r>
    </w:p>
    <w:p w14:paraId="1885B289" w14:textId="77777777" w:rsidR="009C2835" w:rsidRPr="009C2835" w:rsidRDefault="009C2835" w:rsidP="003B3CC2">
      <w:pPr>
        <w:pStyle w:val="EndNoteBibliography"/>
        <w:ind w:leftChars="200" w:left="420" w:firstLineChars="0" w:firstLine="0"/>
        <w:rPr>
          <w:noProof/>
        </w:rPr>
      </w:pPr>
      <w:r w:rsidRPr="009C2835">
        <w:rPr>
          <w:noProof/>
        </w:rPr>
        <w:t>44</w:t>
      </w:r>
      <w:r w:rsidRPr="009C2835">
        <w:rPr>
          <w:noProof/>
        </w:rPr>
        <w:tab/>
        <w:t xml:space="preserve">FAOSTAT. FAOSTAT: Food Balances (Food Balance Sheets).  (2024). </w:t>
      </w:r>
    </w:p>
    <w:p w14:paraId="1CABA914" w14:textId="2D9DD837" w:rsidR="009C2835" w:rsidRPr="009C2835" w:rsidRDefault="009C2835" w:rsidP="003B3CC2">
      <w:pPr>
        <w:pStyle w:val="EndNoteBibliography"/>
        <w:ind w:leftChars="200" w:left="420" w:firstLineChars="0" w:firstLine="0"/>
        <w:rPr>
          <w:noProof/>
        </w:rPr>
      </w:pPr>
      <w:r w:rsidRPr="009C2835">
        <w:rPr>
          <w:noProof/>
        </w:rPr>
        <w:t>45</w:t>
      </w:r>
      <w:r w:rsidRPr="009C2835">
        <w:rPr>
          <w:noProof/>
        </w:rPr>
        <w:tab/>
        <w:t xml:space="preserve">Millo, G. &amp; Piras, G. splm: Spatial Panel Data Models in R. </w:t>
      </w:r>
      <w:r w:rsidRPr="009C2835">
        <w:rPr>
          <w:i/>
          <w:noProof/>
        </w:rPr>
        <w:t>Journal of Statistical Software</w:t>
      </w:r>
      <w:r w:rsidRPr="009C2835">
        <w:rPr>
          <w:noProof/>
        </w:rPr>
        <w:t xml:space="preserve"> </w:t>
      </w:r>
      <w:r w:rsidRPr="009C2835">
        <w:rPr>
          <w:b/>
          <w:noProof/>
        </w:rPr>
        <w:t>47</w:t>
      </w:r>
      <w:r w:rsidRPr="009C2835">
        <w:rPr>
          <w:noProof/>
        </w:rPr>
        <w:t xml:space="preserve">, 1 – 38 (2012). </w:t>
      </w:r>
      <w:hyperlink r:id="rId36" w:history="1">
        <w:r w:rsidRPr="009C2835">
          <w:rPr>
            <w:rStyle w:val="af"/>
            <w:noProof/>
          </w:rPr>
          <w:t>https://doi.org/10.18637/jss.v047.i01</w:t>
        </w:r>
      </w:hyperlink>
    </w:p>
    <w:p w14:paraId="47475FB1" w14:textId="3F04E620" w:rsidR="009C2835" w:rsidRPr="009C2835" w:rsidRDefault="009C2835" w:rsidP="003B3CC2">
      <w:pPr>
        <w:pStyle w:val="EndNoteBibliography"/>
        <w:ind w:leftChars="200" w:left="420" w:firstLineChars="0" w:firstLine="0"/>
        <w:rPr>
          <w:noProof/>
        </w:rPr>
      </w:pPr>
      <w:r w:rsidRPr="009C2835">
        <w:rPr>
          <w:noProof/>
        </w:rPr>
        <w:t>46</w:t>
      </w:r>
      <w:r w:rsidRPr="009C2835">
        <w:rPr>
          <w:noProof/>
        </w:rPr>
        <w:tab/>
        <w:t xml:space="preserve">Baltagi, B. H., Bresson, G. &amp; Pirotte, A. Forecasting with spatial panel data. </w:t>
      </w:r>
      <w:r w:rsidRPr="009C2835">
        <w:rPr>
          <w:i/>
          <w:noProof/>
        </w:rPr>
        <w:t>Computational Statistics &amp; Data Analysis</w:t>
      </w:r>
      <w:r w:rsidRPr="009C2835">
        <w:rPr>
          <w:noProof/>
        </w:rPr>
        <w:t xml:space="preserve"> </w:t>
      </w:r>
      <w:r w:rsidRPr="009C2835">
        <w:rPr>
          <w:b/>
          <w:noProof/>
        </w:rPr>
        <w:t>56</w:t>
      </w:r>
      <w:r w:rsidRPr="009C2835">
        <w:rPr>
          <w:noProof/>
        </w:rPr>
        <w:t xml:space="preserve">, 3381–3397 (2012). </w:t>
      </w:r>
      <w:hyperlink r:id="rId37" w:history="1">
        <w:r w:rsidRPr="009C2835">
          <w:rPr>
            <w:rStyle w:val="af"/>
            <w:noProof/>
          </w:rPr>
          <w:t>https://doi.org/10.1016/j.csda.2010.08.006</w:t>
        </w:r>
      </w:hyperlink>
    </w:p>
    <w:p w14:paraId="5CBF3BD7" w14:textId="3351EEFB" w:rsidR="009C2835" w:rsidRPr="009C2835" w:rsidRDefault="009C2835" w:rsidP="003B3CC2">
      <w:pPr>
        <w:pStyle w:val="EndNoteBibliography"/>
        <w:ind w:leftChars="200" w:left="420" w:firstLineChars="0" w:firstLine="0"/>
        <w:rPr>
          <w:noProof/>
        </w:rPr>
      </w:pPr>
      <w:r w:rsidRPr="009C2835">
        <w:rPr>
          <w:noProof/>
        </w:rPr>
        <w:t>47</w:t>
      </w:r>
      <w:r w:rsidRPr="009C2835">
        <w:rPr>
          <w:noProof/>
        </w:rPr>
        <w:tab/>
        <w:t>Riahi, K.</w:t>
      </w:r>
      <w:r w:rsidRPr="009C2835">
        <w:rPr>
          <w:i/>
          <w:noProof/>
        </w:rPr>
        <w:t xml:space="preserve"> et al.</w:t>
      </w:r>
      <w:r w:rsidRPr="009C2835">
        <w:rPr>
          <w:noProof/>
        </w:rPr>
        <w:t xml:space="preserve"> The Shared Socioeconomic Pathways and their energy, land use, and greenhouse gas emissions implications: An overview. </w:t>
      </w:r>
      <w:r w:rsidRPr="009C2835">
        <w:rPr>
          <w:i/>
          <w:noProof/>
        </w:rPr>
        <w:t>Glob. Environ. Change</w:t>
      </w:r>
      <w:r w:rsidRPr="009C2835">
        <w:rPr>
          <w:noProof/>
        </w:rPr>
        <w:t xml:space="preserve"> </w:t>
      </w:r>
      <w:r w:rsidRPr="009C2835">
        <w:rPr>
          <w:b/>
          <w:noProof/>
        </w:rPr>
        <w:t>42</w:t>
      </w:r>
      <w:r w:rsidRPr="009C2835">
        <w:rPr>
          <w:noProof/>
        </w:rPr>
        <w:t xml:space="preserve">, 153–168 (2017). </w:t>
      </w:r>
      <w:hyperlink r:id="rId38" w:history="1">
        <w:r w:rsidRPr="009C2835">
          <w:rPr>
            <w:rStyle w:val="af"/>
            <w:noProof/>
          </w:rPr>
          <w:t>https://doi.org/10.1016/j.gloenvcha.2016.05.009</w:t>
        </w:r>
      </w:hyperlink>
    </w:p>
    <w:p w14:paraId="2012398E" w14:textId="4FA83BDA" w:rsidR="009C2835" w:rsidRPr="009C2835" w:rsidRDefault="009C2835" w:rsidP="003B3CC2">
      <w:pPr>
        <w:pStyle w:val="EndNoteBibliography"/>
        <w:ind w:leftChars="200" w:left="420" w:firstLineChars="0" w:firstLine="0"/>
        <w:rPr>
          <w:noProof/>
        </w:rPr>
      </w:pPr>
      <w:r w:rsidRPr="009C2835">
        <w:rPr>
          <w:noProof/>
        </w:rPr>
        <w:t>48</w:t>
      </w:r>
      <w:r w:rsidRPr="009C2835">
        <w:rPr>
          <w:noProof/>
        </w:rPr>
        <w:tab/>
        <w:t xml:space="preserve">DCCEEW. </w:t>
      </w:r>
      <w:r w:rsidRPr="009C2835">
        <w:rPr>
          <w:i/>
          <w:noProof/>
        </w:rPr>
        <w:t>Net Zero Plan</w:t>
      </w:r>
      <w:r w:rsidRPr="009C2835">
        <w:rPr>
          <w:noProof/>
        </w:rPr>
        <w:t>, &lt;</w:t>
      </w:r>
      <w:hyperlink r:id="rId39" w:history="1">
        <w:r w:rsidRPr="009C2835">
          <w:rPr>
            <w:rStyle w:val="af"/>
            <w:noProof/>
          </w:rPr>
          <w:t>https://www.dcceew.gov.au/climate-change/emissions-reduction/net-zero</w:t>
        </w:r>
      </w:hyperlink>
      <w:r w:rsidRPr="009C2835">
        <w:rPr>
          <w:noProof/>
        </w:rPr>
        <w:t>&gt; (2024).</w:t>
      </w:r>
    </w:p>
    <w:p w14:paraId="2BA2A0C3" w14:textId="77777777" w:rsidR="009C2835" w:rsidRPr="009C2835" w:rsidRDefault="009C2835" w:rsidP="003B3CC2">
      <w:pPr>
        <w:pStyle w:val="EndNoteBibliography"/>
        <w:ind w:leftChars="200" w:left="420" w:firstLineChars="0" w:firstLine="0"/>
        <w:rPr>
          <w:noProof/>
        </w:rPr>
      </w:pPr>
      <w:r w:rsidRPr="009C2835">
        <w:rPr>
          <w:noProof/>
        </w:rPr>
        <w:t>49</w:t>
      </w:r>
      <w:r w:rsidRPr="009C2835">
        <w:rPr>
          <w:noProof/>
        </w:rPr>
        <w:tab/>
        <w:t>Li, M., Croser, L., Murugesan, M. &amp; Whelan, J. Climateworks Centre decarbonisation scenarios 2023: Australia can still meet the Paris Agreement. (2023).</w:t>
      </w:r>
    </w:p>
    <w:p w14:paraId="067C3AF4" w14:textId="77777777" w:rsidR="009C2835" w:rsidRPr="009C2835" w:rsidRDefault="009C2835" w:rsidP="003B3CC2">
      <w:pPr>
        <w:pStyle w:val="EndNoteBibliography"/>
        <w:ind w:leftChars="200" w:left="420" w:firstLineChars="0" w:firstLine="0"/>
        <w:rPr>
          <w:noProof/>
        </w:rPr>
      </w:pPr>
      <w:r w:rsidRPr="009C2835">
        <w:rPr>
          <w:noProof/>
        </w:rPr>
        <w:t>50</w:t>
      </w:r>
      <w:r w:rsidRPr="009C2835">
        <w:rPr>
          <w:noProof/>
        </w:rPr>
        <w:tab/>
        <w:t xml:space="preserve">Archibald, C. L., Summers, D. M., Graham, E. M. &amp; Bryan, B. A. Habitat suitability maps for Australian flora and fauna under CMIP6 climate scenarios. </w:t>
      </w:r>
      <w:r w:rsidRPr="009C2835">
        <w:rPr>
          <w:i/>
          <w:noProof/>
        </w:rPr>
        <w:t>GigaScience</w:t>
      </w:r>
      <w:r w:rsidRPr="009C2835">
        <w:rPr>
          <w:noProof/>
        </w:rPr>
        <w:t xml:space="preserve"> </w:t>
      </w:r>
      <w:r w:rsidRPr="009C2835">
        <w:rPr>
          <w:b/>
          <w:noProof/>
        </w:rPr>
        <w:t>13</w:t>
      </w:r>
      <w:r w:rsidRPr="009C2835">
        <w:rPr>
          <w:noProof/>
        </w:rPr>
        <w:t xml:space="preserve">, giae002 (2024). </w:t>
      </w:r>
    </w:p>
    <w:p w14:paraId="43F0AEB8" w14:textId="77777777" w:rsidR="009C2835" w:rsidRPr="009C2835" w:rsidRDefault="009C2835" w:rsidP="003B3CC2">
      <w:pPr>
        <w:pStyle w:val="EndNoteBibliography"/>
        <w:ind w:leftChars="200" w:left="420" w:firstLineChars="0" w:firstLine="0"/>
        <w:rPr>
          <w:noProof/>
        </w:rPr>
      </w:pPr>
      <w:r w:rsidRPr="009C2835">
        <w:rPr>
          <w:noProof/>
        </w:rPr>
        <w:t>51</w:t>
      </w:r>
      <w:r w:rsidRPr="009C2835">
        <w:rPr>
          <w:noProof/>
        </w:rPr>
        <w:tab/>
        <w:t>DCCEEW. FullCAM Guidelines: Requirements for using the Full Carbon Accounting Model (FullCAM) in the Australian Carbon Credit Unit (ACCU) Scheme methodology determination. (Department of Climate Change, Energy, the Environment and Water, Canberra, Australia, 2024).</w:t>
      </w:r>
    </w:p>
    <w:p w14:paraId="321EC5B8" w14:textId="71550F5B" w:rsidR="009C2835" w:rsidRPr="009C2835" w:rsidRDefault="009C2835" w:rsidP="003B3CC2">
      <w:pPr>
        <w:pStyle w:val="EndNoteBibliography"/>
        <w:ind w:leftChars="200" w:left="420" w:firstLineChars="0" w:firstLine="0"/>
        <w:rPr>
          <w:noProof/>
        </w:rPr>
      </w:pPr>
      <w:r w:rsidRPr="009C2835">
        <w:rPr>
          <w:noProof/>
        </w:rPr>
        <w:t>52</w:t>
      </w:r>
      <w:r w:rsidRPr="009C2835">
        <w:rPr>
          <w:noProof/>
        </w:rPr>
        <w:tab/>
        <w:t xml:space="preserve">Cole, L. J., Stockan, J. &amp; Helliwell, R. Managing riparian buffer strips to optimise ecosystem services: A review. </w:t>
      </w:r>
      <w:r w:rsidRPr="009C2835">
        <w:rPr>
          <w:i/>
          <w:noProof/>
        </w:rPr>
        <w:t>Agric. Ecosyst. Environ.</w:t>
      </w:r>
      <w:r w:rsidRPr="009C2835">
        <w:rPr>
          <w:noProof/>
        </w:rPr>
        <w:t xml:space="preserve"> </w:t>
      </w:r>
      <w:r w:rsidRPr="009C2835">
        <w:rPr>
          <w:b/>
          <w:noProof/>
        </w:rPr>
        <w:t>296</w:t>
      </w:r>
      <w:r w:rsidRPr="009C2835">
        <w:rPr>
          <w:noProof/>
        </w:rPr>
        <w:t xml:space="preserve"> (2020). </w:t>
      </w:r>
      <w:hyperlink r:id="rId40" w:history="1">
        <w:r w:rsidRPr="009C2835">
          <w:rPr>
            <w:rStyle w:val="af"/>
            <w:noProof/>
          </w:rPr>
          <w:t>https://doi.org/10.1016/j.agee.2020.106891</w:t>
        </w:r>
      </w:hyperlink>
    </w:p>
    <w:p w14:paraId="26F47D6B" w14:textId="77777777" w:rsidR="009C2835" w:rsidRPr="009C2835" w:rsidRDefault="009C2835" w:rsidP="003B3CC2">
      <w:pPr>
        <w:pStyle w:val="EndNoteBibliography"/>
        <w:ind w:leftChars="200" w:left="420" w:firstLineChars="0" w:firstLine="0"/>
        <w:rPr>
          <w:noProof/>
        </w:rPr>
      </w:pPr>
      <w:r w:rsidRPr="009C2835">
        <w:rPr>
          <w:noProof/>
        </w:rPr>
        <w:t>53</w:t>
      </w:r>
      <w:r w:rsidRPr="009C2835">
        <w:rPr>
          <w:noProof/>
        </w:rPr>
        <w:tab/>
        <w:t xml:space="preserve">Race, D. &amp; Wettenhall, G. </w:t>
      </w:r>
      <w:r w:rsidRPr="009C2835">
        <w:rPr>
          <w:i/>
          <w:noProof/>
        </w:rPr>
        <w:t>Raising trees and livelihoods</w:t>
      </w:r>
      <w:r w:rsidRPr="009C2835">
        <w:rPr>
          <w:noProof/>
        </w:rPr>
        <w:t>.  (Australian Centre for International Agricultural Research (ACIAR), 2024).</w:t>
      </w:r>
    </w:p>
    <w:p w14:paraId="1310493B" w14:textId="503132A5" w:rsidR="009C2835" w:rsidRPr="009C2835" w:rsidRDefault="009C2835" w:rsidP="003B3CC2">
      <w:pPr>
        <w:pStyle w:val="EndNoteBibliography"/>
        <w:ind w:leftChars="200" w:left="420" w:firstLineChars="0" w:firstLine="0"/>
        <w:rPr>
          <w:noProof/>
        </w:rPr>
      </w:pPr>
      <w:r w:rsidRPr="009C2835">
        <w:rPr>
          <w:noProof/>
        </w:rPr>
        <w:t>54</w:t>
      </w:r>
      <w:r w:rsidRPr="009C2835">
        <w:rPr>
          <w:noProof/>
        </w:rPr>
        <w:tab/>
        <w:t>Bukoski, J. J.</w:t>
      </w:r>
      <w:r w:rsidRPr="009C2835">
        <w:rPr>
          <w:i/>
          <w:noProof/>
        </w:rPr>
        <w:t xml:space="preserve"> et al.</w:t>
      </w:r>
      <w:r w:rsidRPr="009C2835">
        <w:rPr>
          <w:noProof/>
        </w:rPr>
        <w:t xml:space="preserve"> Rates and drivers of aboveground carbon accumulation in global monoculture plantation forests. </w:t>
      </w:r>
      <w:r w:rsidRPr="009C2835">
        <w:rPr>
          <w:i/>
          <w:noProof/>
        </w:rPr>
        <w:t>Nat Commun</w:t>
      </w:r>
      <w:r w:rsidRPr="009C2835">
        <w:rPr>
          <w:noProof/>
        </w:rPr>
        <w:t xml:space="preserve"> </w:t>
      </w:r>
      <w:r w:rsidRPr="009C2835">
        <w:rPr>
          <w:b/>
          <w:noProof/>
        </w:rPr>
        <w:t>13</w:t>
      </w:r>
      <w:r w:rsidRPr="009C2835">
        <w:rPr>
          <w:noProof/>
        </w:rPr>
        <w:t xml:space="preserve">, 4206 (2022). </w:t>
      </w:r>
      <w:hyperlink r:id="rId41" w:history="1">
        <w:r w:rsidRPr="009C2835">
          <w:rPr>
            <w:rStyle w:val="af"/>
            <w:noProof/>
          </w:rPr>
          <w:t>https://doi.org/10.1038/s41467-022-31380-7</w:t>
        </w:r>
      </w:hyperlink>
    </w:p>
    <w:p w14:paraId="1CFC3E61" w14:textId="77777777" w:rsidR="009C2835" w:rsidRPr="009C2835" w:rsidRDefault="009C2835" w:rsidP="003B3CC2">
      <w:pPr>
        <w:pStyle w:val="EndNoteBibliography"/>
        <w:ind w:leftChars="200" w:left="420" w:firstLineChars="0" w:firstLine="0"/>
        <w:rPr>
          <w:noProof/>
        </w:rPr>
      </w:pPr>
      <w:r w:rsidRPr="009C2835">
        <w:rPr>
          <w:noProof/>
        </w:rPr>
        <w:t>55</w:t>
      </w:r>
      <w:r w:rsidRPr="009C2835">
        <w:rPr>
          <w:noProof/>
        </w:rPr>
        <w:tab/>
        <w:t>DAWE. Farm Forestry: Growing together. Report No. 978-1-76003-540-2, (Department of Agriculture, Water and the Environment, Canberra, Australia, 2022).</w:t>
      </w:r>
    </w:p>
    <w:p w14:paraId="629E1D53" w14:textId="4AC9FCCB" w:rsidR="009C2835" w:rsidRPr="009C2835" w:rsidRDefault="009C2835" w:rsidP="003B3CC2">
      <w:pPr>
        <w:pStyle w:val="EndNoteBibliography"/>
        <w:ind w:leftChars="200" w:left="420" w:firstLineChars="0" w:firstLine="0"/>
        <w:rPr>
          <w:noProof/>
        </w:rPr>
      </w:pPr>
      <w:r w:rsidRPr="009C2835">
        <w:rPr>
          <w:noProof/>
        </w:rPr>
        <w:t>56</w:t>
      </w:r>
      <w:r w:rsidRPr="009C2835">
        <w:rPr>
          <w:noProof/>
        </w:rPr>
        <w:tab/>
        <w:t>Forrester, D. I.</w:t>
      </w:r>
      <w:r w:rsidRPr="009C2835">
        <w:rPr>
          <w:i/>
          <w:noProof/>
        </w:rPr>
        <w:t xml:space="preserve"> et al.</w:t>
      </w:r>
      <w:r w:rsidRPr="009C2835">
        <w:rPr>
          <w:noProof/>
        </w:rPr>
        <w:t xml:space="preserve"> Does grazing exclusion in Australia’s rangelands affect biomass and debris carbon stocks? </w:t>
      </w:r>
      <w:r w:rsidRPr="009C2835">
        <w:rPr>
          <w:i/>
          <w:noProof/>
        </w:rPr>
        <w:t>The Rangeland Journal</w:t>
      </w:r>
      <w:r w:rsidRPr="009C2835">
        <w:rPr>
          <w:noProof/>
        </w:rPr>
        <w:t xml:space="preserve"> </w:t>
      </w:r>
      <w:r w:rsidRPr="009C2835">
        <w:rPr>
          <w:b/>
          <w:noProof/>
        </w:rPr>
        <w:t>47</w:t>
      </w:r>
      <w:r w:rsidRPr="009C2835">
        <w:rPr>
          <w:noProof/>
        </w:rPr>
        <w:t xml:space="preserve"> (2025). </w:t>
      </w:r>
      <w:hyperlink r:id="rId42" w:history="1">
        <w:r w:rsidRPr="009C2835">
          <w:rPr>
            <w:rStyle w:val="af"/>
            <w:noProof/>
          </w:rPr>
          <w:t>https://doi.org/10.1071/rj24028</w:t>
        </w:r>
      </w:hyperlink>
    </w:p>
    <w:p w14:paraId="4D528217" w14:textId="5AEBD184" w:rsidR="009C2835" w:rsidRPr="009C2835" w:rsidRDefault="009C2835" w:rsidP="003B3CC2">
      <w:pPr>
        <w:pStyle w:val="EndNoteBibliography"/>
        <w:ind w:leftChars="200" w:left="420" w:firstLineChars="0" w:firstLine="0"/>
        <w:rPr>
          <w:noProof/>
        </w:rPr>
      </w:pPr>
      <w:r w:rsidRPr="009C2835">
        <w:rPr>
          <w:noProof/>
        </w:rPr>
        <w:t>57</w:t>
      </w:r>
      <w:r w:rsidRPr="009C2835">
        <w:rPr>
          <w:noProof/>
        </w:rPr>
        <w:tab/>
        <w:t xml:space="preserve">Hoque, A. &amp; Padhiary, M. Automation and AI in Precision Agriculture: Innovations for Enhanced Crop Management and Sustainability. </w:t>
      </w:r>
      <w:r w:rsidRPr="009C2835">
        <w:rPr>
          <w:i/>
          <w:noProof/>
        </w:rPr>
        <w:t>Asian Journal of Research in Computer Science</w:t>
      </w:r>
      <w:r w:rsidRPr="009C2835">
        <w:rPr>
          <w:noProof/>
        </w:rPr>
        <w:t xml:space="preserve"> </w:t>
      </w:r>
      <w:r w:rsidRPr="009C2835">
        <w:rPr>
          <w:b/>
          <w:noProof/>
        </w:rPr>
        <w:t>17</w:t>
      </w:r>
      <w:r w:rsidRPr="009C2835">
        <w:rPr>
          <w:noProof/>
        </w:rPr>
        <w:t xml:space="preserve">, 95–109 (2024). </w:t>
      </w:r>
      <w:hyperlink r:id="rId43" w:history="1">
        <w:r w:rsidRPr="009C2835">
          <w:rPr>
            <w:rStyle w:val="af"/>
            <w:noProof/>
          </w:rPr>
          <w:t>https://doi.org/10.9734/ajrcos/2024/v17i10512</w:t>
        </w:r>
      </w:hyperlink>
    </w:p>
    <w:p w14:paraId="4021444A" w14:textId="1D2FE02B" w:rsidR="009C2835" w:rsidRPr="009C2835" w:rsidRDefault="009C2835" w:rsidP="003B3CC2">
      <w:pPr>
        <w:pStyle w:val="EndNoteBibliography"/>
        <w:ind w:leftChars="200" w:left="420" w:firstLineChars="0" w:firstLine="0"/>
        <w:rPr>
          <w:noProof/>
        </w:rPr>
      </w:pPr>
      <w:r w:rsidRPr="009C2835">
        <w:rPr>
          <w:noProof/>
        </w:rPr>
        <w:t>58</w:t>
      </w:r>
      <w:r w:rsidRPr="009C2835">
        <w:rPr>
          <w:noProof/>
        </w:rPr>
        <w:tab/>
        <w:t xml:space="preserve">Mockshell, J. &amp; Kamanda, J. Beyond the agroecological and sustainable agricultural intensification debate: Is blended sustainability the way forward? </w:t>
      </w:r>
      <w:r w:rsidRPr="009C2835">
        <w:rPr>
          <w:i/>
          <w:noProof/>
        </w:rPr>
        <w:t>International Journal of Agricultural Sustainability</w:t>
      </w:r>
      <w:r w:rsidRPr="009C2835">
        <w:rPr>
          <w:noProof/>
        </w:rPr>
        <w:t xml:space="preserve"> </w:t>
      </w:r>
      <w:r w:rsidRPr="009C2835">
        <w:rPr>
          <w:b/>
          <w:noProof/>
        </w:rPr>
        <w:t>16</w:t>
      </w:r>
      <w:r w:rsidRPr="009C2835">
        <w:rPr>
          <w:noProof/>
        </w:rPr>
        <w:t xml:space="preserve">, 127–149 (2018). </w:t>
      </w:r>
      <w:hyperlink r:id="rId44" w:history="1">
        <w:r w:rsidRPr="009C2835">
          <w:rPr>
            <w:rStyle w:val="af"/>
            <w:noProof/>
          </w:rPr>
          <w:t>https://doi.org/10.1080/14735903.2018.1448047</w:t>
        </w:r>
      </w:hyperlink>
    </w:p>
    <w:p w14:paraId="1270280F" w14:textId="69A08D07" w:rsidR="009C2835" w:rsidRPr="009C2835" w:rsidRDefault="009C2835" w:rsidP="003B3CC2">
      <w:pPr>
        <w:pStyle w:val="EndNoteBibliography"/>
        <w:ind w:leftChars="200" w:left="420" w:firstLineChars="0" w:firstLine="0"/>
        <w:rPr>
          <w:noProof/>
        </w:rPr>
      </w:pPr>
      <w:r w:rsidRPr="009C2835">
        <w:rPr>
          <w:noProof/>
        </w:rPr>
        <w:t>59</w:t>
      </w:r>
      <w:r w:rsidRPr="009C2835">
        <w:rPr>
          <w:noProof/>
        </w:rPr>
        <w:tab/>
        <w:t xml:space="preserve">Northrup, D. L., Basso, B., Wang, M. Q., Morgan, C. L. S. &amp; Benfey, P. N. Novel technologies for emission reduction complement conservation agriculture to achieve negative emissions from row-crop production. </w:t>
      </w:r>
      <w:r w:rsidRPr="009C2835">
        <w:rPr>
          <w:i/>
          <w:noProof/>
        </w:rPr>
        <w:t>Proc. Natl. Acad. Sci.</w:t>
      </w:r>
      <w:r w:rsidRPr="009C2835">
        <w:rPr>
          <w:noProof/>
        </w:rPr>
        <w:t xml:space="preserve"> </w:t>
      </w:r>
      <w:r w:rsidRPr="009C2835">
        <w:rPr>
          <w:b/>
          <w:noProof/>
        </w:rPr>
        <w:t>118</w:t>
      </w:r>
      <w:r w:rsidRPr="009C2835">
        <w:rPr>
          <w:noProof/>
        </w:rPr>
        <w:t xml:space="preserve">, e2022666118 (2021). </w:t>
      </w:r>
      <w:hyperlink r:id="rId45" w:history="1">
        <w:r w:rsidRPr="009C2835">
          <w:rPr>
            <w:rStyle w:val="af"/>
            <w:noProof/>
          </w:rPr>
          <w:t>https://doi.org/10.1073/pnas.2022666118</w:t>
        </w:r>
      </w:hyperlink>
    </w:p>
    <w:p w14:paraId="49D6689A" w14:textId="77777777" w:rsidR="009C2835" w:rsidRPr="009C2835" w:rsidRDefault="009C2835" w:rsidP="003B3CC2">
      <w:pPr>
        <w:pStyle w:val="EndNoteBibliography"/>
        <w:ind w:leftChars="200" w:left="420" w:firstLineChars="0" w:firstLine="0"/>
        <w:rPr>
          <w:noProof/>
        </w:rPr>
      </w:pPr>
      <w:r w:rsidRPr="009C2835">
        <w:rPr>
          <w:noProof/>
        </w:rPr>
        <w:t>60</w:t>
      </w:r>
      <w:r w:rsidRPr="009C2835">
        <w:rPr>
          <w:noProof/>
        </w:rPr>
        <w:tab/>
        <w:t>Lambert, H. Scaling productive and regenerative agriculture. (ClimateWorks Australia, Melbourne, Victoria, Australia, 2020).</w:t>
      </w:r>
    </w:p>
    <w:p w14:paraId="124C2F02" w14:textId="04F7EE48" w:rsidR="009C2835" w:rsidRPr="009C2835" w:rsidRDefault="009C2835" w:rsidP="003B3CC2">
      <w:pPr>
        <w:pStyle w:val="EndNoteBibliography"/>
        <w:ind w:leftChars="200" w:left="420" w:firstLineChars="0" w:firstLine="0"/>
        <w:rPr>
          <w:noProof/>
        </w:rPr>
      </w:pPr>
      <w:r w:rsidRPr="009C2835">
        <w:rPr>
          <w:noProof/>
        </w:rPr>
        <w:lastRenderedPageBreak/>
        <w:t>61</w:t>
      </w:r>
      <w:r w:rsidRPr="009C2835">
        <w:rPr>
          <w:noProof/>
        </w:rPr>
        <w:tab/>
        <w:t>Roque, B. M.</w:t>
      </w:r>
      <w:r w:rsidRPr="009C2835">
        <w:rPr>
          <w:i/>
          <w:noProof/>
        </w:rPr>
        <w:t xml:space="preserve"> et al.</w:t>
      </w:r>
      <w:r w:rsidRPr="009C2835">
        <w:rPr>
          <w:noProof/>
        </w:rPr>
        <w:t xml:space="preserve"> Red seaweed (Asparagopsis taxiformis) supplementation reduces enteric methane by over 80 percent in beef steers. </w:t>
      </w:r>
      <w:r w:rsidRPr="009C2835">
        <w:rPr>
          <w:i/>
          <w:noProof/>
        </w:rPr>
        <w:t>PLoS One</w:t>
      </w:r>
      <w:r w:rsidRPr="009C2835">
        <w:rPr>
          <w:noProof/>
        </w:rPr>
        <w:t xml:space="preserve"> </w:t>
      </w:r>
      <w:r w:rsidRPr="009C2835">
        <w:rPr>
          <w:b/>
          <w:noProof/>
        </w:rPr>
        <w:t>16</w:t>
      </w:r>
      <w:r w:rsidRPr="009C2835">
        <w:rPr>
          <w:noProof/>
        </w:rPr>
        <w:t xml:space="preserve">, e0247820 (2021). </w:t>
      </w:r>
      <w:hyperlink r:id="rId46" w:history="1">
        <w:r w:rsidRPr="009C2835">
          <w:rPr>
            <w:rStyle w:val="af"/>
            <w:noProof/>
          </w:rPr>
          <w:t>https://doi.org/10.1371/journal.pone.0247820</w:t>
        </w:r>
      </w:hyperlink>
    </w:p>
    <w:p w14:paraId="2F127339" w14:textId="67A0D85E" w:rsidR="009C2835" w:rsidRPr="009C2835" w:rsidRDefault="009C2835" w:rsidP="003B3CC2">
      <w:pPr>
        <w:pStyle w:val="EndNoteBibliography"/>
        <w:ind w:leftChars="200" w:left="420" w:firstLineChars="0" w:firstLine="0"/>
        <w:rPr>
          <w:noProof/>
        </w:rPr>
      </w:pPr>
      <w:r w:rsidRPr="009C2835">
        <w:rPr>
          <w:noProof/>
        </w:rPr>
        <w:t>62</w:t>
      </w:r>
      <w:r w:rsidRPr="009C2835">
        <w:rPr>
          <w:noProof/>
        </w:rPr>
        <w:tab/>
        <w:t xml:space="preserve">Whittington, T. </w:t>
      </w:r>
      <w:r w:rsidRPr="009C2835">
        <w:rPr>
          <w:i/>
          <w:noProof/>
        </w:rPr>
        <w:t>A reality check on seaweed as a feedstock for cows</w:t>
      </w:r>
      <w:r w:rsidRPr="009C2835">
        <w:rPr>
          <w:noProof/>
        </w:rPr>
        <w:t>, &lt;</w:t>
      </w:r>
      <w:hyperlink r:id="rId47" w:history="1">
        <w:r w:rsidRPr="009C2835">
          <w:rPr>
            <w:rStyle w:val="af"/>
            <w:noProof/>
          </w:rPr>
          <w:t>https://www.countryman.com.au/countryman/opinion/a-reality-check-on-seaweed-as-a-feedstock-for-cows-c-5238740</w:t>
        </w:r>
      </w:hyperlink>
      <w:r w:rsidRPr="009C2835">
        <w:rPr>
          <w:noProof/>
        </w:rPr>
        <w:t>&gt; (2022).</w:t>
      </w:r>
    </w:p>
    <w:p w14:paraId="18755D53" w14:textId="77777777" w:rsidR="009C2835" w:rsidRPr="009C2835" w:rsidRDefault="009C2835" w:rsidP="003B3CC2">
      <w:pPr>
        <w:pStyle w:val="EndNoteBibliography"/>
        <w:ind w:leftChars="200" w:left="420" w:firstLineChars="0" w:firstLine="0"/>
        <w:rPr>
          <w:noProof/>
        </w:rPr>
      </w:pPr>
      <w:r w:rsidRPr="009C2835">
        <w:rPr>
          <w:noProof/>
        </w:rPr>
        <w:t>63</w:t>
      </w:r>
      <w:r w:rsidRPr="009C2835">
        <w:rPr>
          <w:noProof/>
        </w:rPr>
        <w:tab/>
        <w:t>Cowley, F., Simanunkalit, G., Kelly, M. &amp; Gray, E. Effect of Asparagopsis extract in a canola oil carrier for long-fed Wagyu cattle. (Meat &amp; Livestock Australia Limited, North Sydney, NSW, 2023).</w:t>
      </w:r>
    </w:p>
    <w:p w14:paraId="6D139977" w14:textId="5810007B" w:rsidR="009C2835" w:rsidRPr="009C2835" w:rsidRDefault="009C2835" w:rsidP="003B3CC2">
      <w:pPr>
        <w:pStyle w:val="EndNoteBibliography"/>
        <w:ind w:leftChars="200" w:left="420" w:firstLineChars="0" w:firstLine="0"/>
        <w:rPr>
          <w:noProof/>
        </w:rPr>
      </w:pPr>
      <w:r w:rsidRPr="009C2835">
        <w:rPr>
          <w:noProof/>
        </w:rPr>
        <w:t>64</w:t>
      </w:r>
      <w:r w:rsidRPr="009C2835">
        <w:rPr>
          <w:noProof/>
        </w:rPr>
        <w:tab/>
        <w:t xml:space="preserve">Antonangelo, J. A., Sun, X. &amp; Eufrade-Junior, H. d. J. Biochar impact on soil health and tree-based crops: a review. </w:t>
      </w:r>
      <w:r w:rsidRPr="009C2835">
        <w:rPr>
          <w:i/>
          <w:noProof/>
        </w:rPr>
        <w:t>Biochar</w:t>
      </w:r>
      <w:r w:rsidRPr="009C2835">
        <w:rPr>
          <w:noProof/>
        </w:rPr>
        <w:t xml:space="preserve"> </w:t>
      </w:r>
      <w:r w:rsidRPr="009C2835">
        <w:rPr>
          <w:b/>
          <w:noProof/>
        </w:rPr>
        <w:t>7</w:t>
      </w:r>
      <w:r w:rsidRPr="009C2835">
        <w:rPr>
          <w:noProof/>
        </w:rPr>
        <w:t xml:space="preserve"> (2025). </w:t>
      </w:r>
      <w:hyperlink r:id="rId48" w:history="1">
        <w:r w:rsidRPr="009C2835">
          <w:rPr>
            <w:rStyle w:val="af"/>
            <w:noProof/>
          </w:rPr>
          <w:t>https://doi.org/10.1007/s42773-025-00450-6</w:t>
        </w:r>
      </w:hyperlink>
    </w:p>
    <w:p w14:paraId="36775CE3" w14:textId="3AD2C18E" w:rsidR="009C2835" w:rsidRPr="009C2835" w:rsidRDefault="009C2835" w:rsidP="003B3CC2">
      <w:pPr>
        <w:pStyle w:val="EndNoteBibliography"/>
        <w:ind w:leftChars="200" w:left="420" w:firstLineChars="0" w:firstLine="0"/>
        <w:rPr>
          <w:noProof/>
        </w:rPr>
      </w:pPr>
      <w:r w:rsidRPr="009C2835">
        <w:rPr>
          <w:noProof/>
        </w:rPr>
        <w:t>65</w:t>
      </w:r>
      <w:r w:rsidRPr="009C2835">
        <w:rPr>
          <w:noProof/>
        </w:rPr>
        <w:tab/>
        <w:t>Ye, L.</w:t>
      </w:r>
      <w:r w:rsidRPr="009C2835">
        <w:rPr>
          <w:i/>
          <w:noProof/>
        </w:rPr>
        <w:t xml:space="preserve"> et al.</w:t>
      </w:r>
      <w:r w:rsidRPr="009C2835">
        <w:rPr>
          <w:noProof/>
        </w:rPr>
        <w:t xml:space="preserve"> Biochar effects on crop yields with and without fertilizer: A meta‐analysis of field studies using separate controls. </w:t>
      </w:r>
      <w:r w:rsidRPr="009C2835">
        <w:rPr>
          <w:i/>
          <w:noProof/>
        </w:rPr>
        <w:t>Soil Use and Management</w:t>
      </w:r>
      <w:r w:rsidRPr="009C2835">
        <w:rPr>
          <w:noProof/>
        </w:rPr>
        <w:t xml:space="preserve"> </w:t>
      </w:r>
      <w:r w:rsidRPr="009C2835">
        <w:rPr>
          <w:b/>
          <w:noProof/>
        </w:rPr>
        <w:t>36</w:t>
      </w:r>
      <w:r w:rsidRPr="009C2835">
        <w:rPr>
          <w:noProof/>
        </w:rPr>
        <w:t xml:space="preserve">, 2–18 (2019). </w:t>
      </w:r>
      <w:hyperlink r:id="rId49" w:history="1">
        <w:r w:rsidRPr="009C2835">
          <w:rPr>
            <w:rStyle w:val="af"/>
            <w:noProof/>
          </w:rPr>
          <w:t>https://doi.org/10.1111/sum.12546</w:t>
        </w:r>
      </w:hyperlink>
    </w:p>
    <w:p w14:paraId="7C160382" w14:textId="77777777" w:rsidR="009C2835" w:rsidRPr="009C2835" w:rsidRDefault="009C2835" w:rsidP="003B3CC2">
      <w:pPr>
        <w:pStyle w:val="EndNoteBibliography"/>
        <w:ind w:leftChars="200" w:left="420" w:firstLineChars="0" w:firstLine="0"/>
        <w:rPr>
          <w:noProof/>
        </w:rPr>
      </w:pPr>
      <w:r w:rsidRPr="009C2835">
        <w:rPr>
          <w:noProof/>
        </w:rPr>
        <w:t>66</w:t>
      </w:r>
      <w:r w:rsidRPr="009C2835">
        <w:rPr>
          <w:noProof/>
        </w:rPr>
        <w:tab/>
        <w:t>Macintosh, A.</w:t>
      </w:r>
      <w:r w:rsidRPr="009C2835">
        <w:rPr>
          <w:i/>
          <w:noProof/>
        </w:rPr>
        <w:t xml:space="preserve"> et al.</w:t>
      </w:r>
      <w:r w:rsidRPr="009C2835">
        <w:rPr>
          <w:noProof/>
        </w:rPr>
        <w:t xml:space="preserve"> Non-compliance and under-performance in Australian human-induced regeneration projects. </w:t>
      </w:r>
      <w:r w:rsidRPr="009C2835">
        <w:rPr>
          <w:i/>
          <w:noProof/>
        </w:rPr>
        <w:t>The Rangeland Journal</w:t>
      </w:r>
      <w:r w:rsidRPr="009C2835">
        <w:rPr>
          <w:noProof/>
        </w:rPr>
        <w:t xml:space="preserve"> </w:t>
      </w:r>
      <w:r w:rsidRPr="009C2835">
        <w:rPr>
          <w:b/>
          <w:noProof/>
        </w:rPr>
        <w:t>46</w:t>
      </w:r>
      <w:r w:rsidRPr="009C2835">
        <w:rPr>
          <w:noProof/>
        </w:rPr>
        <w:t xml:space="preserve"> (2024). </w:t>
      </w:r>
    </w:p>
    <w:p w14:paraId="2EFC8221" w14:textId="77777777" w:rsidR="009C2835" w:rsidRPr="009C2835" w:rsidRDefault="009C2835" w:rsidP="003B3CC2">
      <w:pPr>
        <w:pStyle w:val="EndNoteBibliography"/>
        <w:ind w:leftChars="200" w:left="420" w:firstLineChars="0" w:firstLine="0"/>
        <w:rPr>
          <w:noProof/>
        </w:rPr>
      </w:pPr>
      <w:r w:rsidRPr="009C2835">
        <w:rPr>
          <w:noProof/>
        </w:rPr>
        <w:t>67</w:t>
      </w:r>
      <w:r w:rsidRPr="009C2835">
        <w:rPr>
          <w:noProof/>
        </w:rPr>
        <w:tab/>
        <w:t>CER. Human-induced regeneration method – Managing project risk to deliver carbon abatement for Australia. (Clean Energy Regulator (CER), Canberra, 2024).</w:t>
      </w:r>
    </w:p>
    <w:p w14:paraId="5455E590" w14:textId="77777777" w:rsidR="009C2835" w:rsidRPr="009C2835" w:rsidRDefault="009C2835" w:rsidP="003B3CC2">
      <w:pPr>
        <w:pStyle w:val="EndNoteBibliography"/>
        <w:ind w:leftChars="200" w:left="420" w:firstLineChars="0" w:firstLine="0"/>
        <w:rPr>
          <w:noProof/>
        </w:rPr>
      </w:pPr>
      <w:r w:rsidRPr="009C2835">
        <w:rPr>
          <w:noProof/>
        </w:rPr>
        <w:t>68</w:t>
      </w:r>
      <w:r w:rsidRPr="009C2835">
        <w:rPr>
          <w:noProof/>
        </w:rPr>
        <w:tab/>
        <w:t>Ash, A., Corfield, J. &amp; Ksiksi, T. The Ecograze Project: developing guidelines to better manage grazing country. Report No. 0-9579842-0-0, (CSIRO Sustainable Ecosystems, Townsville, QLD, 2001).</w:t>
      </w:r>
    </w:p>
    <w:p w14:paraId="2D7696CA" w14:textId="2B9846DF" w:rsidR="009C2835" w:rsidRPr="009C2835" w:rsidRDefault="009C2835" w:rsidP="003B3CC2">
      <w:pPr>
        <w:pStyle w:val="EndNoteBibliography"/>
        <w:ind w:leftChars="200" w:left="420" w:firstLineChars="0" w:firstLine="0"/>
        <w:rPr>
          <w:noProof/>
        </w:rPr>
      </w:pPr>
      <w:r w:rsidRPr="009C2835">
        <w:rPr>
          <w:noProof/>
        </w:rPr>
        <w:t>69</w:t>
      </w:r>
      <w:r w:rsidRPr="009C2835">
        <w:rPr>
          <w:noProof/>
        </w:rPr>
        <w:tab/>
        <w:t>Mosier, S.</w:t>
      </w:r>
      <w:r w:rsidRPr="009C2835">
        <w:rPr>
          <w:i/>
          <w:noProof/>
        </w:rPr>
        <w:t xml:space="preserve"> et al.</w:t>
      </w:r>
      <w:r w:rsidRPr="009C2835">
        <w:rPr>
          <w:noProof/>
        </w:rPr>
        <w:t xml:space="preserve"> Adaptive multi-paddock grazing enhances soil carbon and nitrogen stocks and stabilization through mineral association in southeastern U.S. grazing lands. </w:t>
      </w:r>
      <w:r w:rsidRPr="009C2835">
        <w:rPr>
          <w:i/>
          <w:noProof/>
        </w:rPr>
        <w:t>J Environ Manage</w:t>
      </w:r>
      <w:r w:rsidRPr="009C2835">
        <w:rPr>
          <w:noProof/>
        </w:rPr>
        <w:t xml:space="preserve"> </w:t>
      </w:r>
      <w:r w:rsidRPr="009C2835">
        <w:rPr>
          <w:b/>
          <w:noProof/>
        </w:rPr>
        <w:t>288</w:t>
      </w:r>
      <w:r w:rsidRPr="009C2835">
        <w:rPr>
          <w:noProof/>
        </w:rPr>
        <w:t xml:space="preserve">, 112409 (2021). </w:t>
      </w:r>
      <w:hyperlink r:id="rId50" w:history="1">
        <w:r w:rsidRPr="009C2835">
          <w:rPr>
            <w:rStyle w:val="af"/>
            <w:noProof/>
          </w:rPr>
          <w:t>https://doi.org/10.1016/j.jenvman.2021.112409</w:t>
        </w:r>
      </w:hyperlink>
    </w:p>
    <w:p w14:paraId="092CCCF9" w14:textId="4EBF7F50" w:rsidR="009C2835" w:rsidRPr="009C2835" w:rsidRDefault="009C2835" w:rsidP="003B3CC2">
      <w:pPr>
        <w:pStyle w:val="EndNoteBibliography"/>
        <w:ind w:leftChars="200" w:left="420" w:firstLineChars="0" w:firstLine="0"/>
        <w:rPr>
          <w:noProof/>
        </w:rPr>
      </w:pPr>
      <w:r w:rsidRPr="009C2835">
        <w:rPr>
          <w:noProof/>
        </w:rPr>
        <w:t>70</w:t>
      </w:r>
      <w:r w:rsidRPr="009C2835">
        <w:rPr>
          <w:noProof/>
        </w:rPr>
        <w:tab/>
        <w:t>Bryan, B. A.</w:t>
      </w:r>
      <w:r w:rsidRPr="009C2835">
        <w:rPr>
          <w:i/>
          <w:noProof/>
        </w:rPr>
        <w:t xml:space="preserve"> et al.</w:t>
      </w:r>
      <w:r w:rsidRPr="009C2835">
        <w:rPr>
          <w:noProof/>
        </w:rPr>
        <w:t xml:space="preserve"> Land use efficiency: anticipating future demand for land‐sector greenhouse gas emissions abatement and managing trade‐offs with agriculture, water, and biodiversity. </w:t>
      </w:r>
      <w:r w:rsidRPr="009C2835">
        <w:rPr>
          <w:i/>
          <w:noProof/>
        </w:rPr>
        <w:t>Glob. Change Biol.</w:t>
      </w:r>
      <w:r w:rsidRPr="009C2835">
        <w:rPr>
          <w:noProof/>
        </w:rPr>
        <w:t xml:space="preserve"> </w:t>
      </w:r>
      <w:r w:rsidRPr="009C2835">
        <w:rPr>
          <w:b/>
          <w:noProof/>
        </w:rPr>
        <w:t>21</w:t>
      </w:r>
      <w:r w:rsidRPr="009C2835">
        <w:rPr>
          <w:noProof/>
        </w:rPr>
        <w:t xml:space="preserve">, 4098–4114 (2015). </w:t>
      </w:r>
      <w:hyperlink r:id="rId51" w:history="1">
        <w:r w:rsidRPr="009C2835">
          <w:rPr>
            <w:rStyle w:val="af"/>
            <w:noProof/>
          </w:rPr>
          <w:t>https://doi.org/10.1111/gcb.13020</w:t>
        </w:r>
      </w:hyperlink>
    </w:p>
    <w:p w14:paraId="74944108" w14:textId="77777777" w:rsidR="009C2835" w:rsidRPr="009C2835" w:rsidRDefault="009C2835" w:rsidP="003B3CC2">
      <w:pPr>
        <w:pStyle w:val="EndNoteBibliography"/>
        <w:ind w:leftChars="200" w:left="420" w:firstLineChars="0" w:firstLine="0"/>
        <w:rPr>
          <w:noProof/>
        </w:rPr>
      </w:pPr>
      <w:r w:rsidRPr="009C2835">
        <w:rPr>
          <w:noProof/>
        </w:rPr>
        <w:t>71</w:t>
      </w:r>
      <w:r w:rsidRPr="009C2835">
        <w:rPr>
          <w:noProof/>
        </w:rPr>
        <w:tab/>
        <w:t>Batterham, R.</w:t>
      </w:r>
      <w:r w:rsidRPr="009C2835">
        <w:rPr>
          <w:i/>
          <w:noProof/>
        </w:rPr>
        <w:t xml:space="preserve"> et al.</w:t>
      </w:r>
      <w:r w:rsidRPr="009C2835">
        <w:rPr>
          <w:noProof/>
        </w:rPr>
        <w:t xml:space="preserve"> The Net Zero Australia Project: Methods, Assumptions, Scenarios &amp; Sensitivities. (Melbourne Energy Institute, The University of Melbourne, Melbourne, 2022).</w:t>
      </w:r>
    </w:p>
    <w:p w14:paraId="2808DA60" w14:textId="474AFC3A" w:rsidR="009C2835" w:rsidRPr="009C2835" w:rsidRDefault="009C2835" w:rsidP="003B3CC2">
      <w:pPr>
        <w:pStyle w:val="EndNoteBibliography"/>
        <w:ind w:leftChars="200" w:left="420" w:firstLineChars="0" w:firstLine="0"/>
        <w:rPr>
          <w:noProof/>
        </w:rPr>
      </w:pPr>
      <w:r w:rsidRPr="009C2835">
        <w:rPr>
          <w:noProof/>
        </w:rPr>
        <w:t>72</w:t>
      </w:r>
      <w:r w:rsidRPr="009C2835">
        <w:rPr>
          <w:noProof/>
        </w:rPr>
        <w:tab/>
        <w:t xml:space="preserve">Wiedemann, S., Longworth, E., O’Shannessy, R. &amp; Thomas, D. Net greenhouse-gas emissions and reduction opportunities in the Western Australian beef industry. </w:t>
      </w:r>
      <w:r w:rsidRPr="009C2835">
        <w:rPr>
          <w:i/>
          <w:noProof/>
        </w:rPr>
        <w:t>Animal Production Science</w:t>
      </w:r>
      <w:r w:rsidRPr="009C2835">
        <w:rPr>
          <w:noProof/>
        </w:rPr>
        <w:t xml:space="preserve"> </w:t>
      </w:r>
      <w:r w:rsidRPr="009C2835">
        <w:rPr>
          <w:b/>
          <w:noProof/>
        </w:rPr>
        <w:t>64</w:t>
      </w:r>
      <w:r w:rsidRPr="009C2835">
        <w:rPr>
          <w:noProof/>
        </w:rPr>
        <w:t xml:space="preserve"> (2023). </w:t>
      </w:r>
      <w:hyperlink r:id="rId52" w:history="1">
        <w:r w:rsidRPr="009C2835">
          <w:rPr>
            <w:rStyle w:val="af"/>
            <w:noProof/>
          </w:rPr>
          <w:t>https://doi.org/10.1071/an23111</w:t>
        </w:r>
      </w:hyperlink>
    </w:p>
    <w:p w14:paraId="1820219B" w14:textId="77777777" w:rsidR="009C2835" w:rsidRPr="009C2835" w:rsidRDefault="009C2835" w:rsidP="003B3CC2">
      <w:pPr>
        <w:pStyle w:val="EndNoteBibliography"/>
        <w:ind w:leftChars="200" w:left="420" w:firstLineChars="0" w:firstLine="0"/>
        <w:rPr>
          <w:noProof/>
        </w:rPr>
      </w:pPr>
      <w:r w:rsidRPr="009C2835">
        <w:rPr>
          <w:noProof/>
        </w:rPr>
        <w:t>73</w:t>
      </w:r>
      <w:r w:rsidRPr="009C2835">
        <w:rPr>
          <w:noProof/>
        </w:rPr>
        <w:tab/>
        <w:t>RR&amp;DC2018. Impact assessment &amp; performance. (Rural Industries Research and Development Corporation, Australia, 2020).</w:t>
      </w:r>
    </w:p>
    <w:p w14:paraId="1BAA5301" w14:textId="77777777" w:rsidR="009C2835" w:rsidRPr="009C2835" w:rsidRDefault="009C2835" w:rsidP="003B3CC2">
      <w:pPr>
        <w:pStyle w:val="EndNoteBibliography"/>
        <w:ind w:leftChars="200" w:left="420" w:firstLineChars="0" w:firstLine="0"/>
        <w:rPr>
          <w:noProof/>
        </w:rPr>
      </w:pPr>
      <w:r w:rsidRPr="009C2835">
        <w:rPr>
          <w:noProof/>
        </w:rPr>
        <w:t>74</w:t>
      </w:r>
      <w:r w:rsidRPr="009C2835">
        <w:rPr>
          <w:noProof/>
        </w:rPr>
        <w:tab/>
        <w:t>Fitch, P.</w:t>
      </w:r>
      <w:r w:rsidRPr="009C2835">
        <w:rPr>
          <w:i/>
          <w:noProof/>
        </w:rPr>
        <w:t xml:space="preserve"> et al.</w:t>
      </w:r>
      <w:r w:rsidRPr="009C2835">
        <w:rPr>
          <w:noProof/>
        </w:rPr>
        <w:t xml:space="preserve"> Australia’s sequestration potential. (CSIRO, Commonwealth Scientific and Industrial Research Organisation, 2022).</w:t>
      </w:r>
    </w:p>
    <w:p w14:paraId="3E04CA49" w14:textId="50E27BB9" w:rsidR="009C2835" w:rsidRPr="009C2835" w:rsidRDefault="009C2835" w:rsidP="003B3CC2">
      <w:pPr>
        <w:pStyle w:val="EndNoteBibliography"/>
        <w:ind w:leftChars="200" w:left="420" w:firstLineChars="0" w:firstLine="0"/>
        <w:rPr>
          <w:noProof/>
        </w:rPr>
      </w:pPr>
      <w:r w:rsidRPr="009C2835">
        <w:rPr>
          <w:noProof/>
        </w:rPr>
        <w:t>75</w:t>
      </w:r>
      <w:r w:rsidRPr="009C2835">
        <w:rPr>
          <w:noProof/>
        </w:rPr>
        <w:tab/>
        <w:t>Jiang, F.</w:t>
      </w:r>
      <w:r w:rsidRPr="009C2835">
        <w:rPr>
          <w:i/>
          <w:noProof/>
        </w:rPr>
        <w:t xml:space="preserve"> et al.</w:t>
      </w:r>
      <w:r w:rsidRPr="009C2835">
        <w:rPr>
          <w:noProof/>
        </w:rPr>
        <w:t xml:space="preserve"> Compound effects of biochar application and irrigation on soil water and temperature transport. </w:t>
      </w:r>
      <w:r w:rsidRPr="009C2835">
        <w:rPr>
          <w:i/>
          <w:noProof/>
        </w:rPr>
        <w:t>Frontiers in Sustainable Food Systems</w:t>
      </w:r>
      <w:r w:rsidRPr="009C2835">
        <w:rPr>
          <w:noProof/>
        </w:rPr>
        <w:t xml:space="preserve"> </w:t>
      </w:r>
      <w:r w:rsidRPr="009C2835">
        <w:rPr>
          <w:b/>
          <w:noProof/>
        </w:rPr>
        <w:t>8</w:t>
      </w:r>
      <w:r w:rsidRPr="009C2835">
        <w:rPr>
          <w:noProof/>
        </w:rPr>
        <w:t xml:space="preserve"> (2024). </w:t>
      </w:r>
      <w:hyperlink r:id="rId53" w:history="1">
        <w:r w:rsidRPr="009C2835">
          <w:rPr>
            <w:rStyle w:val="af"/>
            <w:noProof/>
          </w:rPr>
          <w:t>https://doi.org/10.3389/fsufs.2024.1480991</w:t>
        </w:r>
      </w:hyperlink>
    </w:p>
    <w:p w14:paraId="6A5AC5B5" w14:textId="7BB945B6" w:rsidR="009C2835" w:rsidRPr="009C2835" w:rsidRDefault="009C2835" w:rsidP="003B3CC2">
      <w:pPr>
        <w:pStyle w:val="EndNoteBibliography"/>
        <w:ind w:leftChars="200" w:left="420" w:firstLineChars="0" w:firstLine="0"/>
        <w:rPr>
          <w:noProof/>
        </w:rPr>
      </w:pPr>
      <w:r w:rsidRPr="009C2835">
        <w:rPr>
          <w:noProof/>
        </w:rPr>
        <w:t>76</w:t>
      </w:r>
      <w:r w:rsidRPr="009C2835">
        <w:rPr>
          <w:noProof/>
        </w:rPr>
        <w:tab/>
        <w:t xml:space="preserve">Li, S. &amp; Tasnady, D. Biochar for Soil Carbon Sequestration: Current Knowledge, Mechanisms, and Future Perspectives. </w:t>
      </w:r>
      <w:r w:rsidRPr="009C2835">
        <w:rPr>
          <w:i/>
          <w:noProof/>
        </w:rPr>
        <w:t>C</w:t>
      </w:r>
      <w:r w:rsidRPr="009C2835">
        <w:rPr>
          <w:noProof/>
        </w:rPr>
        <w:t xml:space="preserve"> </w:t>
      </w:r>
      <w:r w:rsidRPr="009C2835">
        <w:rPr>
          <w:b/>
          <w:noProof/>
        </w:rPr>
        <w:t>9</w:t>
      </w:r>
      <w:r w:rsidRPr="009C2835">
        <w:rPr>
          <w:noProof/>
        </w:rPr>
        <w:t xml:space="preserve"> (2023). </w:t>
      </w:r>
      <w:hyperlink r:id="rId54" w:history="1">
        <w:r w:rsidRPr="009C2835">
          <w:rPr>
            <w:rStyle w:val="af"/>
            <w:noProof/>
          </w:rPr>
          <w:t>https://doi.org/10.3390/c9030067</w:t>
        </w:r>
      </w:hyperlink>
    </w:p>
    <w:p w14:paraId="3873791D" w14:textId="26B6CFBF" w:rsidR="009C2835" w:rsidRPr="009C2835" w:rsidRDefault="009C2835" w:rsidP="003B3CC2">
      <w:pPr>
        <w:pStyle w:val="EndNoteBibliography"/>
        <w:ind w:leftChars="200" w:left="420" w:firstLineChars="0" w:firstLine="0"/>
        <w:rPr>
          <w:noProof/>
        </w:rPr>
      </w:pPr>
      <w:r w:rsidRPr="009C2835">
        <w:rPr>
          <w:noProof/>
        </w:rPr>
        <w:t>77</w:t>
      </w:r>
      <w:r w:rsidRPr="009C2835">
        <w:rPr>
          <w:noProof/>
        </w:rPr>
        <w:tab/>
        <w:t>Wei, Z.</w:t>
      </w:r>
      <w:r w:rsidRPr="009C2835">
        <w:rPr>
          <w:i/>
          <w:noProof/>
        </w:rPr>
        <w:t xml:space="preserve"> et al.</w:t>
      </w:r>
      <w:r w:rsidRPr="009C2835">
        <w:rPr>
          <w:noProof/>
        </w:rPr>
        <w:t xml:space="preserve"> Biochar-based materials as remediation strategy in petroleum hydrocarbon-contaminated soil and water: Performances, mechanisms, and environmental impact. </w:t>
      </w:r>
      <w:r w:rsidRPr="009C2835">
        <w:rPr>
          <w:i/>
          <w:noProof/>
        </w:rPr>
        <w:t>Journal of Environmental Sciences</w:t>
      </w:r>
      <w:r w:rsidRPr="009C2835">
        <w:rPr>
          <w:noProof/>
        </w:rPr>
        <w:t xml:space="preserve"> </w:t>
      </w:r>
      <w:r w:rsidRPr="009C2835">
        <w:rPr>
          <w:b/>
          <w:noProof/>
        </w:rPr>
        <w:t>138</w:t>
      </w:r>
      <w:r w:rsidRPr="009C2835">
        <w:rPr>
          <w:noProof/>
        </w:rPr>
        <w:t xml:space="preserve">, 350–372 (2024). </w:t>
      </w:r>
      <w:hyperlink r:id="rId55" w:history="1">
        <w:r w:rsidRPr="009C2835">
          <w:rPr>
            <w:rStyle w:val="af"/>
            <w:noProof/>
          </w:rPr>
          <w:t>https://doi.org/https://doi.org/10.1016/j.jes.2023.04.008</w:t>
        </w:r>
      </w:hyperlink>
    </w:p>
    <w:p w14:paraId="15FFDB22" w14:textId="4FD309A6" w:rsidR="009C2835" w:rsidRPr="009C2835" w:rsidRDefault="009C2835" w:rsidP="003B3CC2">
      <w:pPr>
        <w:pStyle w:val="EndNoteBibliography"/>
        <w:ind w:leftChars="200" w:left="420" w:firstLineChars="0" w:firstLine="0"/>
        <w:rPr>
          <w:noProof/>
        </w:rPr>
      </w:pPr>
      <w:r w:rsidRPr="009C2835">
        <w:rPr>
          <w:noProof/>
        </w:rPr>
        <w:t>78</w:t>
      </w:r>
      <w:r w:rsidRPr="009C2835">
        <w:rPr>
          <w:noProof/>
        </w:rPr>
        <w:tab/>
        <w:t xml:space="preserve">Johnson, D. C., Teague, R., Apfelbaum, S., Thompson, R. &amp; Byck, P. Adaptive multi-paddock grazing management's influence on soil food web community structure for: increasing pasture forage production, soil organic carbon, and reducing soil respiration rates in southeastern USA ranches. </w:t>
      </w:r>
      <w:r w:rsidRPr="009C2835">
        <w:rPr>
          <w:i/>
          <w:noProof/>
        </w:rPr>
        <w:t>PeerJ</w:t>
      </w:r>
      <w:r w:rsidRPr="009C2835">
        <w:rPr>
          <w:noProof/>
        </w:rPr>
        <w:t xml:space="preserve"> </w:t>
      </w:r>
      <w:r w:rsidRPr="009C2835">
        <w:rPr>
          <w:b/>
          <w:noProof/>
        </w:rPr>
        <w:t>10</w:t>
      </w:r>
      <w:r w:rsidRPr="009C2835">
        <w:rPr>
          <w:noProof/>
        </w:rPr>
        <w:t xml:space="preserve">, e13750 (2022). </w:t>
      </w:r>
      <w:hyperlink r:id="rId56" w:history="1">
        <w:r w:rsidRPr="009C2835">
          <w:rPr>
            <w:rStyle w:val="af"/>
            <w:noProof/>
          </w:rPr>
          <w:t>https://doi.org/10.7717/peerj.13750</w:t>
        </w:r>
      </w:hyperlink>
    </w:p>
    <w:p w14:paraId="247F86E1" w14:textId="77777777" w:rsidR="009C2835" w:rsidRPr="009C2835" w:rsidRDefault="009C2835" w:rsidP="003B3CC2">
      <w:pPr>
        <w:pStyle w:val="EndNoteBibliography"/>
        <w:ind w:leftChars="200" w:left="420" w:firstLineChars="0" w:firstLine="0"/>
        <w:rPr>
          <w:noProof/>
        </w:rPr>
      </w:pPr>
      <w:r w:rsidRPr="009C2835">
        <w:rPr>
          <w:noProof/>
        </w:rPr>
        <w:t>79</w:t>
      </w:r>
      <w:r w:rsidRPr="009C2835">
        <w:rPr>
          <w:noProof/>
        </w:rPr>
        <w:tab/>
        <w:t>ABARES. Land use of Australia 2010–11. (Australian Government Department of Agriculture and Water Resources, 2016).</w:t>
      </w:r>
    </w:p>
    <w:p w14:paraId="7E1C3322" w14:textId="13865BE1" w:rsidR="00677230" w:rsidRDefault="00FD48CD" w:rsidP="003B3CC2">
      <w:pPr>
        <w:ind w:leftChars="200" w:left="420" w:firstLineChars="0" w:firstLine="0"/>
      </w:pPr>
      <w:r>
        <w:fldChar w:fldCharType="end"/>
      </w:r>
    </w:p>
    <w:sectPr w:rsidR="00677230">
      <w:headerReference w:type="even" r:id="rId57"/>
      <w:headerReference w:type="default" r:id="rId58"/>
      <w:footerReference w:type="even" r:id="rId59"/>
      <w:footerReference w:type="default" r:id="rId60"/>
      <w:headerReference w:type="first" r:id="rId61"/>
      <w:footerReference w:type="first" r:id="rId62"/>
      <w:pgSz w:w="11906" w:h="16838"/>
      <w:pgMar w:top="1440" w:right="1800" w:bottom="1440" w:left="1800" w:header="851" w:footer="992" w:gutter="0"/>
      <w:cols w:space="720"/>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155C6A" w14:textId="77777777" w:rsidR="0066677A" w:rsidRDefault="0066677A">
      <w:pPr>
        <w:ind w:firstLine="420"/>
      </w:pPr>
      <w:r>
        <w:separator/>
      </w:r>
    </w:p>
  </w:endnote>
  <w:endnote w:type="continuationSeparator" w:id="0">
    <w:p w14:paraId="650773D3" w14:textId="77777777" w:rsidR="0066677A" w:rsidRDefault="0066677A">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Body CS)">
    <w:altName w:val="Arial"/>
    <w:panose1 w:val="020B0604020202020204"/>
    <w:charset w:val="00"/>
    <w:family w:val="roman"/>
    <w:pitch w:val="default"/>
  </w:font>
  <w:font w:name="Liberation Sans">
    <w:altName w:val="Arial"/>
    <w:panose1 w:val="020B0604020202020204"/>
    <w:charset w:val="01"/>
    <w:family w:val="swiss"/>
    <w:pitch w:val="variable"/>
  </w:font>
  <w:font w:name="DejaVu Sans">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08583F" w14:textId="77777777" w:rsidR="002A1696" w:rsidRDefault="002A1696">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085840" w14:textId="77777777" w:rsidR="002A1696" w:rsidRDefault="002A1696">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085842" w14:textId="77777777" w:rsidR="002A1696" w:rsidRDefault="002A1696">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40EE6F" w14:textId="77777777" w:rsidR="0066677A" w:rsidRDefault="0066677A">
      <w:pPr>
        <w:ind w:firstLine="420"/>
      </w:pPr>
      <w:r>
        <w:separator/>
      </w:r>
    </w:p>
  </w:footnote>
  <w:footnote w:type="continuationSeparator" w:id="0">
    <w:p w14:paraId="4887E5E1" w14:textId="77777777" w:rsidR="0066677A" w:rsidRDefault="0066677A">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08583D" w14:textId="77777777" w:rsidR="002A1696" w:rsidRDefault="002A1696">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08583E" w14:textId="77777777" w:rsidR="002A1696" w:rsidRDefault="002A1696">
    <w:pPr>
      <w:pStyle w:val="a6"/>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085841" w14:textId="77777777" w:rsidR="002A1696" w:rsidRDefault="002A1696">
    <w:pPr>
      <w:pStyle w:val="a6"/>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1" w15:restartNumberingAfterBreak="0">
    <w:nsid w:val="4DC83F82"/>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15:restartNumberingAfterBreak="0">
    <w:nsid w:val="4E8B7541"/>
    <w:multiLevelType w:val="multilevel"/>
    <w:tmpl w:val="348E91A2"/>
    <w:lvl w:ilvl="0">
      <w:start w:val="1"/>
      <w:numFmt w:val="decimal"/>
      <w:pStyle w:val="1"/>
      <w:suff w:val="space"/>
      <w:lvlText w:val="%1"/>
      <w:lvlJc w:val="left"/>
      <w:pPr>
        <w:tabs>
          <w:tab w:val="num" w:pos="0"/>
        </w:tabs>
        <w:ind w:left="0" w:firstLine="0"/>
      </w:pPr>
    </w:lvl>
    <w:lvl w:ilvl="1">
      <w:start w:val="1"/>
      <w:numFmt w:val="decimal"/>
      <w:pStyle w:val="2"/>
      <w:suff w:val="space"/>
      <w:lvlText w:val="%1.%2"/>
      <w:lvlJc w:val="left"/>
      <w:pPr>
        <w:tabs>
          <w:tab w:val="num" w:pos="0"/>
        </w:tabs>
        <w:ind w:left="0" w:firstLine="0"/>
      </w:pPr>
    </w:lvl>
    <w:lvl w:ilvl="2">
      <w:start w:val="1"/>
      <w:numFmt w:val="decimal"/>
      <w:pStyle w:val="3"/>
      <w:suff w:val="space"/>
      <w:lvlText w:val="%1.%2.%3"/>
      <w:lvlJc w:val="left"/>
      <w:pPr>
        <w:tabs>
          <w:tab w:val="num" w:pos="0"/>
        </w:tabs>
        <w:ind w:left="0" w:firstLine="0"/>
      </w:pPr>
    </w:lvl>
    <w:lvl w:ilvl="3">
      <w:start w:val="1"/>
      <w:numFmt w:val="decimal"/>
      <w:lvlText w:val="%1.%2.%3.%4."/>
      <w:lvlJc w:val="left"/>
      <w:pPr>
        <w:tabs>
          <w:tab w:val="num" w:pos="0"/>
        </w:tabs>
        <w:ind w:left="851" w:hanging="851"/>
      </w:pPr>
    </w:lvl>
    <w:lvl w:ilvl="4">
      <w:start w:val="1"/>
      <w:numFmt w:val="decimal"/>
      <w:lvlText w:val="%1.%2.%3.%4.%5."/>
      <w:lvlJc w:val="left"/>
      <w:pPr>
        <w:tabs>
          <w:tab w:val="num" w:pos="0"/>
        </w:tabs>
        <w:ind w:left="992" w:hanging="992"/>
      </w:pPr>
    </w:lvl>
    <w:lvl w:ilvl="5">
      <w:start w:val="1"/>
      <w:numFmt w:val="decimal"/>
      <w:lvlText w:val="%1.%2.%3.%4.%5.%6."/>
      <w:lvlJc w:val="left"/>
      <w:pPr>
        <w:tabs>
          <w:tab w:val="num" w:pos="0"/>
        </w:tabs>
        <w:ind w:left="1134" w:hanging="1134"/>
      </w:pPr>
    </w:lvl>
    <w:lvl w:ilvl="6">
      <w:start w:val="1"/>
      <w:numFmt w:val="decimal"/>
      <w:lvlText w:val="%1.%2.%3.%4.%5.%6.%7."/>
      <w:lvlJc w:val="left"/>
      <w:pPr>
        <w:tabs>
          <w:tab w:val="num" w:pos="0"/>
        </w:tabs>
        <w:ind w:left="1276" w:hanging="1276"/>
      </w:pPr>
    </w:lvl>
    <w:lvl w:ilvl="7">
      <w:start w:val="1"/>
      <w:numFmt w:val="decimal"/>
      <w:lvlText w:val="%1.%2.%3.%4.%5.%6.%7.%8."/>
      <w:lvlJc w:val="left"/>
      <w:pPr>
        <w:tabs>
          <w:tab w:val="num" w:pos="0"/>
        </w:tabs>
        <w:ind w:left="1418" w:hanging="1418"/>
      </w:pPr>
    </w:lvl>
    <w:lvl w:ilvl="8">
      <w:start w:val="1"/>
      <w:numFmt w:val="decimal"/>
      <w:lvlText w:val="%1.%2.%3.%4.%5.%6.%7.%8.%9."/>
      <w:lvlJc w:val="left"/>
      <w:pPr>
        <w:tabs>
          <w:tab w:val="num" w:pos="0"/>
        </w:tabs>
        <w:ind w:left="1559" w:hanging="1559"/>
      </w:pPr>
    </w:lvl>
  </w:abstractNum>
  <w:num w:numId="1" w16cid:durableId="30712789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bordersDoNotSurroundHeader/>
  <w:bordersDoNotSurroundFooter/>
  <w:defaultTabStop w:val="420"/>
  <w:autoHyphenation/>
  <w:hyphenationZone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0zxxax1wfadte9s5gpaptza9tfvrzsvaxs&quot;&gt;Netzero&lt;record-ids&gt;&lt;item&gt;16&lt;/item&gt;&lt;item&gt;94&lt;/item&gt;&lt;item&gt;98&lt;/item&gt;&lt;item&gt;185&lt;/item&gt;&lt;item&gt;186&lt;/item&gt;&lt;item&gt;196&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5&lt;/item&gt;&lt;item&gt;216&lt;/item&gt;&lt;item&gt;217&lt;/item&gt;&lt;item&gt;220&lt;/item&gt;&lt;item&gt;221&lt;/item&gt;&lt;item&gt;222&lt;/item&gt;&lt;item&gt;239&lt;/item&gt;&lt;item&gt;248&lt;/item&gt;&lt;item&gt;251&lt;/item&gt;&lt;item&gt;252&lt;/item&gt;&lt;item&gt;254&lt;/item&gt;&lt;item&gt;255&lt;/item&gt;&lt;item&gt;256&lt;/item&gt;&lt;item&gt;257&lt;/item&gt;&lt;item&gt;259&lt;/item&gt;&lt;item&gt;260&lt;/item&gt;&lt;item&gt;354&lt;/item&gt;&lt;item&gt;356&lt;/item&gt;&lt;item&gt;358&lt;/item&gt;&lt;item&gt;360&lt;/item&gt;&lt;item&gt;361&lt;/item&gt;&lt;item&gt;391&lt;/item&gt;&lt;item&gt;392&lt;/item&gt;&lt;item&gt;395&lt;/item&gt;&lt;item&gt;400&lt;/item&gt;&lt;item&gt;401&lt;/item&gt;&lt;item&gt;403&lt;/item&gt;&lt;item&gt;410&lt;/item&gt;&lt;item&gt;411&lt;/item&gt;&lt;item&gt;416&lt;/item&gt;&lt;item&gt;417&lt;/item&gt;&lt;item&gt;418&lt;/item&gt;&lt;item&gt;419&lt;/item&gt;&lt;item&gt;420&lt;/item&gt;&lt;item&gt;428&lt;/item&gt;&lt;item&gt;429&lt;/item&gt;&lt;item&gt;430&lt;/item&gt;&lt;item&gt;445&lt;/item&gt;&lt;item&gt;446&lt;/item&gt;&lt;item&gt;504&lt;/item&gt;&lt;item&gt;557&lt;/item&gt;&lt;item&gt;558&lt;/item&gt;&lt;item&gt;559&lt;/item&gt;&lt;item&gt;560&lt;/item&gt;&lt;item&gt;561&lt;/item&gt;&lt;item&gt;562&lt;/item&gt;&lt;item&gt;563&lt;/item&gt;&lt;item&gt;564&lt;/item&gt;&lt;item&gt;592&lt;/item&gt;&lt;item&gt;670&lt;/item&gt;&lt;item&gt;671&lt;/item&gt;&lt;item&gt;673&lt;/item&gt;&lt;item&gt;674&lt;/item&gt;&lt;item&gt;677&lt;/item&gt;&lt;item&gt;678&lt;/item&gt;&lt;item&gt;749&lt;/item&gt;&lt;item&gt;752&lt;/item&gt;&lt;item&gt;753&lt;/item&gt;&lt;/record-ids&gt;&lt;/item&gt;&lt;/Libraries&gt;"/>
  </w:docVars>
  <w:rsids>
    <w:rsidRoot w:val="002A1696"/>
    <w:rsid w:val="000206E5"/>
    <w:rsid w:val="00024480"/>
    <w:rsid w:val="00025F44"/>
    <w:rsid w:val="00030C6A"/>
    <w:rsid w:val="0005131E"/>
    <w:rsid w:val="0006279B"/>
    <w:rsid w:val="000A3BD3"/>
    <w:rsid w:val="000C04E9"/>
    <w:rsid w:val="000E034C"/>
    <w:rsid w:val="000F1CD9"/>
    <w:rsid w:val="0011293B"/>
    <w:rsid w:val="001309CC"/>
    <w:rsid w:val="00132CD6"/>
    <w:rsid w:val="001719EE"/>
    <w:rsid w:val="00172691"/>
    <w:rsid w:val="00173882"/>
    <w:rsid w:val="001872BB"/>
    <w:rsid w:val="001953E4"/>
    <w:rsid w:val="001963AF"/>
    <w:rsid w:val="001A23B1"/>
    <w:rsid w:val="001B3C60"/>
    <w:rsid w:val="001D329D"/>
    <w:rsid w:val="00203CCC"/>
    <w:rsid w:val="00210A09"/>
    <w:rsid w:val="002508F7"/>
    <w:rsid w:val="00252A5F"/>
    <w:rsid w:val="00273EA8"/>
    <w:rsid w:val="0028547B"/>
    <w:rsid w:val="00286088"/>
    <w:rsid w:val="002A1696"/>
    <w:rsid w:val="002A5257"/>
    <w:rsid w:val="002A5588"/>
    <w:rsid w:val="002A7693"/>
    <w:rsid w:val="002B192D"/>
    <w:rsid w:val="002D20AB"/>
    <w:rsid w:val="002D24F7"/>
    <w:rsid w:val="002D6438"/>
    <w:rsid w:val="002D6DD1"/>
    <w:rsid w:val="002D7335"/>
    <w:rsid w:val="002E176C"/>
    <w:rsid w:val="002F7C70"/>
    <w:rsid w:val="00321287"/>
    <w:rsid w:val="00323BFE"/>
    <w:rsid w:val="00332A60"/>
    <w:rsid w:val="00354680"/>
    <w:rsid w:val="00356FAB"/>
    <w:rsid w:val="00357A64"/>
    <w:rsid w:val="0036585F"/>
    <w:rsid w:val="00380588"/>
    <w:rsid w:val="003913D6"/>
    <w:rsid w:val="003922BB"/>
    <w:rsid w:val="003B1DBC"/>
    <w:rsid w:val="003B3CC2"/>
    <w:rsid w:val="003B44AA"/>
    <w:rsid w:val="003C6967"/>
    <w:rsid w:val="003D48F9"/>
    <w:rsid w:val="003D577A"/>
    <w:rsid w:val="003E14F2"/>
    <w:rsid w:val="003E1D72"/>
    <w:rsid w:val="003E226C"/>
    <w:rsid w:val="003F133C"/>
    <w:rsid w:val="003F5329"/>
    <w:rsid w:val="00406B5A"/>
    <w:rsid w:val="00411B2B"/>
    <w:rsid w:val="00415FB9"/>
    <w:rsid w:val="00416FC0"/>
    <w:rsid w:val="004250E6"/>
    <w:rsid w:val="00427AE0"/>
    <w:rsid w:val="004318D8"/>
    <w:rsid w:val="00442ACC"/>
    <w:rsid w:val="00464205"/>
    <w:rsid w:val="004766AA"/>
    <w:rsid w:val="004948A0"/>
    <w:rsid w:val="004A0242"/>
    <w:rsid w:val="004A300F"/>
    <w:rsid w:val="004A36A9"/>
    <w:rsid w:val="004B1707"/>
    <w:rsid w:val="004C0FAB"/>
    <w:rsid w:val="004C3E05"/>
    <w:rsid w:val="004D1DD8"/>
    <w:rsid w:val="004F1EA7"/>
    <w:rsid w:val="004F52B4"/>
    <w:rsid w:val="0051734F"/>
    <w:rsid w:val="00531C0B"/>
    <w:rsid w:val="0053305F"/>
    <w:rsid w:val="00543144"/>
    <w:rsid w:val="005472BF"/>
    <w:rsid w:val="00547AA2"/>
    <w:rsid w:val="00574366"/>
    <w:rsid w:val="005753DF"/>
    <w:rsid w:val="005807AD"/>
    <w:rsid w:val="00582D16"/>
    <w:rsid w:val="00584B5E"/>
    <w:rsid w:val="005B1D36"/>
    <w:rsid w:val="005C7C31"/>
    <w:rsid w:val="005D29ED"/>
    <w:rsid w:val="005D6C8F"/>
    <w:rsid w:val="005F485C"/>
    <w:rsid w:val="005F6A04"/>
    <w:rsid w:val="00607442"/>
    <w:rsid w:val="00614CF4"/>
    <w:rsid w:val="00637090"/>
    <w:rsid w:val="00637839"/>
    <w:rsid w:val="00637FDC"/>
    <w:rsid w:val="00647F96"/>
    <w:rsid w:val="00651B8D"/>
    <w:rsid w:val="00655CAC"/>
    <w:rsid w:val="00660970"/>
    <w:rsid w:val="0066677A"/>
    <w:rsid w:val="006668EE"/>
    <w:rsid w:val="00677230"/>
    <w:rsid w:val="00680A95"/>
    <w:rsid w:val="00682604"/>
    <w:rsid w:val="00684A3E"/>
    <w:rsid w:val="006901FD"/>
    <w:rsid w:val="006B2B29"/>
    <w:rsid w:val="006C76F4"/>
    <w:rsid w:val="006E562B"/>
    <w:rsid w:val="00704008"/>
    <w:rsid w:val="00715EA8"/>
    <w:rsid w:val="007279A4"/>
    <w:rsid w:val="0073342A"/>
    <w:rsid w:val="00737F26"/>
    <w:rsid w:val="00744631"/>
    <w:rsid w:val="00764381"/>
    <w:rsid w:val="00765296"/>
    <w:rsid w:val="00766335"/>
    <w:rsid w:val="00774059"/>
    <w:rsid w:val="007830EC"/>
    <w:rsid w:val="00794ECD"/>
    <w:rsid w:val="007C0C3E"/>
    <w:rsid w:val="007D4312"/>
    <w:rsid w:val="007E0913"/>
    <w:rsid w:val="007E22E0"/>
    <w:rsid w:val="007F071C"/>
    <w:rsid w:val="00814490"/>
    <w:rsid w:val="00827D80"/>
    <w:rsid w:val="00836E16"/>
    <w:rsid w:val="0085037F"/>
    <w:rsid w:val="00881CB4"/>
    <w:rsid w:val="008872B6"/>
    <w:rsid w:val="0089201D"/>
    <w:rsid w:val="008A68D7"/>
    <w:rsid w:val="008B42DD"/>
    <w:rsid w:val="008D4AE3"/>
    <w:rsid w:val="008E4242"/>
    <w:rsid w:val="008E79AF"/>
    <w:rsid w:val="008F31D0"/>
    <w:rsid w:val="008F368B"/>
    <w:rsid w:val="008F7114"/>
    <w:rsid w:val="00901BDC"/>
    <w:rsid w:val="009365E7"/>
    <w:rsid w:val="009469A3"/>
    <w:rsid w:val="00966D9C"/>
    <w:rsid w:val="00972F2F"/>
    <w:rsid w:val="00975A7B"/>
    <w:rsid w:val="00980B48"/>
    <w:rsid w:val="0099688A"/>
    <w:rsid w:val="009A6BCE"/>
    <w:rsid w:val="009B3E58"/>
    <w:rsid w:val="009C2835"/>
    <w:rsid w:val="009E1DCC"/>
    <w:rsid w:val="009F7137"/>
    <w:rsid w:val="00A13C04"/>
    <w:rsid w:val="00A2114B"/>
    <w:rsid w:val="00A21C9C"/>
    <w:rsid w:val="00A24AA9"/>
    <w:rsid w:val="00A47AEC"/>
    <w:rsid w:val="00A6174D"/>
    <w:rsid w:val="00A76AED"/>
    <w:rsid w:val="00A80E77"/>
    <w:rsid w:val="00A90A3B"/>
    <w:rsid w:val="00AA2FB0"/>
    <w:rsid w:val="00AB1B9D"/>
    <w:rsid w:val="00AE03AB"/>
    <w:rsid w:val="00AE1994"/>
    <w:rsid w:val="00AE3698"/>
    <w:rsid w:val="00AF0BD4"/>
    <w:rsid w:val="00AF27D7"/>
    <w:rsid w:val="00AF54BB"/>
    <w:rsid w:val="00B01A2B"/>
    <w:rsid w:val="00B149A1"/>
    <w:rsid w:val="00B23F38"/>
    <w:rsid w:val="00B41E3C"/>
    <w:rsid w:val="00B47841"/>
    <w:rsid w:val="00B7534C"/>
    <w:rsid w:val="00B81C56"/>
    <w:rsid w:val="00B9253C"/>
    <w:rsid w:val="00BA1328"/>
    <w:rsid w:val="00BA3439"/>
    <w:rsid w:val="00BC60DE"/>
    <w:rsid w:val="00BE3D59"/>
    <w:rsid w:val="00BE3FBE"/>
    <w:rsid w:val="00BF6773"/>
    <w:rsid w:val="00C020D5"/>
    <w:rsid w:val="00C20983"/>
    <w:rsid w:val="00C23A39"/>
    <w:rsid w:val="00C27C5E"/>
    <w:rsid w:val="00C30874"/>
    <w:rsid w:val="00C34CE6"/>
    <w:rsid w:val="00C35E87"/>
    <w:rsid w:val="00C41A26"/>
    <w:rsid w:val="00C51CDB"/>
    <w:rsid w:val="00C5663D"/>
    <w:rsid w:val="00C5666A"/>
    <w:rsid w:val="00C7028F"/>
    <w:rsid w:val="00C7632E"/>
    <w:rsid w:val="00C844A2"/>
    <w:rsid w:val="00C92AFB"/>
    <w:rsid w:val="00CB14C9"/>
    <w:rsid w:val="00CD420B"/>
    <w:rsid w:val="00CF4B34"/>
    <w:rsid w:val="00D20057"/>
    <w:rsid w:val="00D27809"/>
    <w:rsid w:val="00D27FD5"/>
    <w:rsid w:val="00D31257"/>
    <w:rsid w:val="00D3239E"/>
    <w:rsid w:val="00D42C18"/>
    <w:rsid w:val="00D43FC9"/>
    <w:rsid w:val="00D447E0"/>
    <w:rsid w:val="00D55CC1"/>
    <w:rsid w:val="00D57E30"/>
    <w:rsid w:val="00D60A14"/>
    <w:rsid w:val="00D64A1B"/>
    <w:rsid w:val="00D809F1"/>
    <w:rsid w:val="00D80F43"/>
    <w:rsid w:val="00DA17D9"/>
    <w:rsid w:val="00DA2957"/>
    <w:rsid w:val="00DC01E7"/>
    <w:rsid w:val="00DD31C0"/>
    <w:rsid w:val="00DD51B7"/>
    <w:rsid w:val="00DE47F3"/>
    <w:rsid w:val="00DF6BD3"/>
    <w:rsid w:val="00E1193B"/>
    <w:rsid w:val="00E11F2F"/>
    <w:rsid w:val="00E24FEE"/>
    <w:rsid w:val="00E26E8B"/>
    <w:rsid w:val="00E27B3F"/>
    <w:rsid w:val="00E3603C"/>
    <w:rsid w:val="00E42ABB"/>
    <w:rsid w:val="00E4358E"/>
    <w:rsid w:val="00E63267"/>
    <w:rsid w:val="00E70B56"/>
    <w:rsid w:val="00E73FE8"/>
    <w:rsid w:val="00E7520F"/>
    <w:rsid w:val="00E7720E"/>
    <w:rsid w:val="00E961A9"/>
    <w:rsid w:val="00E97253"/>
    <w:rsid w:val="00EB414B"/>
    <w:rsid w:val="00EC7719"/>
    <w:rsid w:val="00EC77B6"/>
    <w:rsid w:val="00ED7AF0"/>
    <w:rsid w:val="00EE201B"/>
    <w:rsid w:val="00EE3C15"/>
    <w:rsid w:val="00EF0FA1"/>
    <w:rsid w:val="00EF72D4"/>
    <w:rsid w:val="00EF7AA1"/>
    <w:rsid w:val="00F034CB"/>
    <w:rsid w:val="00F37DDF"/>
    <w:rsid w:val="00F57F6B"/>
    <w:rsid w:val="00F73BA8"/>
    <w:rsid w:val="00F77D35"/>
    <w:rsid w:val="00F8143D"/>
    <w:rsid w:val="00F82417"/>
    <w:rsid w:val="00F96EDE"/>
    <w:rsid w:val="00FB420E"/>
    <w:rsid w:val="00FB6DA5"/>
    <w:rsid w:val="00FC212B"/>
    <w:rsid w:val="00FD1FAC"/>
    <w:rsid w:val="00FD48CD"/>
    <w:rsid w:val="00FD5C30"/>
    <w:rsid w:val="00FE6E95"/>
    <w:rsid w:val="00FF006A"/>
    <w:rsid w:val="00FF19AD"/>
    <w:rsid w:val="00FF26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85407"/>
  <w15:docId w15:val="{D7908E25-AFD5-41E8-8C70-EC5DEE908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32F2"/>
    <w:pPr>
      <w:widowControl w:val="0"/>
      <w:ind w:firstLineChars="200" w:firstLine="200"/>
      <w:jc w:val="both"/>
    </w:pPr>
    <w:rPr>
      <w:rFonts w:ascii="Times New Roman" w:eastAsia="Times New Roman" w:hAnsi="Times New Roman"/>
    </w:rPr>
  </w:style>
  <w:style w:type="paragraph" w:styleId="1">
    <w:name w:val="heading 1"/>
    <w:basedOn w:val="a"/>
    <w:next w:val="a"/>
    <w:link w:val="10"/>
    <w:uiPriority w:val="9"/>
    <w:qFormat/>
    <w:rsid w:val="00D43DA9"/>
    <w:pPr>
      <w:keepNext/>
      <w:keepLines/>
      <w:numPr>
        <w:numId w:val="1"/>
      </w:numPr>
      <w:spacing w:line="360" w:lineRule="auto"/>
      <w:ind w:firstLineChars="0"/>
      <w:outlineLvl w:val="0"/>
    </w:pPr>
    <w:rPr>
      <w:b/>
      <w:bCs/>
      <w:sz w:val="28"/>
      <w:szCs w:val="44"/>
    </w:rPr>
  </w:style>
  <w:style w:type="paragraph" w:styleId="2">
    <w:name w:val="heading 2"/>
    <w:basedOn w:val="a"/>
    <w:next w:val="a"/>
    <w:link w:val="20"/>
    <w:uiPriority w:val="9"/>
    <w:unhideWhenUsed/>
    <w:qFormat/>
    <w:rsid w:val="00D43DA9"/>
    <w:pPr>
      <w:keepNext/>
      <w:keepLines/>
      <w:numPr>
        <w:ilvl w:val="1"/>
        <w:numId w:val="1"/>
      </w:numPr>
      <w:spacing w:line="360" w:lineRule="auto"/>
      <w:ind w:firstLineChars="0"/>
      <w:outlineLvl w:val="1"/>
    </w:pPr>
    <w:rPr>
      <w:rFonts w:cstheme="majorBidi"/>
      <w:b/>
      <w:bCs/>
      <w:sz w:val="26"/>
      <w:szCs w:val="32"/>
    </w:rPr>
  </w:style>
  <w:style w:type="paragraph" w:styleId="3">
    <w:name w:val="heading 3"/>
    <w:basedOn w:val="a"/>
    <w:next w:val="a"/>
    <w:link w:val="30"/>
    <w:uiPriority w:val="9"/>
    <w:unhideWhenUsed/>
    <w:qFormat/>
    <w:rsid w:val="002D6DD1"/>
    <w:pPr>
      <w:keepNext/>
      <w:keepLines/>
      <w:numPr>
        <w:ilvl w:val="2"/>
        <w:numId w:val="1"/>
      </w:numPr>
      <w:spacing w:line="360" w:lineRule="auto"/>
      <w:ind w:firstLineChars="0"/>
      <w:outlineLvl w:val="2"/>
    </w:pPr>
    <w:rPr>
      <w:bCs/>
      <w:sz w:val="24"/>
      <w:szCs w:val="32"/>
    </w:rPr>
  </w:style>
  <w:style w:type="paragraph" w:styleId="4">
    <w:name w:val="heading 4"/>
    <w:basedOn w:val="a"/>
    <w:next w:val="a"/>
    <w:link w:val="40"/>
    <w:uiPriority w:val="9"/>
    <w:unhideWhenUsed/>
    <w:qFormat/>
    <w:rsid w:val="00D43DA9"/>
    <w:pPr>
      <w:keepNext/>
      <w:keepLines/>
      <w:spacing w:line="360" w:lineRule="auto"/>
      <w:ind w:firstLineChars="0" w:firstLine="0"/>
      <w:outlineLvl w:val="3"/>
    </w:pPr>
    <w:rPr>
      <w:rFonts w:cstheme="majorBidi"/>
      <w:bCs/>
      <w:i/>
      <w:szCs w:val="28"/>
    </w:rPr>
  </w:style>
  <w:style w:type="paragraph" w:styleId="5">
    <w:name w:val="heading 5"/>
    <w:basedOn w:val="a"/>
    <w:next w:val="a"/>
    <w:link w:val="50"/>
    <w:uiPriority w:val="9"/>
    <w:semiHidden/>
    <w:unhideWhenUsed/>
    <w:qFormat/>
    <w:rsid w:val="009E4790"/>
    <w:pPr>
      <w:keepNext/>
      <w:keepLines/>
      <w:spacing w:before="280" w:after="290" w:line="377" w:lineRule="auto"/>
      <w:outlineLvl w:val="4"/>
    </w:pPr>
    <w:rPr>
      <w:rFonts w:asciiTheme="minorHAnsi" w:eastAsiaTheme="minorEastAsia" w:hAnsiTheme="minorHAnsi" w:cs="Times New Roman"/>
      <w:color w:val="0F4761"/>
      <w:sz w:val="24"/>
    </w:rPr>
  </w:style>
  <w:style w:type="paragraph" w:styleId="6">
    <w:name w:val="heading 6"/>
    <w:basedOn w:val="a"/>
    <w:next w:val="a"/>
    <w:link w:val="60"/>
    <w:uiPriority w:val="9"/>
    <w:semiHidden/>
    <w:unhideWhenUsed/>
    <w:qFormat/>
    <w:rsid w:val="00CD420B"/>
    <w:pPr>
      <w:keepNext/>
      <w:keepLines/>
      <w:spacing w:before="240" w:after="64" w:line="319" w:lineRule="auto"/>
      <w:outlineLvl w:val="5"/>
    </w:pPr>
    <w:rPr>
      <w:rFonts w:asciiTheme="minorHAnsi" w:eastAsiaTheme="minorEastAsia" w:hAnsiTheme="minorHAnsi" w:cs="Times New Roman"/>
      <w:b/>
      <w:bCs/>
      <w:color w:val="0F4761"/>
    </w:rPr>
  </w:style>
  <w:style w:type="paragraph" w:styleId="7">
    <w:name w:val="heading 7"/>
    <w:basedOn w:val="a"/>
    <w:next w:val="a"/>
    <w:link w:val="70"/>
    <w:uiPriority w:val="9"/>
    <w:semiHidden/>
    <w:unhideWhenUsed/>
    <w:qFormat/>
    <w:rsid w:val="009E4790"/>
    <w:pPr>
      <w:keepNext/>
      <w:keepLines/>
      <w:spacing w:before="240" w:after="64" w:line="319" w:lineRule="auto"/>
      <w:outlineLvl w:val="6"/>
    </w:pPr>
    <w:rPr>
      <w:rFonts w:asciiTheme="minorHAnsi" w:eastAsiaTheme="minorEastAsia" w:hAnsiTheme="minorHAnsi" w:cs="Times New Roman"/>
      <w:b/>
      <w:bCs/>
      <w:color w:val="595959"/>
    </w:rPr>
  </w:style>
  <w:style w:type="paragraph" w:styleId="8">
    <w:name w:val="heading 8"/>
    <w:basedOn w:val="a"/>
    <w:next w:val="a"/>
    <w:link w:val="80"/>
    <w:uiPriority w:val="9"/>
    <w:semiHidden/>
    <w:unhideWhenUsed/>
    <w:qFormat/>
    <w:rsid w:val="009E4790"/>
    <w:pPr>
      <w:keepNext/>
      <w:keepLines/>
      <w:spacing w:before="240" w:after="64" w:line="319" w:lineRule="auto"/>
      <w:outlineLvl w:val="7"/>
    </w:pPr>
    <w:rPr>
      <w:rFonts w:asciiTheme="minorHAnsi" w:eastAsiaTheme="minorEastAsia" w:hAnsiTheme="minorHAnsi" w:cs="Times New Roman"/>
      <w:color w:val="595959"/>
    </w:rPr>
  </w:style>
  <w:style w:type="paragraph" w:styleId="9">
    <w:name w:val="heading 9"/>
    <w:basedOn w:val="a"/>
    <w:next w:val="a"/>
    <w:link w:val="90"/>
    <w:uiPriority w:val="9"/>
    <w:semiHidden/>
    <w:unhideWhenUsed/>
    <w:qFormat/>
    <w:rsid w:val="009E4790"/>
    <w:pPr>
      <w:keepNext/>
      <w:keepLines/>
      <w:spacing w:before="240" w:after="64" w:line="319" w:lineRule="auto"/>
      <w:outlineLvl w:val="8"/>
    </w:pPr>
    <w:rPr>
      <w:rFonts w:asciiTheme="minorHAnsi" w:eastAsia="等线 Light" w:hAnsiTheme="minorHAnsi" w:cs="Times New Roman"/>
      <w:color w:val="595959"/>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标题 字符"/>
    <w:basedOn w:val="a0"/>
    <w:link w:val="a4"/>
    <w:uiPriority w:val="10"/>
    <w:qFormat/>
    <w:rsid w:val="00337962"/>
    <w:rPr>
      <w:rFonts w:ascii="Times New Roman" w:eastAsia="Times New Roman" w:hAnsi="Times New Roman" w:cstheme="majorBidi"/>
      <w:b/>
      <w:bCs/>
      <w:sz w:val="28"/>
      <w:szCs w:val="32"/>
    </w:rPr>
  </w:style>
  <w:style w:type="character" w:customStyle="1" w:styleId="10">
    <w:name w:val="标题 1 字符"/>
    <w:basedOn w:val="a0"/>
    <w:link w:val="1"/>
    <w:uiPriority w:val="9"/>
    <w:qFormat/>
    <w:rsid w:val="001F2AB5"/>
    <w:rPr>
      <w:rFonts w:ascii="Times New Roman" w:eastAsia="Times New Roman" w:hAnsi="Times New Roman"/>
      <w:b/>
      <w:bCs/>
      <w:kern w:val="2"/>
      <w:sz w:val="28"/>
      <w:szCs w:val="44"/>
    </w:rPr>
  </w:style>
  <w:style w:type="character" w:customStyle="1" w:styleId="20">
    <w:name w:val="标题 2 字符"/>
    <w:basedOn w:val="a0"/>
    <w:link w:val="2"/>
    <w:uiPriority w:val="9"/>
    <w:qFormat/>
    <w:rsid w:val="001F2AB5"/>
    <w:rPr>
      <w:rFonts w:ascii="Times New Roman" w:eastAsia="Times New Roman" w:hAnsi="Times New Roman" w:cstheme="majorBidi"/>
      <w:b/>
      <w:bCs/>
      <w:sz w:val="26"/>
      <w:szCs w:val="32"/>
    </w:rPr>
  </w:style>
  <w:style w:type="character" w:customStyle="1" w:styleId="30">
    <w:name w:val="标题 3 字符"/>
    <w:basedOn w:val="a0"/>
    <w:link w:val="3"/>
    <w:uiPriority w:val="9"/>
    <w:qFormat/>
    <w:rsid w:val="002D6DD1"/>
    <w:rPr>
      <w:rFonts w:ascii="Times New Roman" w:eastAsia="Times New Roman" w:hAnsi="Times New Roman"/>
      <w:bCs/>
      <w:sz w:val="24"/>
      <w:szCs w:val="32"/>
    </w:rPr>
  </w:style>
  <w:style w:type="character" w:customStyle="1" w:styleId="a5">
    <w:name w:val="页眉 字符"/>
    <w:basedOn w:val="a0"/>
    <w:link w:val="a6"/>
    <w:uiPriority w:val="99"/>
    <w:qFormat/>
    <w:rsid w:val="004429CB"/>
    <w:rPr>
      <w:rFonts w:ascii="Times New Roman" w:eastAsia="Times New Roman" w:hAnsi="Times New Roman"/>
      <w:sz w:val="18"/>
      <w:szCs w:val="18"/>
    </w:rPr>
  </w:style>
  <w:style w:type="character" w:customStyle="1" w:styleId="a7">
    <w:name w:val="页脚 字符"/>
    <w:basedOn w:val="a0"/>
    <w:link w:val="a8"/>
    <w:uiPriority w:val="99"/>
    <w:qFormat/>
    <w:rsid w:val="004429CB"/>
    <w:rPr>
      <w:rFonts w:ascii="Times New Roman" w:eastAsia="Times New Roman" w:hAnsi="Times New Roman"/>
      <w:sz w:val="18"/>
      <w:szCs w:val="18"/>
    </w:rPr>
  </w:style>
  <w:style w:type="character" w:styleId="a9">
    <w:name w:val="annotation reference"/>
    <w:basedOn w:val="a0"/>
    <w:uiPriority w:val="99"/>
    <w:semiHidden/>
    <w:unhideWhenUsed/>
    <w:qFormat/>
    <w:rsid w:val="00E31D64"/>
    <w:rPr>
      <w:sz w:val="21"/>
      <w:szCs w:val="21"/>
    </w:rPr>
  </w:style>
  <w:style w:type="character" w:customStyle="1" w:styleId="aa">
    <w:name w:val="批注文字 字符"/>
    <w:basedOn w:val="a0"/>
    <w:link w:val="ab"/>
    <w:uiPriority w:val="99"/>
    <w:qFormat/>
    <w:rsid w:val="00E31D64"/>
    <w:rPr>
      <w:rFonts w:ascii="Times New Roman" w:eastAsia="Times New Roman" w:hAnsi="Times New Roman"/>
    </w:rPr>
  </w:style>
  <w:style w:type="character" w:customStyle="1" w:styleId="ac">
    <w:name w:val="批注主题 字符"/>
    <w:basedOn w:val="aa"/>
    <w:link w:val="ad"/>
    <w:uiPriority w:val="99"/>
    <w:semiHidden/>
    <w:qFormat/>
    <w:rsid w:val="00E31D64"/>
    <w:rPr>
      <w:rFonts w:ascii="Times New Roman" w:eastAsia="Times New Roman" w:hAnsi="Times New Roman"/>
      <w:b/>
      <w:bCs/>
    </w:rPr>
  </w:style>
  <w:style w:type="character" w:customStyle="1" w:styleId="mord">
    <w:name w:val="mord"/>
    <w:basedOn w:val="a0"/>
    <w:qFormat/>
    <w:rsid w:val="0070145C"/>
  </w:style>
  <w:style w:type="character" w:customStyle="1" w:styleId="mrel">
    <w:name w:val="mrel"/>
    <w:basedOn w:val="a0"/>
    <w:qFormat/>
    <w:rsid w:val="0070145C"/>
  </w:style>
  <w:style w:type="character" w:customStyle="1" w:styleId="vlist-s">
    <w:name w:val="vlist-s"/>
    <w:basedOn w:val="a0"/>
    <w:qFormat/>
    <w:rsid w:val="0070145C"/>
  </w:style>
  <w:style w:type="character" w:customStyle="1" w:styleId="mbin">
    <w:name w:val="mbin"/>
    <w:basedOn w:val="a0"/>
    <w:qFormat/>
    <w:rsid w:val="0070145C"/>
  </w:style>
  <w:style w:type="character" w:customStyle="1" w:styleId="mopen">
    <w:name w:val="mopen"/>
    <w:basedOn w:val="a0"/>
    <w:qFormat/>
    <w:rsid w:val="0070145C"/>
  </w:style>
  <w:style w:type="character" w:customStyle="1" w:styleId="mclose">
    <w:name w:val="mclose"/>
    <w:basedOn w:val="a0"/>
    <w:qFormat/>
    <w:rsid w:val="0070145C"/>
  </w:style>
  <w:style w:type="character" w:styleId="ae">
    <w:name w:val="Placeholder Text"/>
    <w:basedOn w:val="a0"/>
    <w:uiPriority w:val="99"/>
    <w:semiHidden/>
    <w:qFormat/>
    <w:rsid w:val="003A4941"/>
    <w:rPr>
      <w:color w:val="666666"/>
    </w:rPr>
  </w:style>
  <w:style w:type="character" w:customStyle="1" w:styleId="40">
    <w:name w:val="标题 4 字符"/>
    <w:basedOn w:val="a0"/>
    <w:link w:val="4"/>
    <w:uiPriority w:val="9"/>
    <w:qFormat/>
    <w:rsid w:val="00AF681B"/>
    <w:rPr>
      <w:rFonts w:ascii="Times New Roman" w:eastAsia="Times New Roman" w:hAnsi="Times New Roman" w:cstheme="majorBidi"/>
      <w:bCs/>
      <w:i/>
      <w:sz w:val="24"/>
      <w:szCs w:val="28"/>
    </w:rPr>
  </w:style>
  <w:style w:type="character" w:styleId="af">
    <w:name w:val="Hyperlink"/>
    <w:basedOn w:val="a0"/>
    <w:uiPriority w:val="99"/>
    <w:unhideWhenUsed/>
    <w:rsid w:val="003C3A34"/>
    <w:rPr>
      <w:color w:val="0563C1" w:themeColor="hyperlink"/>
      <w:u w:val="single"/>
    </w:rPr>
  </w:style>
  <w:style w:type="character" w:styleId="af0">
    <w:name w:val="Unresolved Mention"/>
    <w:basedOn w:val="a0"/>
    <w:uiPriority w:val="99"/>
    <w:semiHidden/>
    <w:unhideWhenUsed/>
    <w:qFormat/>
    <w:rsid w:val="003C3A34"/>
    <w:rPr>
      <w:color w:val="605E5C"/>
      <w:shd w:val="clear" w:color="auto" w:fill="E1DFDD"/>
    </w:rPr>
  </w:style>
  <w:style w:type="character" w:customStyle="1" w:styleId="EquationChar">
    <w:name w:val="Equation Char"/>
    <w:basedOn w:val="a0"/>
    <w:link w:val="Equation"/>
    <w:qFormat/>
    <w:rsid w:val="000A4FCA"/>
    <w:rPr>
      <w:rFonts w:ascii="Times New Roman" w:eastAsia="Times New Roman" w:hAnsi="Times New Roman"/>
    </w:rPr>
  </w:style>
  <w:style w:type="character" w:customStyle="1" w:styleId="EndNoteBibliographyTitleChar">
    <w:name w:val="EndNote Bibliography Title Char"/>
    <w:basedOn w:val="a0"/>
    <w:link w:val="EndNoteBibliographyTitle"/>
    <w:qFormat/>
    <w:rsid w:val="00A23958"/>
    <w:rPr>
      <w:rFonts w:ascii="Times New Roman" w:eastAsia="Times New Roman" w:hAnsi="Times New Roman" w:cs="Times New Roman"/>
      <w:sz w:val="20"/>
    </w:rPr>
  </w:style>
  <w:style w:type="character" w:customStyle="1" w:styleId="EndNoteBibliographyChar">
    <w:name w:val="EndNote Bibliography Char"/>
    <w:basedOn w:val="a0"/>
    <w:link w:val="EndNoteBibliography"/>
    <w:qFormat/>
    <w:rsid w:val="00A23958"/>
    <w:rPr>
      <w:rFonts w:ascii="Times New Roman" w:eastAsia="Times New Roman" w:hAnsi="Times New Roman" w:cs="Times New Roman"/>
      <w:sz w:val="20"/>
    </w:rPr>
  </w:style>
  <w:style w:type="character" w:styleId="af1">
    <w:name w:val="FollowedHyperlink"/>
    <w:basedOn w:val="a0"/>
    <w:uiPriority w:val="99"/>
    <w:semiHidden/>
    <w:unhideWhenUsed/>
    <w:rsid w:val="00067693"/>
    <w:rPr>
      <w:color w:val="954F72" w:themeColor="followedHyperlink"/>
      <w:u w:val="single"/>
    </w:rPr>
  </w:style>
  <w:style w:type="character" w:customStyle="1" w:styleId="katex-mathml">
    <w:name w:val="katex-mathml"/>
    <w:basedOn w:val="a0"/>
    <w:qFormat/>
    <w:rsid w:val="00741582"/>
  </w:style>
  <w:style w:type="character" w:styleId="af2">
    <w:name w:val="Strong"/>
    <w:basedOn w:val="a0"/>
    <w:uiPriority w:val="22"/>
    <w:qFormat/>
    <w:rsid w:val="000A6157"/>
    <w:rPr>
      <w:b/>
      <w:bCs/>
    </w:rPr>
  </w:style>
  <w:style w:type="character" w:styleId="af3">
    <w:name w:val="Emphasis"/>
    <w:basedOn w:val="a0"/>
    <w:uiPriority w:val="20"/>
    <w:qFormat/>
    <w:rsid w:val="00DC105B"/>
    <w:rPr>
      <w:i/>
      <w:iCs/>
    </w:rPr>
  </w:style>
  <w:style w:type="character" w:customStyle="1" w:styleId="s1">
    <w:name w:val="s1"/>
    <w:basedOn w:val="a0"/>
    <w:qFormat/>
    <w:rsid w:val="00EB690D"/>
  </w:style>
  <w:style w:type="character" w:customStyle="1" w:styleId="apple-converted-space">
    <w:name w:val="apple-converted-space"/>
    <w:basedOn w:val="a0"/>
    <w:qFormat/>
    <w:rsid w:val="000F036F"/>
  </w:style>
  <w:style w:type="character" w:customStyle="1" w:styleId="s2">
    <w:name w:val="s2"/>
    <w:basedOn w:val="a0"/>
    <w:qFormat/>
    <w:rsid w:val="00BA0FBE"/>
  </w:style>
  <w:style w:type="character" w:customStyle="1" w:styleId="50">
    <w:name w:val="标题 5 字符"/>
    <w:basedOn w:val="a0"/>
    <w:link w:val="5"/>
    <w:uiPriority w:val="9"/>
    <w:semiHidden/>
    <w:qFormat/>
    <w:rsid w:val="009E4790"/>
    <w:rPr>
      <w:rFonts w:cs="Times New Roman"/>
      <w:color w:val="0F4761"/>
      <w:sz w:val="24"/>
    </w:rPr>
  </w:style>
  <w:style w:type="character" w:customStyle="1" w:styleId="60">
    <w:name w:val="标题 6 字符"/>
    <w:basedOn w:val="a0"/>
    <w:link w:val="6"/>
    <w:uiPriority w:val="9"/>
    <w:semiHidden/>
    <w:qFormat/>
    <w:rsid w:val="00CD420B"/>
    <w:rPr>
      <w:rFonts w:cs="Times New Roman"/>
      <w:b/>
      <w:bCs/>
      <w:color w:val="0F4761"/>
    </w:rPr>
  </w:style>
  <w:style w:type="character" w:customStyle="1" w:styleId="70">
    <w:name w:val="标题 7 字符"/>
    <w:basedOn w:val="a0"/>
    <w:link w:val="7"/>
    <w:uiPriority w:val="9"/>
    <w:semiHidden/>
    <w:qFormat/>
    <w:rsid w:val="009E4790"/>
    <w:rPr>
      <w:rFonts w:cs="Times New Roman"/>
      <w:b/>
      <w:bCs/>
      <w:color w:val="595959"/>
    </w:rPr>
  </w:style>
  <w:style w:type="character" w:customStyle="1" w:styleId="80">
    <w:name w:val="标题 8 字符"/>
    <w:basedOn w:val="a0"/>
    <w:link w:val="8"/>
    <w:uiPriority w:val="9"/>
    <w:semiHidden/>
    <w:qFormat/>
    <w:rsid w:val="009E4790"/>
    <w:rPr>
      <w:rFonts w:cs="Times New Roman"/>
      <w:color w:val="595959"/>
    </w:rPr>
  </w:style>
  <w:style w:type="character" w:customStyle="1" w:styleId="90">
    <w:name w:val="标题 9 字符"/>
    <w:basedOn w:val="a0"/>
    <w:link w:val="9"/>
    <w:uiPriority w:val="9"/>
    <w:semiHidden/>
    <w:qFormat/>
    <w:rsid w:val="009E4790"/>
    <w:rPr>
      <w:rFonts w:eastAsia="等线 Light" w:cs="Times New Roman"/>
      <w:color w:val="595959"/>
    </w:rPr>
  </w:style>
  <w:style w:type="character" w:customStyle="1" w:styleId="af4">
    <w:name w:val="副标题 字符"/>
    <w:basedOn w:val="a0"/>
    <w:link w:val="af5"/>
    <w:uiPriority w:val="11"/>
    <w:qFormat/>
    <w:rsid w:val="009E4790"/>
    <w:rPr>
      <w:rFonts w:ascii="等线 Light" w:eastAsia="等线 Light" w:hAnsi="等线 Light" w:cs="Times New Roman"/>
      <w:color w:val="595959"/>
      <w:spacing w:val="15"/>
      <w:sz w:val="28"/>
      <w:szCs w:val="28"/>
    </w:rPr>
  </w:style>
  <w:style w:type="character" w:customStyle="1" w:styleId="af6">
    <w:name w:val="引用 字符"/>
    <w:basedOn w:val="a0"/>
    <w:link w:val="af7"/>
    <w:uiPriority w:val="29"/>
    <w:qFormat/>
    <w:rsid w:val="009E4790"/>
    <w:rPr>
      <w:i/>
      <w:iCs/>
      <w:color w:val="404040"/>
    </w:rPr>
  </w:style>
  <w:style w:type="character" w:customStyle="1" w:styleId="11">
    <w:name w:val="明显强调1"/>
    <w:basedOn w:val="a0"/>
    <w:uiPriority w:val="21"/>
    <w:qFormat/>
    <w:rsid w:val="009E4790"/>
    <w:rPr>
      <w:i/>
      <w:iCs/>
      <w:color w:val="0F4761"/>
    </w:rPr>
  </w:style>
  <w:style w:type="character" w:customStyle="1" w:styleId="af8">
    <w:name w:val="明显引用 字符"/>
    <w:basedOn w:val="a0"/>
    <w:link w:val="af9"/>
    <w:uiPriority w:val="30"/>
    <w:qFormat/>
    <w:rsid w:val="009E4790"/>
    <w:rPr>
      <w:i/>
      <w:iCs/>
      <w:color w:val="0F4761"/>
    </w:rPr>
  </w:style>
  <w:style w:type="character" w:customStyle="1" w:styleId="12">
    <w:name w:val="明显参考1"/>
    <w:basedOn w:val="a0"/>
    <w:uiPriority w:val="32"/>
    <w:qFormat/>
    <w:rsid w:val="009E4790"/>
    <w:rPr>
      <w:b/>
      <w:bCs/>
      <w:smallCaps/>
      <w:color w:val="0F4761"/>
      <w:spacing w:val="5"/>
    </w:rPr>
  </w:style>
  <w:style w:type="character" w:customStyle="1" w:styleId="TableNameChar">
    <w:name w:val="TableName Char"/>
    <w:basedOn w:val="a0"/>
    <w:link w:val="TableName"/>
    <w:qFormat/>
    <w:rsid w:val="003E1D72"/>
    <w:rPr>
      <w:rFonts w:ascii="Times New Roman" w:eastAsia="Times New Roman" w:hAnsi="Times New Roman" w:cstheme="majorBidi"/>
      <w:sz w:val="20"/>
      <w:szCs w:val="20"/>
    </w:rPr>
  </w:style>
  <w:style w:type="character" w:customStyle="1" w:styleId="51">
    <w:name w:val="标题 5 字符1"/>
    <w:basedOn w:val="a0"/>
    <w:uiPriority w:val="9"/>
    <w:semiHidden/>
    <w:qFormat/>
    <w:rsid w:val="009E4790"/>
    <w:rPr>
      <w:rFonts w:ascii="Times New Roman" w:eastAsia="Times New Roman" w:hAnsi="Times New Roman"/>
      <w:b/>
      <w:bCs/>
      <w:sz w:val="28"/>
      <w:szCs w:val="28"/>
    </w:rPr>
  </w:style>
  <w:style w:type="character" w:customStyle="1" w:styleId="61">
    <w:name w:val="标题 6 字符1"/>
    <w:basedOn w:val="a0"/>
    <w:uiPriority w:val="9"/>
    <w:semiHidden/>
    <w:qFormat/>
    <w:rsid w:val="009E4790"/>
    <w:rPr>
      <w:rFonts w:asciiTheme="majorHAnsi" w:eastAsiaTheme="majorEastAsia" w:hAnsiTheme="majorHAnsi" w:cstheme="majorBidi"/>
      <w:b/>
      <w:bCs/>
      <w:sz w:val="24"/>
      <w:szCs w:val="24"/>
    </w:rPr>
  </w:style>
  <w:style w:type="character" w:customStyle="1" w:styleId="71">
    <w:name w:val="标题 7 字符1"/>
    <w:basedOn w:val="a0"/>
    <w:uiPriority w:val="9"/>
    <w:semiHidden/>
    <w:qFormat/>
    <w:rsid w:val="009E4790"/>
    <w:rPr>
      <w:rFonts w:ascii="Times New Roman" w:eastAsia="Times New Roman" w:hAnsi="Times New Roman"/>
      <w:b/>
      <w:bCs/>
      <w:sz w:val="24"/>
      <w:szCs w:val="24"/>
    </w:rPr>
  </w:style>
  <w:style w:type="character" w:customStyle="1" w:styleId="81">
    <w:name w:val="标题 8 字符1"/>
    <w:basedOn w:val="a0"/>
    <w:uiPriority w:val="9"/>
    <w:semiHidden/>
    <w:qFormat/>
    <w:rsid w:val="009E4790"/>
    <w:rPr>
      <w:rFonts w:asciiTheme="majorHAnsi" w:eastAsiaTheme="majorEastAsia" w:hAnsiTheme="majorHAnsi" w:cstheme="majorBidi"/>
      <w:sz w:val="24"/>
      <w:szCs w:val="24"/>
    </w:rPr>
  </w:style>
  <w:style w:type="character" w:customStyle="1" w:styleId="91">
    <w:name w:val="标题 9 字符1"/>
    <w:basedOn w:val="a0"/>
    <w:uiPriority w:val="9"/>
    <w:semiHidden/>
    <w:qFormat/>
    <w:rsid w:val="009E4790"/>
    <w:rPr>
      <w:rFonts w:asciiTheme="majorHAnsi" w:eastAsiaTheme="majorEastAsia" w:hAnsiTheme="majorHAnsi" w:cstheme="majorBidi"/>
      <w:szCs w:val="21"/>
    </w:rPr>
  </w:style>
  <w:style w:type="character" w:customStyle="1" w:styleId="13">
    <w:name w:val="副标题 字符1"/>
    <w:basedOn w:val="a0"/>
    <w:uiPriority w:val="11"/>
    <w:qFormat/>
    <w:rsid w:val="009E4790"/>
    <w:rPr>
      <w:b/>
      <w:bCs/>
      <w:kern w:val="2"/>
      <w:sz w:val="32"/>
      <w:szCs w:val="32"/>
    </w:rPr>
  </w:style>
  <w:style w:type="character" w:customStyle="1" w:styleId="14">
    <w:name w:val="引用 字符1"/>
    <w:basedOn w:val="a0"/>
    <w:uiPriority w:val="29"/>
    <w:qFormat/>
    <w:rsid w:val="009E4790"/>
    <w:rPr>
      <w:rFonts w:ascii="Times New Roman" w:eastAsia="Times New Roman" w:hAnsi="Times New Roman"/>
      <w:i/>
      <w:iCs/>
      <w:color w:val="404040" w:themeColor="text1" w:themeTint="BF"/>
    </w:rPr>
  </w:style>
  <w:style w:type="character" w:styleId="afa">
    <w:name w:val="Intense Emphasis"/>
    <w:basedOn w:val="a0"/>
    <w:uiPriority w:val="21"/>
    <w:qFormat/>
    <w:rsid w:val="009E4790"/>
    <w:rPr>
      <w:i/>
      <w:iCs/>
      <w:color w:val="4472C4" w:themeColor="accent1"/>
    </w:rPr>
  </w:style>
  <w:style w:type="character" w:customStyle="1" w:styleId="15">
    <w:name w:val="明显引用 字符1"/>
    <w:basedOn w:val="a0"/>
    <w:uiPriority w:val="30"/>
    <w:qFormat/>
    <w:rsid w:val="009E4790"/>
    <w:rPr>
      <w:rFonts w:ascii="Times New Roman" w:eastAsia="Times New Roman" w:hAnsi="Times New Roman"/>
      <w:i/>
      <w:iCs/>
      <w:color w:val="4472C4" w:themeColor="accent1"/>
    </w:rPr>
  </w:style>
  <w:style w:type="character" w:styleId="afb">
    <w:name w:val="Intense Reference"/>
    <w:basedOn w:val="a0"/>
    <w:uiPriority w:val="32"/>
    <w:qFormat/>
    <w:rsid w:val="009E4790"/>
    <w:rPr>
      <w:b/>
      <w:bCs/>
      <w:smallCaps/>
      <w:color w:val="4472C4" w:themeColor="accent1"/>
      <w:spacing w:val="5"/>
    </w:rPr>
  </w:style>
  <w:style w:type="character" w:customStyle="1" w:styleId="FormulaChar">
    <w:name w:val="Formula Char"/>
    <w:basedOn w:val="a0"/>
    <w:link w:val="Formula"/>
    <w:qFormat/>
    <w:rsid w:val="008A1BF7"/>
    <w:rPr>
      <w:rFonts w:ascii="Times New Roman" w:hAnsi="Times New Roman" w:cs="Arial (Body CS)"/>
      <w:sz w:val="24"/>
    </w:rPr>
  </w:style>
  <w:style w:type="paragraph" w:customStyle="1" w:styleId="Heading">
    <w:name w:val="Heading"/>
    <w:basedOn w:val="a"/>
    <w:next w:val="afc"/>
    <w:qFormat/>
    <w:pPr>
      <w:keepNext/>
      <w:spacing w:before="240" w:after="120"/>
    </w:pPr>
    <w:rPr>
      <w:rFonts w:ascii="Liberation Sans" w:eastAsia="DejaVu Sans" w:hAnsi="Liberation Sans" w:cs="DejaVu Sans"/>
      <w:sz w:val="28"/>
      <w:szCs w:val="28"/>
    </w:rPr>
  </w:style>
  <w:style w:type="paragraph" w:styleId="afc">
    <w:name w:val="Body Text"/>
    <w:basedOn w:val="a"/>
    <w:pPr>
      <w:spacing w:after="140" w:line="276" w:lineRule="auto"/>
    </w:pPr>
  </w:style>
  <w:style w:type="paragraph" w:styleId="afd">
    <w:name w:val="List"/>
    <w:basedOn w:val="afc"/>
  </w:style>
  <w:style w:type="paragraph" w:styleId="afe">
    <w:name w:val="caption"/>
    <w:basedOn w:val="a"/>
    <w:next w:val="a"/>
    <w:uiPriority w:val="35"/>
    <w:unhideWhenUsed/>
    <w:qFormat/>
    <w:rsid w:val="005F3960"/>
    <w:pPr>
      <w:ind w:firstLineChars="0" w:firstLine="0"/>
      <w:outlineLvl w:val="0"/>
    </w:pPr>
    <w:rPr>
      <w:rFonts w:cstheme="majorBidi"/>
      <w:sz w:val="20"/>
      <w:szCs w:val="20"/>
    </w:rPr>
  </w:style>
  <w:style w:type="paragraph" w:customStyle="1" w:styleId="Index">
    <w:name w:val="Index"/>
    <w:basedOn w:val="a"/>
    <w:qFormat/>
    <w:pPr>
      <w:suppressLineNumbers/>
    </w:pPr>
  </w:style>
  <w:style w:type="paragraph" w:styleId="a4">
    <w:name w:val="Title"/>
    <w:basedOn w:val="a"/>
    <w:next w:val="a"/>
    <w:link w:val="a3"/>
    <w:uiPriority w:val="10"/>
    <w:qFormat/>
    <w:rsid w:val="00337962"/>
    <w:pPr>
      <w:spacing w:before="240" w:after="60"/>
      <w:jc w:val="center"/>
      <w:outlineLvl w:val="0"/>
    </w:pPr>
    <w:rPr>
      <w:rFonts w:cstheme="majorBidi"/>
      <w:b/>
      <w:bCs/>
      <w:sz w:val="28"/>
      <w:szCs w:val="32"/>
    </w:rPr>
  </w:style>
  <w:style w:type="paragraph" w:styleId="aff">
    <w:name w:val="List Paragraph"/>
    <w:basedOn w:val="a"/>
    <w:uiPriority w:val="34"/>
    <w:qFormat/>
    <w:rsid w:val="00337962"/>
  </w:style>
  <w:style w:type="paragraph" w:customStyle="1" w:styleId="HeaderandFooter">
    <w:name w:val="Header and Footer"/>
    <w:basedOn w:val="a"/>
    <w:qFormat/>
  </w:style>
  <w:style w:type="paragraph" w:styleId="a6">
    <w:name w:val="header"/>
    <w:basedOn w:val="a"/>
    <w:link w:val="a5"/>
    <w:uiPriority w:val="99"/>
    <w:unhideWhenUsed/>
    <w:rsid w:val="004429CB"/>
    <w:pPr>
      <w:tabs>
        <w:tab w:val="center" w:pos="4153"/>
        <w:tab w:val="right" w:pos="8306"/>
      </w:tabs>
      <w:snapToGrid w:val="0"/>
      <w:jc w:val="center"/>
    </w:pPr>
    <w:rPr>
      <w:sz w:val="18"/>
      <w:szCs w:val="18"/>
    </w:rPr>
  </w:style>
  <w:style w:type="paragraph" w:styleId="a8">
    <w:name w:val="footer"/>
    <w:basedOn w:val="a"/>
    <w:link w:val="a7"/>
    <w:uiPriority w:val="99"/>
    <w:unhideWhenUsed/>
    <w:rsid w:val="004429CB"/>
    <w:pPr>
      <w:tabs>
        <w:tab w:val="center" w:pos="4153"/>
        <w:tab w:val="right" w:pos="8306"/>
      </w:tabs>
      <w:snapToGrid w:val="0"/>
      <w:jc w:val="left"/>
    </w:pPr>
    <w:rPr>
      <w:sz w:val="18"/>
      <w:szCs w:val="18"/>
    </w:rPr>
  </w:style>
  <w:style w:type="paragraph" w:styleId="ab">
    <w:name w:val="annotation text"/>
    <w:basedOn w:val="a"/>
    <w:link w:val="aa"/>
    <w:uiPriority w:val="99"/>
    <w:unhideWhenUsed/>
    <w:rsid w:val="00E31D64"/>
    <w:pPr>
      <w:jc w:val="left"/>
    </w:pPr>
  </w:style>
  <w:style w:type="paragraph" w:styleId="ad">
    <w:name w:val="annotation subject"/>
    <w:basedOn w:val="ab"/>
    <w:next w:val="ab"/>
    <w:link w:val="ac"/>
    <w:uiPriority w:val="99"/>
    <w:semiHidden/>
    <w:unhideWhenUsed/>
    <w:qFormat/>
    <w:rsid w:val="00E31D64"/>
    <w:rPr>
      <w:b/>
      <w:bCs/>
    </w:rPr>
  </w:style>
  <w:style w:type="paragraph" w:styleId="aff0">
    <w:name w:val="Revision"/>
    <w:uiPriority w:val="99"/>
    <w:semiHidden/>
    <w:qFormat/>
    <w:rsid w:val="003323F9"/>
    <w:rPr>
      <w:rFonts w:ascii="Times New Roman" w:eastAsia="Times New Roman" w:hAnsi="Times New Roman"/>
    </w:rPr>
  </w:style>
  <w:style w:type="paragraph" w:customStyle="1" w:styleId="Equation">
    <w:name w:val="Equation"/>
    <w:basedOn w:val="a"/>
    <w:link w:val="EquationChar"/>
    <w:qFormat/>
    <w:rsid w:val="000A4FCA"/>
    <w:pPr>
      <w:tabs>
        <w:tab w:val="left" w:pos="4200"/>
        <w:tab w:val="left" w:pos="8400"/>
      </w:tabs>
      <w:spacing w:before="65" w:after="72"/>
      <w:ind w:firstLineChars="0" w:firstLine="0"/>
      <w:textAlignment w:val="center"/>
    </w:pPr>
  </w:style>
  <w:style w:type="paragraph" w:customStyle="1" w:styleId="EndNoteBibliographyTitle">
    <w:name w:val="EndNote Bibliography Title"/>
    <w:basedOn w:val="a"/>
    <w:link w:val="EndNoteBibliographyTitleChar"/>
    <w:qFormat/>
    <w:rsid w:val="00A23958"/>
    <w:pPr>
      <w:jc w:val="center"/>
    </w:pPr>
    <w:rPr>
      <w:rFonts w:cs="Times New Roman"/>
      <w:sz w:val="20"/>
    </w:rPr>
  </w:style>
  <w:style w:type="paragraph" w:customStyle="1" w:styleId="EndNoteBibliography">
    <w:name w:val="EndNote Bibliography"/>
    <w:basedOn w:val="a"/>
    <w:link w:val="EndNoteBibliographyChar"/>
    <w:qFormat/>
    <w:rsid w:val="00A23958"/>
    <w:rPr>
      <w:rFonts w:cs="Times New Roman"/>
      <w:sz w:val="20"/>
    </w:rPr>
  </w:style>
  <w:style w:type="paragraph" w:styleId="aff1">
    <w:name w:val="No Spacing"/>
    <w:uiPriority w:val="1"/>
    <w:qFormat/>
    <w:rsid w:val="0073173C"/>
    <w:pPr>
      <w:widowControl w:val="0"/>
      <w:ind w:firstLineChars="200" w:firstLine="200"/>
      <w:jc w:val="both"/>
    </w:pPr>
    <w:rPr>
      <w:rFonts w:ascii="Times New Roman" w:eastAsia="Times New Roman" w:hAnsi="Times New Roman"/>
    </w:rPr>
  </w:style>
  <w:style w:type="paragraph" w:styleId="aff2">
    <w:name w:val="Normal (Web)"/>
    <w:basedOn w:val="a"/>
    <w:uiPriority w:val="99"/>
    <w:semiHidden/>
    <w:unhideWhenUsed/>
    <w:qFormat/>
    <w:rsid w:val="0038615E"/>
    <w:pPr>
      <w:widowControl/>
      <w:spacing w:beforeAutospacing="1" w:afterAutospacing="1"/>
      <w:ind w:firstLineChars="0" w:firstLine="0"/>
      <w:jc w:val="left"/>
    </w:pPr>
    <w:rPr>
      <w:rFonts w:ascii="宋体" w:eastAsia="宋体" w:hAnsi="宋体" w:cs="宋体"/>
      <w:kern w:val="0"/>
      <w:szCs w:val="24"/>
      <w14:ligatures w14:val="none"/>
    </w:rPr>
  </w:style>
  <w:style w:type="paragraph" w:customStyle="1" w:styleId="p1">
    <w:name w:val="p1"/>
    <w:basedOn w:val="a"/>
    <w:qFormat/>
    <w:rsid w:val="006233D7"/>
    <w:pPr>
      <w:widowControl/>
      <w:spacing w:beforeAutospacing="1" w:afterAutospacing="1"/>
      <w:ind w:firstLineChars="0" w:firstLine="0"/>
      <w:jc w:val="left"/>
    </w:pPr>
    <w:rPr>
      <w:rFonts w:ascii="宋体" w:eastAsia="宋体" w:hAnsi="宋体" w:cs="宋体"/>
      <w:kern w:val="0"/>
      <w:sz w:val="24"/>
      <w:szCs w:val="24"/>
      <w14:ligatures w14:val="none"/>
    </w:rPr>
  </w:style>
  <w:style w:type="paragraph" w:customStyle="1" w:styleId="p2">
    <w:name w:val="p2"/>
    <w:basedOn w:val="a"/>
    <w:qFormat/>
    <w:rsid w:val="006233D7"/>
    <w:pPr>
      <w:widowControl/>
      <w:spacing w:beforeAutospacing="1" w:afterAutospacing="1"/>
      <w:ind w:firstLineChars="0" w:firstLine="0"/>
      <w:jc w:val="left"/>
    </w:pPr>
    <w:rPr>
      <w:rFonts w:ascii="宋体" w:eastAsia="宋体" w:hAnsi="宋体" w:cs="宋体"/>
      <w:kern w:val="0"/>
      <w:sz w:val="24"/>
      <w:szCs w:val="24"/>
      <w14:ligatures w14:val="none"/>
    </w:rPr>
  </w:style>
  <w:style w:type="paragraph" w:customStyle="1" w:styleId="p3">
    <w:name w:val="p3"/>
    <w:basedOn w:val="a"/>
    <w:qFormat/>
    <w:rsid w:val="00BA0FBE"/>
    <w:pPr>
      <w:widowControl/>
      <w:spacing w:beforeAutospacing="1" w:afterAutospacing="1"/>
      <w:ind w:firstLineChars="0" w:firstLine="0"/>
      <w:jc w:val="left"/>
    </w:pPr>
    <w:rPr>
      <w:rFonts w:ascii="宋体" w:eastAsia="宋体" w:hAnsi="宋体" w:cs="宋体"/>
      <w:kern w:val="0"/>
      <w:sz w:val="24"/>
      <w:szCs w:val="24"/>
      <w14:ligatures w14:val="none"/>
    </w:rPr>
  </w:style>
  <w:style w:type="paragraph" w:customStyle="1" w:styleId="510">
    <w:name w:val="标题 51"/>
    <w:basedOn w:val="a"/>
    <w:next w:val="a"/>
    <w:uiPriority w:val="9"/>
    <w:semiHidden/>
    <w:unhideWhenUsed/>
    <w:qFormat/>
    <w:rsid w:val="009E4790"/>
    <w:pPr>
      <w:keepNext/>
      <w:keepLines/>
      <w:spacing w:before="80" w:after="40"/>
      <w:outlineLvl w:val="4"/>
    </w:pPr>
    <w:rPr>
      <w:rFonts w:cs="Times New Roman"/>
      <w:color w:val="0F4761"/>
      <w:sz w:val="24"/>
    </w:rPr>
  </w:style>
  <w:style w:type="paragraph" w:customStyle="1" w:styleId="610">
    <w:name w:val="标题 61"/>
    <w:basedOn w:val="a"/>
    <w:next w:val="a"/>
    <w:uiPriority w:val="9"/>
    <w:semiHidden/>
    <w:unhideWhenUsed/>
    <w:qFormat/>
    <w:rsid w:val="009E4790"/>
    <w:pPr>
      <w:keepNext/>
      <w:keepLines/>
      <w:spacing w:before="40"/>
      <w:outlineLvl w:val="5"/>
    </w:pPr>
    <w:rPr>
      <w:rFonts w:cs="Times New Roman"/>
      <w:b/>
      <w:bCs/>
      <w:color w:val="0F4761"/>
      <w:sz w:val="24"/>
    </w:rPr>
  </w:style>
  <w:style w:type="paragraph" w:customStyle="1" w:styleId="710">
    <w:name w:val="标题 71"/>
    <w:basedOn w:val="a"/>
    <w:next w:val="a"/>
    <w:uiPriority w:val="9"/>
    <w:semiHidden/>
    <w:unhideWhenUsed/>
    <w:qFormat/>
    <w:rsid w:val="009E4790"/>
    <w:pPr>
      <w:keepNext/>
      <w:keepLines/>
      <w:spacing w:before="40"/>
      <w:outlineLvl w:val="6"/>
    </w:pPr>
    <w:rPr>
      <w:rFonts w:cs="Times New Roman"/>
      <w:b/>
      <w:bCs/>
      <w:color w:val="595959"/>
      <w:sz w:val="24"/>
    </w:rPr>
  </w:style>
  <w:style w:type="paragraph" w:customStyle="1" w:styleId="810">
    <w:name w:val="标题 81"/>
    <w:basedOn w:val="a"/>
    <w:next w:val="a"/>
    <w:uiPriority w:val="9"/>
    <w:semiHidden/>
    <w:unhideWhenUsed/>
    <w:qFormat/>
    <w:rsid w:val="009E4790"/>
    <w:pPr>
      <w:keepNext/>
      <w:keepLines/>
      <w:outlineLvl w:val="7"/>
    </w:pPr>
    <w:rPr>
      <w:rFonts w:cs="Times New Roman"/>
      <w:color w:val="595959"/>
      <w:sz w:val="24"/>
    </w:rPr>
  </w:style>
  <w:style w:type="paragraph" w:customStyle="1" w:styleId="910">
    <w:name w:val="标题 91"/>
    <w:basedOn w:val="a"/>
    <w:next w:val="a"/>
    <w:uiPriority w:val="9"/>
    <w:semiHidden/>
    <w:unhideWhenUsed/>
    <w:qFormat/>
    <w:rsid w:val="009E4790"/>
    <w:pPr>
      <w:keepNext/>
      <w:keepLines/>
      <w:outlineLvl w:val="8"/>
    </w:pPr>
    <w:rPr>
      <w:rFonts w:eastAsia="等线 Light" w:cs="Times New Roman"/>
      <w:color w:val="595959"/>
      <w:sz w:val="24"/>
    </w:rPr>
  </w:style>
  <w:style w:type="paragraph" w:customStyle="1" w:styleId="16">
    <w:name w:val="副标题1"/>
    <w:basedOn w:val="a"/>
    <w:next w:val="a"/>
    <w:uiPriority w:val="11"/>
    <w:qFormat/>
    <w:rsid w:val="009E4790"/>
    <w:pPr>
      <w:jc w:val="center"/>
    </w:pPr>
    <w:rPr>
      <w:rFonts w:ascii="等线 Light" w:eastAsia="等线 Light" w:hAnsi="等线 Light" w:cs="Times New Roman"/>
      <w:color w:val="595959"/>
      <w:spacing w:val="15"/>
      <w:sz w:val="28"/>
      <w:szCs w:val="28"/>
    </w:rPr>
  </w:style>
  <w:style w:type="paragraph" w:customStyle="1" w:styleId="17">
    <w:name w:val="引用1"/>
    <w:basedOn w:val="a"/>
    <w:next w:val="a"/>
    <w:uiPriority w:val="29"/>
    <w:qFormat/>
    <w:rsid w:val="009E4790"/>
    <w:pPr>
      <w:spacing w:before="160"/>
      <w:jc w:val="center"/>
    </w:pPr>
    <w:rPr>
      <w:i/>
      <w:iCs/>
      <w:color w:val="404040"/>
      <w:sz w:val="24"/>
    </w:rPr>
  </w:style>
  <w:style w:type="paragraph" w:customStyle="1" w:styleId="18">
    <w:name w:val="明显引用1"/>
    <w:basedOn w:val="a"/>
    <w:next w:val="a"/>
    <w:uiPriority w:val="30"/>
    <w:qFormat/>
    <w:rsid w:val="009E4790"/>
    <w:pPr>
      <w:pBdr>
        <w:top w:val="single" w:sz="4" w:space="10" w:color="0F4761"/>
        <w:bottom w:val="single" w:sz="4" w:space="10" w:color="0F4761"/>
      </w:pBdr>
      <w:spacing w:before="360" w:after="360"/>
      <w:ind w:left="864" w:right="864"/>
      <w:jc w:val="center"/>
    </w:pPr>
    <w:rPr>
      <w:i/>
      <w:iCs/>
      <w:color w:val="0F4761"/>
      <w:sz w:val="24"/>
    </w:rPr>
  </w:style>
  <w:style w:type="paragraph" w:customStyle="1" w:styleId="TableName">
    <w:name w:val="TableName"/>
    <w:basedOn w:val="afe"/>
    <w:link w:val="TableNameChar"/>
    <w:qFormat/>
    <w:rsid w:val="003E1D72"/>
  </w:style>
  <w:style w:type="paragraph" w:styleId="af5">
    <w:name w:val="Subtitle"/>
    <w:basedOn w:val="a"/>
    <w:next w:val="a"/>
    <w:link w:val="af4"/>
    <w:uiPriority w:val="11"/>
    <w:qFormat/>
    <w:rsid w:val="009E4790"/>
    <w:pPr>
      <w:spacing w:before="240" w:after="60" w:line="312" w:lineRule="auto"/>
      <w:jc w:val="center"/>
      <w:outlineLvl w:val="1"/>
    </w:pPr>
    <w:rPr>
      <w:rFonts w:ascii="等线 Light" w:eastAsia="等线 Light" w:hAnsi="等线 Light" w:cs="Times New Roman"/>
      <w:color w:val="595959"/>
      <w:spacing w:val="15"/>
      <w:sz w:val="28"/>
      <w:szCs w:val="28"/>
    </w:rPr>
  </w:style>
  <w:style w:type="paragraph" w:styleId="af7">
    <w:name w:val="Quote"/>
    <w:basedOn w:val="a"/>
    <w:next w:val="a"/>
    <w:link w:val="af6"/>
    <w:uiPriority w:val="29"/>
    <w:qFormat/>
    <w:rsid w:val="009E4790"/>
    <w:pPr>
      <w:spacing w:before="200" w:after="160"/>
      <w:ind w:left="864" w:right="864"/>
      <w:jc w:val="center"/>
    </w:pPr>
    <w:rPr>
      <w:rFonts w:asciiTheme="minorHAnsi" w:eastAsiaTheme="minorEastAsia" w:hAnsiTheme="minorHAnsi"/>
      <w:i/>
      <w:iCs/>
      <w:color w:val="404040"/>
    </w:rPr>
  </w:style>
  <w:style w:type="paragraph" w:styleId="af9">
    <w:name w:val="Intense Quote"/>
    <w:basedOn w:val="a"/>
    <w:next w:val="a"/>
    <w:link w:val="af8"/>
    <w:uiPriority w:val="30"/>
    <w:qFormat/>
    <w:rsid w:val="009E4790"/>
    <w:pPr>
      <w:pBdr>
        <w:top w:val="single" w:sz="4" w:space="10" w:color="4472C4" w:themeColor="accent1"/>
        <w:bottom w:val="single" w:sz="4" w:space="10" w:color="4472C4" w:themeColor="accent1"/>
      </w:pBdr>
      <w:spacing w:before="360" w:after="360"/>
      <w:ind w:left="864" w:right="864"/>
      <w:jc w:val="center"/>
    </w:pPr>
    <w:rPr>
      <w:rFonts w:asciiTheme="minorHAnsi" w:eastAsiaTheme="minorEastAsia" w:hAnsiTheme="minorHAnsi"/>
      <w:i/>
      <w:iCs/>
      <w:color w:val="0F4761"/>
    </w:rPr>
  </w:style>
  <w:style w:type="paragraph" w:customStyle="1" w:styleId="Formula">
    <w:name w:val="Formula"/>
    <w:basedOn w:val="a"/>
    <w:link w:val="FormulaChar"/>
    <w:qFormat/>
    <w:rsid w:val="008A1BF7"/>
    <w:pPr>
      <w:spacing w:line="360" w:lineRule="auto"/>
    </w:pPr>
    <w:rPr>
      <w:rFonts w:eastAsiaTheme="minorEastAsia" w:cs="Arial (Body CS)"/>
      <w:sz w:val="24"/>
    </w:rPr>
  </w:style>
  <w:style w:type="numbering" w:customStyle="1" w:styleId="19">
    <w:name w:val="无列表1"/>
    <w:uiPriority w:val="99"/>
    <w:semiHidden/>
    <w:unhideWhenUsed/>
    <w:qFormat/>
    <w:rsid w:val="009E4790"/>
  </w:style>
  <w:style w:type="table" w:styleId="aff3">
    <w:name w:val="Table Grid"/>
    <w:basedOn w:val="a1"/>
    <w:uiPriority w:val="39"/>
    <w:rsid w:val="00EC2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uiPriority w:val="39"/>
    <w:rsid w:val="009E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网格型1"/>
    <w:basedOn w:val="a1"/>
    <w:uiPriority w:val="39"/>
    <w:rsid w:val="009E4790"/>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16/j.ecolmodel.2024.110852" TargetMode="External"/><Relationship Id="rId18" Type="http://schemas.openxmlformats.org/officeDocument/2006/relationships/hyperlink" Target="https://doi.org/10.1088/1748-9326/ad6f2d" TargetMode="External"/><Relationship Id="rId26" Type="http://schemas.openxmlformats.org/officeDocument/2006/relationships/hyperlink" Target="https://esoil.io/TERNLandscapes/Public/Pages/SLGA/index.html" TargetMode="External"/><Relationship Id="rId39" Type="http://schemas.openxmlformats.org/officeDocument/2006/relationships/hyperlink" Target="https://www.dcceew.gov.au/climate-change/emissions-reduction/net-zero" TargetMode="External"/><Relationship Id="rId21" Type="http://schemas.openxmlformats.org/officeDocument/2006/relationships/hyperlink" Target="https://doi.org/10.1016/j.jhydrol.2017.11.048" TargetMode="External"/><Relationship Id="rId34" Type="http://schemas.openxmlformats.org/officeDocument/2006/relationships/hyperlink" Target="https://www.beefcentral.com/news/wagyu-feeder-steer-prices-stable-but-premium-over-angus-under-pressure/" TargetMode="External"/><Relationship Id="rId42" Type="http://schemas.openxmlformats.org/officeDocument/2006/relationships/hyperlink" Target="https://doi.org/10.1071/rj24028" TargetMode="External"/><Relationship Id="rId47" Type="http://schemas.openxmlformats.org/officeDocument/2006/relationships/hyperlink" Target="https://www.countryman.com.au/countryman/opinion/a-reality-check-on-seaweed-as-a-feedstock-for-cows-c-5238740" TargetMode="External"/><Relationship Id="rId50" Type="http://schemas.openxmlformats.org/officeDocument/2006/relationships/hyperlink" Target="https://doi.org/10.1016/j.jenvman.2021.112409" TargetMode="External"/><Relationship Id="rId55" Type="http://schemas.openxmlformats.org/officeDocument/2006/relationships/hyperlink" Target="https://doi.org/https://doi.org/10.1016/j.jes.2023.04.008"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111/rec.70026" TargetMode="External"/><Relationship Id="rId29" Type="http://schemas.openxmlformats.org/officeDocument/2006/relationships/hyperlink" Target="https://www.ecospecifier.com.au/farm-fencing/" TargetMode="External"/><Relationship Id="rId11" Type="http://schemas.openxmlformats.org/officeDocument/2006/relationships/image" Target="media/image1.png"/><Relationship Id="rId24" Type="http://schemas.openxmlformats.org/officeDocument/2006/relationships/hyperlink" Target="https://doi.org/10.1038/s41597-020-0453-3" TargetMode="External"/><Relationship Id="rId32" Type="http://schemas.openxmlformats.org/officeDocument/2006/relationships/hyperlink" Target="https://www.feedlots.com.au/resources/figures" TargetMode="External"/><Relationship Id="rId37" Type="http://schemas.openxmlformats.org/officeDocument/2006/relationships/hyperlink" Target="https://doi.org/10.1016/j.csda.2010.08.006" TargetMode="External"/><Relationship Id="rId40" Type="http://schemas.openxmlformats.org/officeDocument/2006/relationships/hyperlink" Target="https://doi.org/10.1016/j.agee.2020.106891" TargetMode="External"/><Relationship Id="rId45" Type="http://schemas.openxmlformats.org/officeDocument/2006/relationships/hyperlink" Target="https://doi.org/10.1073/pnas.2022666118" TargetMode="External"/><Relationship Id="rId53" Type="http://schemas.openxmlformats.org/officeDocument/2006/relationships/hyperlink" Target="https://doi.org/10.3389/fsufs.2024.1480991" TargetMode="External"/><Relationship Id="rId58"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eader" Target="header3.xml"/><Relationship Id="rId19" Type="http://schemas.openxmlformats.org/officeDocument/2006/relationships/hyperlink" Target="https://gaez.fao.org/" TargetMode="External"/><Relationship Id="rId14" Type="http://schemas.openxmlformats.org/officeDocument/2006/relationships/hyperlink" Target="https://doi.org/10.1038/s41893-024-01433-4" TargetMode="External"/><Relationship Id="rId22" Type="http://schemas.openxmlformats.org/officeDocument/2006/relationships/hyperlink" Target="https://doi.org/10.1029/2023wr034509" TargetMode="External"/><Relationship Id="rId27" Type="http://schemas.openxmlformats.org/officeDocument/2006/relationships/hyperlink" Target="https://www.abs.gov.au/AUSSTATS/abs@.nsf/Lookup/4618.0Main+Features12009-10?OpenDocument" TargetMode="External"/><Relationship Id="rId30" Type="http://schemas.openxmlformats.org/officeDocument/2006/relationships/hyperlink" Target="https://doi.org/https://doi.org/10.1016/j.landusepol.2014.12.002" TargetMode="External"/><Relationship Id="rId35" Type="http://schemas.openxmlformats.org/officeDocument/2006/relationships/hyperlink" Target="https://www.beefcentral.com/news/killara-feedlot-manager-delivers-sobering-assessment-about-feeder-prices-heading-into-2023/" TargetMode="External"/><Relationship Id="rId43" Type="http://schemas.openxmlformats.org/officeDocument/2006/relationships/hyperlink" Target="https://doi.org/10.9734/ajrcos/2024/v17i10512" TargetMode="External"/><Relationship Id="rId48" Type="http://schemas.openxmlformats.org/officeDocument/2006/relationships/hyperlink" Target="https://doi.org/10.1007/s42773-025-00450-6" TargetMode="External"/><Relationship Id="rId56" Type="http://schemas.openxmlformats.org/officeDocument/2006/relationships/hyperlink" Target="https://doi.org/10.7717/peerj.13750"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doi.org/10.1111/gcb.13020" TargetMode="External"/><Relationship Id="rId3" Type="http://schemas.openxmlformats.org/officeDocument/2006/relationships/customXml" Target="../customXml/item3.xml"/><Relationship Id="rId12" Type="http://schemas.openxmlformats.org/officeDocument/2006/relationships/hyperlink" Target="https://www.dcceew.gov.au/climate-change/publications/full-carbon-accounting-model-fullcam" TargetMode="External"/><Relationship Id="rId17" Type="http://schemas.openxmlformats.org/officeDocument/2006/relationships/hyperlink" Target="https://doi.org/10.1016/j.jenvman.2021.112568" TargetMode="External"/><Relationship Id="rId25" Type="http://schemas.openxmlformats.org/officeDocument/2006/relationships/hyperlink" Target="https://doi.org/10.5194/hess-28-4349-2024" TargetMode="External"/><Relationship Id="rId33" Type="http://schemas.openxmlformats.org/officeDocument/2006/relationships/hyperlink" Target="https://www.beefcentral.com/news/segmented-days-on-feed-data-adds-value-to-quarterly-feedlot-industry-surveys/" TargetMode="External"/><Relationship Id="rId38" Type="http://schemas.openxmlformats.org/officeDocument/2006/relationships/hyperlink" Target="https://doi.org/10.1016/j.gloenvcha.2016.05.009" TargetMode="External"/><Relationship Id="rId46" Type="http://schemas.openxmlformats.org/officeDocument/2006/relationships/hyperlink" Target="https://doi.org/10.1371/journal.pone.0247820" TargetMode="External"/><Relationship Id="rId59" Type="http://schemas.openxmlformats.org/officeDocument/2006/relationships/footer" Target="footer1.xml"/><Relationship Id="rId20" Type="http://schemas.openxmlformats.org/officeDocument/2006/relationships/hyperlink" Target="https://doi.org/10.3390/f11121321" TargetMode="External"/><Relationship Id="rId41" Type="http://schemas.openxmlformats.org/officeDocument/2006/relationships/hyperlink" Target="https://doi.org/10.1038/s41467-022-31380-7" TargetMode="External"/><Relationship Id="rId54" Type="http://schemas.openxmlformats.org/officeDocument/2006/relationships/hyperlink" Target="https://doi.org/10.3390/c9030067"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1111/j.1442-8903.2010.00510.x" TargetMode="External"/><Relationship Id="rId23" Type="http://schemas.openxmlformats.org/officeDocument/2006/relationships/hyperlink" Target="https://doi.org/10.5194/gmd-9-1937-2016" TargetMode="External"/><Relationship Id="rId28" Type="http://schemas.openxmlformats.org/officeDocument/2006/relationships/hyperlink" Target="https://homeguide.com/costs/land-clearing-cost" TargetMode="External"/><Relationship Id="rId36" Type="http://schemas.openxmlformats.org/officeDocument/2006/relationships/hyperlink" Target="https://doi.org/10.18637/jss.v047.i01" TargetMode="External"/><Relationship Id="rId49" Type="http://schemas.openxmlformats.org/officeDocument/2006/relationships/hyperlink" Target="https://doi.org/10.1111/sum.12546"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www.agriculture.gov.au/abares/research-topics/productivity/agricultural-productivity-estimates" TargetMode="External"/><Relationship Id="rId44" Type="http://schemas.openxmlformats.org/officeDocument/2006/relationships/hyperlink" Target="https://doi.org/10.1080/14735903.2018.1448047" TargetMode="External"/><Relationship Id="rId52" Type="http://schemas.openxmlformats.org/officeDocument/2006/relationships/hyperlink" Target="https://doi.org/10.1071/an23111" TargetMode="External"/><Relationship Id="rId60"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majorFont>
      <a:minorFont>
        <a:latin typeface="等线"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88F1FE7B14DB43BD905993B81D241A" ma:contentTypeVersion="9" ma:contentTypeDescription="Create a new document." ma:contentTypeScope="" ma:versionID="f444c65d209553c5941a712a2be8de4e">
  <xsd:schema xmlns:xsd="http://www.w3.org/2001/XMLSchema" xmlns:xs="http://www.w3.org/2001/XMLSchema" xmlns:p="http://schemas.microsoft.com/office/2006/metadata/properties" xmlns:ns2="17f663c2-ca65-4b27-b1e3-0a32313355fb" targetNamespace="http://schemas.microsoft.com/office/2006/metadata/properties" ma:root="true" ma:fieldsID="5b7ff8d7e20a3bd31563ef70f7e36126" ns2:_="">
    <xsd:import namespace="17f663c2-ca65-4b27-b1e3-0a32313355f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BillingMetadata"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f663c2-ca65-4b27-b1e3-0a32313355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2DFA6-2BBE-449A-B643-14B167886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f663c2-ca65-4b27-b1e3-0a32313355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145253-8E9F-4DC4-BE37-5D3839FB7F0D}">
  <ds:schemaRefs>
    <ds:schemaRef ds:uri="http://schemas.microsoft.com/sharepoint/v3/contenttype/forms"/>
  </ds:schemaRefs>
</ds:datastoreItem>
</file>

<file path=customXml/itemProps3.xml><?xml version="1.0" encoding="utf-8"?>
<ds:datastoreItem xmlns:ds="http://schemas.openxmlformats.org/officeDocument/2006/customXml" ds:itemID="{1B4E69E9-96E5-4098-AD59-4C62312657D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419BDF2-C22C-41E5-9980-506CA5BDE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27</Pages>
  <Words>25204</Words>
  <Characters>143668</Characters>
  <Application>Microsoft Office Word</Application>
  <DocSecurity>0</DocSecurity>
  <Lines>1197</Lines>
  <Paragraphs>337</Paragraphs>
  <ScaleCrop>false</ScaleCrop>
  <Company/>
  <LinksUpToDate>false</LinksUpToDate>
  <CharactersWithSpaces>168535</CharactersWithSpaces>
  <SharedDoc>false</SharedDoc>
  <HLinks>
    <vt:vector size="612" baseType="variant">
      <vt:variant>
        <vt:i4>5177408</vt:i4>
      </vt:variant>
      <vt:variant>
        <vt:i4>768</vt:i4>
      </vt:variant>
      <vt:variant>
        <vt:i4>0</vt:i4>
      </vt:variant>
      <vt:variant>
        <vt:i4>5</vt:i4>
      </vt:variant>
      <vt:variant>
        <vt:lpwstr>https://doi.org/10.1111/sum.12546</vt:lpwstr>
      </vt:variant>
      <vt:variant>
        <vt:lpwstr/>
      </vt:variant>
      <vt:variant>
        <vt:i4>7864377</vt:i4>
      </vt:variant>
      <vt:variant>
        <vt:i4>765</vt:i4>
      </vt:variant>
      <vt:variant>
        <vt:i4>0</vt:i4>
      </vt:variant>
      <vt:variant>
        <vt:i4>5</vt:i4>
      </vt:variant>
      <vt:variant>
        <vt:lpwstr>https://doi.org/10.1071/an23111</vt:lpwstr>
      </vt:variant>
      <vt:variant>
        <vt:lpwstr/>
      </vt:variant>
      <vt:variant>
        <vt:i4>4587611</vt:i4>
      </vt:variant>
      <vt:variant>
        <vt:i4>762</vt:i4>
      </vt:variant>
      <vt:variant>
        <vt:i4>0</vt:i4>
      </vt:variant>
      <vt:variant>
        <vt:i4>5</vt:i4>
      </vt:variant>
      <vt:variant>
        <vt:lpwstr>https://www.countryman.com.au/countryman/opinion/a-reality-check-on-seaweed-as-a-feedstock-for-cows-c-5238740</vt:lpwstr>
      </vt:variant>
      <vt:variant>
        <vt:lpwstr/>
      </vt:variant>
      <vt:variant>
        <vt:i4>5701696</vt:i4>
      </vt:variant>
      <vt:variant>
        <vt:i4>759</vt:i4>
      </vt:variant>
      <vt:variant>
        <vt:i4>0</vt:i4>
      </vt:variant>
      <vt:variant>
        <vt:i4>5</vt:i4>
      </vt:variant>
      <vt:variant>
        <vt:lpwstr>https://doi.org/https://doi.org/10.1016/j.jes.2023.04.008</vt:lpwstr>
      </vt:variant>
      <vt:variant>
        <vt:lpwstr/>
      </vt:variant>
      <vt:variant>
        <vt:i4>917516</vt:i4>
      </vt:variant>
      <vt:variant>
        <vt:i4>756</vt:i4>
      </vt:variant>
      <vt:variant>
        <vt:i4>0</vt:i4>
      </vt:variant>
      <vt:variant>
        <vt:i4>5</vt:i4>
      </vt:variant>
      <vt:variant>
        <vt:lpwstr>https://esoil.io/TERNLandscapes/Public/Pages/SLGA/index.html</vt:lpwstr>
      </vt:variant>
      <vt:variant>
        <vt:lpwstr/>
      </vt:variant>
      <vt:variant>
        <vt:i4>4587531</vt:i4>
      </vt:variant>
      <vt:variant>
        <vt:i4>753</vt:i4>
      </vt:variant>
      <vt:variant>
        <vt:i4>0</vt:i4>
      </vt:variant>
      <vt:variant>
        <vt:i4>5</vt:i4>
      </vt:variant>
      <vt:variant>
        <vt:lpwstr>https://doi.org/https://doi.org/10.1016/j.landusepol.2014.12.002</vt:lpwstr>
      </vt:variant>
      <vt:variant>
        <vt:lpwstr/>
      </vt:variant>
      <vt:variant>
        <vt:i4>5636122</vt:i4>
      </vt:variant>
      <vt:variant>
        <vt:i4>750</vt:i4>
      </vt:variant>
      <vt:variant>
        <vt:i4>0</vt:i4>
      </vt:variant>
      <vt:variant>
        <vt:i4>5</vt:i4>
      </vt:variant>
      <vt:variant>
        <vt:lpwstr>https://doi.org/10.1088/1748-9326/ad6f2d</vt:lpwstr>
      </vt:variant>
      <vt:variant>
        <vt:lpwstr/>
      </vt:variant>
      <vt:variant>
        <vt:i4>2752554</vt:i4>
      </vt:variant>
      <vt:variant>
        <vt:i4>747</vt:i4>
      </vt:variant>
      <vt:variant>
        <vt:i4>0</vt:i4>
      </vt:variant>
      <vt:variant>
        <vt:i4>5</vt:i4>
      </vt:variant>
      <vt:variant>
        <vt:lpwstr>https://www.transparency.gov.au/publications/agriculture/rural-industries-research-and-development-corporation/rural-industries-research-and-development-corporation-annual-report-2018-19</vt:lpwstr>
      </vt:variant>
      <vt:variant>
        <vt:lpwstr/>
      </vt:variant>
      <vt:variant>
        <vt:i4>4194370</vt:i4>
      </vt:variant>
      <vt:variant>
        <vt:i4>744</vt:i4>
      </vt:variant>
      <vt:variant>
        <vt:i4>0</vt:i4>
      </vt:variant>
      <vt:variant>
        <vt:i4>5</vt:i4>
      </vt:variant>
      <vt:variant>
        <vt:lpwstr>https://doi.org/10.1371/journal.pone.0247820</vt:lpwstr>
      </vt:variant>
      <vt:variant>
        <vt:lpwstr/>
      </vt:variant>
      <vt:variant>
        <vt:i4>2949242</vt:i4>
      </vt:variant>
      <vt:variant>
        <vt:i4>741</vt:i4>
      </vt:variant>
      <vt:variant>
        <vt:i4>0</vt:i4>
      </vt:variant>
      <vt:variant>
        <vt:i4>5</vt:i4>
      </vt:variant>
      <vt:variant>
        <vt:lpwstr>https://doi.org/10.1016/j.gloenvcha.2016.05.009</vt:lpwstr>
      </vt:variant>
      <vt:variant>
        <vt:lpwstr/>
      </vt:variant>
      <vt:variant>
        <vt:i4>3997805</vt:i4>
      </vt:variant>
      <vt:variant>
        <vt:i4>738</vt:i4>
      </vt:variant>
      <vt:variant>
        <vt:i4>0</vt:i4>
      </vt:variant>
      <vt:variant>
        <vt:i4>5</vt:i4>
      </vt:variant>
      <vt:variant>
        <vt:lpwstr>https://www.aciar.gov.au/publication/raising-trees-and-livelihoods</vt:lpwstr>
      </vt:variant>
      <vt:variant>
        <vt:lpwstr/>
      </vt:variant>
      <vt:variant>
        <vt:i4>3670115</vt:i4>
      </vt:variant>
      <vt:variant>
        <vt:i4>735</vt:i4>
      </vt:variant>
      <vt:variant>
        <vt:i4>0</vt:i4>
      </vt:variant>
      <vt:variant>
        <vt:i4>5</vt:i4>
      </vt:variant>
      <vt:variant>
        <vt:lpwstr>https://doi.org/10.1073/pnas.2022666118</vt:lpwstr>
      </vt:variant>
      <vt:variant>
        <vt:lpwstr/>
      </vt:variant>
      <vt:variant>
        <vt:i4>4980751</vt:i4>
      </vt:variant>
      <vt:variant>
        <vt:i4>732</vt:i4>
      </vt:variant>
      <vt:variant>
        <vt:i4>0</vt:i4>
      </vt:variant>
      <vt:variant>
        <vt:i4>5</vt:i4>
      </vt:variant>
      <vt:variant>
        <vt:lpwstr>http://hdl.handle.net/102.100.100/609036?index=1</vt:lpwstr>
      </vt:variant>
      <vt:variant>
        <vt:lpwstr/>
      </vt:variant>
      <vt:variant>
        <vt:i4>196682</vt:i4>
      </vt:variant>
      <vt:variant>
        <vt:i4>729</vt:i4>
      </vt:variant>
      <vt:variant>
        <vt:i4>0</vt:i4>
      </vt:variant>
      <vt:variant>
        <vt:i4>5</vt:i4>
      </vt:variant>
      <vt:variant>
        <vt:lpwstr>https://doi.org/10.1080/14735903.2018.1448047</vt:lpwstr>
      </vt:variant>
      <vt:variant>
        <vt:lpwstr/>
      </vt:variant>
      <vt:variant>
        <vt:i4>4718669</vt:i4>
      </vt:variant>
      <vt:variant>
        <vt:i4>726</vt:i4>
      </vt:variant>
      <vt:variant>
        <vt:i4>0</vt:i4>
      </vt:variant>
      <vt:variant>
        <vt:i4>5</vt:i4>
      </vt:variant>
      <vt:variant>
        <vt:lpwstr>https://doi.org/10.18637/jss.v047.i01</vt:lpwstr>
      </vt:variant>
      <vt:variant>
        <vt:lpwstr/>
      </vt:variant>
      <vt:variant>
        <vt:i4>7864363</vt:i4>
      </vt:variant>
      <vt:variant>
        <vt:i4>723</vt:i4>
      </vt:variant>
      <vt:variant>
        <vt:i4>0</vt:i4>
      </vt:variant>
      <vt:variant>
        <vt:i4>5</vt:i4>
      </vt:variant>
      <vt:variant>
        <vt:lpwstr>https://doi.org/10.1071/RJ24024</vt:lpwstr>
      </vt:variant>
      <vt:variant>
        <vt:lpwstr/>
      </vt:variant>
      <vt:variant>
        <vt:i4>1376268</vt:i4>
      </vt:variant>
      <vt:variant>
        <vt:i4>720</vt:i4>
      </vt:variant>
      <vt:variant>
        <vt:i4>0</vt:i4>
      </vt:variant>
      <vt:variant>
        <vt:i4>5</vt:i4>
      </vt:variant>
      <vt:variant>
        <vt:lpwstr>https://doi.org/10.3390/c9030067</vt:lpwstr>
      </vt:variant>
      <vt:variant>
        <vt:lpwstr/>
      </vt:variant>
      <vt:variant>
        <vt:i4>7471221</vt:i4>
      </vt:variant>
      <vt:variant>
        <vt:i4>717</vt:i4>
      </vt:variant>
      <vt:variant>
        <vt:i4>0</vt:i4>
      </vt:variant>
      <vt:variant>
        <vt:i4>5</vt:i4>
      </vt:variant>
      <vt:variant>
        <vt:lpwstr>www.climateworksaustralia.org/project/land-use-futures</vt:lpwstr>
      </vt:variant>
      <vt:variant>
        <vt:lpwstr/>
      </vt:variant>
      <vt:variant>
        <vt:i4>2555939</vt:i4>
      </vt:variant>
      <vt:variant>
        <vt:i4>714</vt:i4>
      </vt:variant>
      <vt:variant>
        <vt:i4>0</vt:i4>
      </vt:variant>
      <vt:variant>
        <vt:i4>5</vt:i4>
      </vt:variant>
      <vt:variant>
        <vt:lpwstr>https://doi.org/10.3389/fsufs.2024.1480991</vt:lpwstr>
      </vt:variant>
      <vt:variant>
        <vt:lpwstr/>
      </vt:variant>
      <vt:variant>
        <vt:i4>1310795</vt:i4>
      </vt:variant>
      <vt:variant>
        <vt:i4>711</vt:i4>
      </vt:variant>
      <vt:variant>
        <vt:i4>0</vt:i4>
      </vt:variant>
      <vt:variant>
        <vt:i4>5</vt:i4>
      </vt:variant>
      <vt:variant>
        <vt:lpwstr>https://doi.org/10.9734/ajrcos/2024/v17i10512</vt:lpwstr>
      </vt:variant>
      <vt:variant>
        <vt:lpwstr/>
      </vt:variant>
      <vt:variant>
        <vt:i4>7929983</vt:i4>
      </vt:variant>
      <vt:variant>
        <vt:i4>708</vt:i4>
      </vt:variant>
      <vt:variant>
        <vt:i4>0</vt:i4>
      </vt:variant>
      <vt:variant>
        <vt:i4>5</vt:i4>
      </vt:variant>
      <vt:variant>
        <vt:lpwstr>https://homeguide.com/costs/land-clearing-cost</vt:lpwstr>
      </vt:variant>
      <vt:variant>
        <vt:lpwstr/>
      </vt:variant>
      <vt:variant>
        <vt:i4>8192115</vt:i4>
      </vt:variant>
      <vt:variant>
        <vt:i4>705</vt:i4>
      </vt:variant>
      <vt:variant>
        <vt:i4>0</vt:i4>
      </vt:variant>
      <vt:variant>
        <vt:i4>5</vt:i4>
      </vt:variant>
      <vt:variant>
        <vt:lpwstr>https://www.gbcma.vic.gov.au/downloads/Farm_Water_Program/2015_-_Farm_Water_Program_-_Fact_Sheet_-_Comparing_Total_Costs_of_Irrigation_Systems_in_VIC_-_March_-_02.03.2015.pdf</vt:lpwstr>
      </vt:variant>
      <vt:variant>
        <vt:lpwstr/>
      </vt:variant>
      <vt:variant>
        <vt:i4>7864363</vt:i4>
      </vt:variant>
      <vt:variant>
        <vt:i4>702</vt:i4>
      </vt:variant>
      <vt:variant>
        <vt:i4>0</vt:i4>
      </vt:variant>
      <vt:variant>
        <vt:i4>5</vt:i4>
      </vt:variant>
      <vt:variant>
        <vt:lpwstr>https://doi.org/10.1071/rj24028</vt:lpwstr>
      </vt:variant>
      <vt:variant>
        <vt:lpwstr/>
      </vt:variant>
      <vt:variant>
        <vt:i4>720977</vt:i4>
      </vt:variant>
      <vt:variant>
        <vt:i4>699</vt:i4>
      </vt:variant>
      <vt:variant>
        <vt:i4>0</vt:i4>
      </vt:variant>
      <vt:variant>
        <vt:i4>5</vt:i4>
      </vt:variant>
      <vt:variant>
        <vt:lpwstr>https://gaez.fao.org/</vt:lpwstr>
      </vt:variant>
      <vt:variant>
        <vt:lpwstr/>
      </vt:variant>
      <vt:variant>
        <vt:i4>8257658</vt:i4>
      </vt:variant>
      <vt:variant>
        <vt:i4>696</vt:i4>
      </vt:variant>
      <vt:variant>
        <vt:i4>0</vt:i4>
      </vt:variant>
      <vt:variant>
        <vt:i4>5</vt:i4>
      </vt:variant>
      <vt:variant>
        <vt:lpwstr>https://doi.org/10.5194/gmd-9-1937-2016</vt:lpwstr>
      </vt:variant>
      <vt:variant>
        <vt:lpwstr/>
      </vt:variant>
      <vt:variant>
        <vt:i4>5505051</vt:i4>
      </vt:variant>
      <vt:variant>
        <vt:i4>693</vt:i4>
      </vt:variant>
      <vt:variant>
        <vt:i4>0</vt:i4>
      </vt:variant>
      <vt:variant>
        <vt:i4>5</vt:i4>
      </vt:variant>
      <vt:variant>
        <vt:lpwstr>https://doi.org/10.1016/j.jenvman.2021.112568</vt:lpwstr>
      </vt:variant>
      <vt:variant>
        <vt:lpwstr/>
      </vt:variant>
      <vt:variant>
        <vt:i4>327697</vt:i4>
      </vt:variant>
      <vt:variant>
        <vt:i4>690</vt:i4>
      </vt:variant>
      <vt:variant>
        <vt:i4>0</vt:i4>
      </vt:variant>
      <vt:variant>
        <vt:i4>5</vt:i4>
      </vt:variant>
      <vt:variant>
        <vt:lpwstr>https://www.ecospecifier.com.au/farm-fencing/</vt:lpwstr>
      </vt:variant>
      <vt:variant>
        <vt:lpwstr/>
      </vt:variant>
      <vt:variant>
        <vt:i4>6160449</vt:i4>
      </vt:variant>
      <vt:variant>
        <vt:i4>687</vt:i4>
      </vt:variant>
      <vt:variant>
        <vt:i4>0</vt:i4>
      </vt:variant>
      <vt:variant>
        <vt:i4>5</vt:i4>
      </vt:variant>
      <vt:variant>
        <vt:lpwstr>https://www.dcceew.gov.au/climate-change/emissions-reduction/net-zero</vt:lpwstr>
      </vt:variant>
      <vt:variant>
        <vt:lpwstr/>
      </vt:variant>
      <vt:variant>
        <vt:i4>2621499</vt:i4>
      </vt:variant>
      <vt:variant>
        <vt:i4>684</vt:i4>
      </vt:variant>
      <vt:variant>
        <vt:i4>0</vt:i4>
      </vt:variant>
      <vt:variant>
        <vt:i4>5</vt:i4>
      </vt:variant>
      <vt:variant>
        <vt:lpwstr>https://www.dcceew.gov.au/climate-change/publications/full-carbon-accounting-model-fullcam</vt:lpwstr>
      </vt:variant>
      <vt:variant>
        <vt:lpwstr/>
      </vt:variant>
      <vt:variant>
        <vt:i4>2687010</vt:i4>
      </vt:variant>
      <vt:variant>
        <vt:i4>681</vt:i4>
      </vt:variant>
      <vt:variant>
        <vt:i4>0</vt:i4>
      </vt:variant>
      <vt:variant>
        <vt:i4>5</vt:i4>
      </vt:variant>
      <vt:variant>
        <vt:lpwstr>https://doi.org/10.1016/j.agee.2020.106891</vt:lpwstr>
      </vt:variant>
      <vt:variant>
        <vt:lpwstr/>
      </vt:variant>
      <vt:variant>
        <vt:i4>2228272</vt:i4>
      </vt:variant>
      <vt:variant>
        <vt:i4>678</vt:i4>
      </vt:variant>
      <vt:variant>
        <vt:i4>0</vt:i4>
      </vt:variant>
      <vt:variant>
        <vt:i4>5</vt:i4>
      </vt:variant>
      <vt:variant>
        <vt:lpwstr>https://doi.org/10.1038/s41467-022-31380-7</vt:lpwstr>
      </vt:variant>
      <vt:variant>
        <vt:lpwstr/>
      </vt:variant>
      <vt:variant>
        <vt:i4>6160478</vt:i4>
      </vt:variant>
      <vt:variant>
        <vt:i4>675</vt:i4>
      </vt:variant>
      <vt:variant>
        <vt:i4>0</vt:i4>
      </vt:variant>
      <vt:variant>
        <vt:i4>5</vt:i4>
      </vt:variant>
      <vt:variant>
        <vt:lpwstr>https://doi.org/10.1111/gcb.13020</vt:lpwstr>
      </vt:variant>
      <vt:variant>
        <vt:lpwstr/>
      </vt:variant>
      <vt:variant>
        <vt:i4>3997745</vt:i4>
      </vt:variant>
      <vt:variant>
        <vt:i4>672</vt:i4>
      </vt:variant>
      <vt:variant>
        <vt:i4>0</vt:i4>
      </vt:variant>
      <vt:variant>
        <vt:i4>5</vt:i4>
      </vt:variant>
      <vt:variant>
        <vt:lpwstr>https://doi.org/10.1016/j.csda.2010.08.006</vt:lpwstr>
      </vt:variant>
      <vt:variant>
        <vt:lpwstr/>
      </vt:variant>
      <vt:variant>
        <vt:i4>8060936</vt:i4>
      </vt:variant>
      <vt:variant>
        <vt:i4>669</vt:i4>
      </vt:variant>
      <vt:variant>
        <vt:i4>0</vt:i4>
      </vt:variant>
      <vt:variant>
        <vt:i4>5</vt:i4>
      </vt:variant>
      <vt:variant>
        <vt:lpwstr>https://www.abs.gov.au/AUSSTATS/abs@.nsf/Lookup/4618.0Main+Features12009-10?OpenDocument</vt:lpwstr>
      </vt:variant>
      <vt:variant>
        <vt:lpwstr/>
      </vt:variant>
      <vt:variant>
        <vt:i4>6881318</vt:i4>
      </vt:variant>
      <vt:variant>
        <vt:i4>666</vt:i4>
      </vt:variant>
      <vt:variant>
        <vt:i4>0</vt:i4>
      </vt:variant>
      <vt:variant>
        <vt:i4>5</vt:i4>
      </vt:variant>
      <vt:variant>
        <vt:lpwstr>https://www.agriculture.gov.au/abares/research-topics/productivity/agricultural-productivity-estimates</vt:lpwstr>
      </vt:variant>
      <vt:variant>
        <vt:lpwstr/>
      </vt:variant>
      <vt:variant>
        <vt:i4>5177408</vt:i4>
      </vt:variant>
      <vt:variant>
        <vt:i4>660</vt:i4>
      </vt:variant>
      <vt:variant>
        <vt:i4>0</vt:i4>
      </vt:variant>
      <vt:variant>
        <vt:i4>5</vt:i4>
      </vt:variant>
      <vt:variant>
        <vt:lpwstr>https://doi.org/10.1111/sum.12546</vt:lpwstr>
      </vt:variant>
      <vt:variant>
        <vt:lpwstr/>
      </vt:variant>
      <vt:variant>
        <vt:i4>6094871</vt:i4>
      </vt:variant>
      <vt:variant>
        <vt:i4>657</vt:i4>
      </vt:variant>
      <vt:variant>
        <vt:i4>0</vt:i4>
      </vt:variant>
      <vt:variant>
        <vt:i4>5</vt:i4>
      </vt:variant>
      <vt:variant>
        <vt:lpwstr>https://doi.org/10.1016/j.jhydrol.2017.11.048</vt:lpwstr>
      </vt:variant>
      <vt:variant>
        <vt:lpwstr/>
      </vt:variant>
      <vt:variant>
        <vt:i4>7864377</vt:i4>
      </vt:variant>
      <vt:variant>
        <vt:i4>654</vt:i4>
      </vt:variant>
      <vt:variant>
        <vt:i4>0</vt:i4>
      </vt:variant>
      <vt:variant>
        <vt:i4>5</vt:i4>
      </vt:variant>
      <vt:variant>
        <vt:lpwstr>https://doi.org/10.1071/an23111</vt:lpwstr>
      </vt:variant>
      <vt:variant>
        <vt:lpwstr/>
      </vt:variant>
      <vt:variant>
        <vt:i4>4587611</vt:i4>
      </vt:variant>
      <vt:variant>
        <vt:i4>651</vt:i4>
      </vt:variant>
      <vt:variant>
        <vt:i4>0</vt:i4>
      </vt:variant>
      <vt:variant>
        <vt:i4>5</vt:i4>
      </vt:variant>
      <vt:variant>
        <vt:lpwstr>https://www.countryman.com.au/countryman/opinion/a-reality-check-on-seaweed-as-a-feedstock-for-cows-c-5238740</vt:lpwstr>
      </vt:variant>
      <vt:variant>
        <vt:lpwstr/>
      </vt:variant>
      <vt:variant>
        <vt:i4>5701696</vt:i4>
      </vt:variant>
      <vt:variant>
        <vt:i4>648</vt:i4>
      </vt:variant>
      <vt:variant>
        <vt:i4>0</vt:i4>
      </vt:variant>
      <vt:variant>
        <vt:i4>5</vt:i4>
      </vt:variant>
      <vt:variant>
        <vt:lpwstr>https://doi.org/https://doi.org/10.1016/j.jes.2023.04.008</vt:lpwstr>
      </vt:variant>
      <vt:variant>
        <vt:lpwstr/>
      </vt:variant>
      <vt:variant>
        <vt:i4>917516</vt:i4>
      </vt:variant>
      <vt:variant>
        <vt:i4>645</vt:i4>
      </vt:variant>
      <vt:variant>
        <vt:i4>0</vt:i4>
      </vt:variant>
      <vt:variant>
        <vt:i4>5</vt:i4>
      </vt:variant>
      <vt:variant>
        <vt:lpwstr>https://esoil.io/TERNLandscapes/Public/Pages/SLGA/index.html</vt:lpwstr>
      </vt:variant>
      <vt:variant>
        <vt:lpwstr/>
      </vt:variant>
      <vt:variant>
        <vt:i4>4587531</vt:i4>
      </vt:variant>
      <vt:variant>
        <vt:i4>642</vt:i4>
      </vt:variant>
      <vt:variant>
        <vt:i4>0</vt:i4>
      </vt:variant>
      <vt:variant>
        <vt:i4>5</vt:i4>
      </vt:variant>
      <vt:variant>
        <vt:lpwstr>https://doi.org/https://doi.org/10.1016/j.landusepol.2014.12.002</vt:lpwstr>
      </vt:variant>
      <vt:variant>
        <vt:lpwstr/>
      </vt:variant>
      <vt:variant>
        <vt:i4>5636122</vt:i4>
      </vt:variant>
      <vt:variant>
        <vt:i4>639</vt:i4>
      </vt:variant>
      <vt:variant>
        <vt:i4>0</vt:i4>
      </vt:variant>
      <vt:variant>
        <vt:i4>5</vt:i4>
      </vt:variant>
      <vt:variant>
        <vt:lpwstr>https://doi.org/10.1088/1748-9326/ad6f2d</vt:lpwstr>
      </vt:variant>
      <vt:variant>
        <vt:lpwstr/>
      </vt:variant>
      <vt:variant>
        <vt:i4>2752554</vt:i4>
      </vt:variant>
      <vt:variant>
        <vt:i4>636</vt:i4>
      </vt:variant>
      <vt:variant>
        <vt:i4>0</vt:i4>
      </vt:variant>
      <vt:variant>
        <vt:i4>5</vt:i4>
      </vt:variant>
      <vt:variant>
        <vt:lpwstr>https://www.transparency.gov.au/publications/agriculture/rural-industries-research-and-development-corporation/rural-industries-research-and-development-corporation-annual-report-2018-19</vt:lpwstr>
      </vt:variant>
      <vt:variant>
        <vt:lpwstr/>
      </vt:variant>
      <vt:variant>
        <vt:i4>4194370</vt:i4>
      </vt:variant>
      <vt:variant>
        <vt:i4>633</vt:i4>
      </vt:variant>
      <vt:variant>
        <vt:i4>0</vt:i4>
      </vt:variant>
      <vt:variant>
        <vt:i4>5</vt:i4>
      </vt:variant>
      <vt:variant>
        <vt:lpwstr>https://doi.org/10.1371/journal.pone.0247820</vt:lpwstr>
      </vt:variant>
      <vt:variant>
        <vt:lpwstr/>
      </vt:variant>
      <vt:variant>
        <vt:i4>2949242</vt:i4>
      </vt:variant>
      <vt:variant>
        <vt:i4>630</vt:i4>
      </vt:variant>
      <vt:variant>
        <vt:i4>0</vt:i4>
      </vt:variant>
      <vt:variant>
        <vt:i4>5</vt:i4>
      </vt:variant>
      <vt:variant>
        <vt:lpwstr>https://doi.org/10.1016/j.gloenvcha.2016.05.009</vt:lpwstr>
      </vt:variant>
      <vt:variant>
        <vt:lpwstr/>
      </vt:variant>
      <vt:variant>
        <vt:i4>4587546</vt:i4>
      </vt:variant>
      <vt:variant>
        <vt:i4>627</vt:i4>
      </vt:variant>
      <vt:variant>
        <vt:i4>0</vt:i4>
      </vt:variant>
      <vt:variant>
        <vt:i4>5</vt:i4>
      </vt:variant>
      <vt:variant>
        <vt:lpwstr>https://chinawaterrisk.org/resources/analysis-reviews/aqueduct-global-water-stress-rankings/</vt:lpwstr>
      </vt:variant>
      <vt:variant>
        <vt:lpwstr/>
      </vt:variant>
      <vt:variant>
        <vt:i4>3604577</vt:i4>
      </vt:variant>
      <vt:variant>
        <vt:i4>624</vt:i4>
      </vt:variant>
      <vt:variant>
        <vt:i4>0</vt:i4>
      </vt:variant>
      <vt:variant>
        <vt:i4>5</vt:i4>
      </vt:variant>
      <vt:variant>
        <vt:lpwstr>https://doi.org/10.1079/9781780644851.0195</vt:lpwstr>
      </vt:variant>
      <vt:variant>
        <vt:lpwstr/>
      </vt:variant>
      <vt:variant>
        <vt:i4>3997805</vt:i4>
      </vt:variant>
      <vt:variant>
        <vt:i4>621</vt:i4>
      </vt:variant>
      <vt:variant>
        <vt:i4>0</vt:i4>
      </vt:variant>
      <vt:variant>
        <vt:i4>5</vt:i4>
      </vt:variant>
      <vt:variant>
        <vt:lpwstr>https://www.aciar.gov.au/publication/raising-trees-and-livelihoods</vt:lpwstr>
      </vt:variant>
      <vt:variant>
        <vt:lpwstr/>
      </vt:variant>
      <vt:variant>
        <vt:i4>5963852</vt:i4>
      </vt:variant>
      <vt:variant>
        <vt:i4>618</vt:i4>
      </vt:variant>
      <vt:variant>
        <vt:i4>0</vt:i4>
      </vt:variant>
      <vt:variant>
        <vt:i4>5</vt:i4>
      </vt:variant>
      <vt:variant>
        <vt:lpwstr>https://doi.org/10.1111/rec.70026</vt:lpwstr>
      </vt:variant>
      <vt:variant>
        <vt:lpwstr/>
      </vt:variant>
      <vt:variant>
        <vt:i4>3670115</vt:i4>
      </vt:variant>
      <vt:variant>
        <vt:i4>615</vt:i4>
      </vt:variant>
      <vt:variant>
        <vt:i4>0</vt:i4>
      </vt:variant>
      <vt:variant>
        <vt:i4>5</vt:i4>
      </vt:variant>
      <vt:variant>
        <vt:lpwstr>https://doi.org/10.1073/pnas.2022666118</vt:lpwstr>
      </vt:variant>
      <vt:variant>
        <vt:lpwstr/>
      </vt:variant>
      <vt:variant>
        <vt:i4>8060979</vt:i4>
      </vt:variant>
      <vt:variant>
        <vt:i4>612</vt:i4>
      </vt:variant>
      <vt:variant>
        <vt:i4>0</vt:i4>
      </vt:variant>
      <vt:variant>
        <vt:i4>5</vt:i4>
      </vt:variant>
      <vt:variant>
        <vt:lpwstr>https://naturalcapitalproject.stanford.edu/software/invest</vt:lpwstr>
      </vt:variant>
      <vt:variant>
        <vt:lpwstr/>
      </vt:variant>
      <vt:variant>
        <vt:i4>4980751</vt:i4>
      </vt:variant>
      <vt:variant>
        <vt:i4>609</vt:i4>
      </vt:variant>
      <vt:variant>
        <vt:i4>0</vt:i4>
      </vt:variant>
      <vt:variant>
        <vt:i4>5</vt:i4>
      </vt:variant>
      <vt:variant>
        <vt:lpwstr>http://hdl.handle.net/102.100.100/609036?index=1</vt:lpwstr>
      </vt:variant>
      <vt:variant>
        <vt:lpwstr/>
      </vt:variant>
      <vt:variant>
        <vt:i4>196682</vt:i4>
      </vt:variant>
      <vt:variant>
        <vt:i4>606</vt:i4>
      </vt:variant>
      <vt:variant>
        <vt:i4>0</vt:i4>
      </vt:variant>
      <vt:variant>
        <vt:i4>5</vt:i4>
      </vt:variant>
      <vt:variant>
        <vt:lpwstr>https://doi.org/10.1080/14735903.2018.1448047</vt:lpwstr>
      </vt:variant>
      <vt:variant>
        <vt:lpwstr/>
      </vt:variant>
      <vt:variant>
        <vt:i4>2687018</vt:i4>
      </vt:variant>
      <vt:variant>
        <vt:i4>603</vt:i4>
      </vt:variant>
      <vt:variant>
        <vt:i4>0</vt:i4>
      </vt:variant>
      <vt:variant>
        <vt:i4>5</vt:i4>
      </vt:variant>
      <vt:variant>
        <vt:lpwstr>https://www.mla.com.au/prices-markets/Trends-analysis/quarterly-lot-feeding-briefs/</vt:lpwstr>
      </vt:variant>
      <vt:variant>
        <vt:lpwstr/>
      </vt:variant>
      <vt:variant>
        <vt:i4>4718669</vt:i4>
      </vt:variant>
      <vt:variant>
        <vt:i4>600</vt:i4>
      </vt:variant>
      <vt:variant>
        <vt:i4>0</vt:i4>
      </vt:variant>
      <vt:variant>
        <vt:i4>5</vt:i4>
      </vt:variant>
      <vt:variant>
        <vt:lpwstr>https://doi.org/10.18637/jss.v047.i01</vt:lpwstr>
      </vt:variant>
      <vt:variant>
        <vt:lpwstr/>
      </vt:variant>
      <vt:variant>
        <vt:i4>3539066</vt:i4>
      </vt:variant>
      <vt:variant>
        <vt:i4>597</vt:i4>
      </vt:variant>
      <vt:variant>
        <vt:i4>0</vt:i4>
      </vt:variant>
      <vt:variant>
        <vt:i4>5</vt:i4>
      </vt:variant>
      <vt:variant>
        <vt:lpwstr>https://github.com/ray-marcos/FoodDemandAU</vt:lpwstr>
      </vt:variant>
      <vt:variant>
        <vt:lpwstr/>
      </vt:variant>
      <vt:variant>
        <vt:i4>7864363</vt:i4>
      </vt:variant>
      <vt:variant>
        <vt:i4>594</vt:i4>
      </vt:variant>
      <vt:variant>
        <vt:i4>0</vt:i4>
      </vt:variant>
      <vt:variant>
        <vt:i4>5</vt:i4>
      </vt:variant>
      <vt:variant>
        <vt:lpwstr>https://doi.org/10.1071/RJ24024</vt:lpwstr>
      </vt:variant>
      <vt:variant>
        <vt:lpwstr/>
      </vt:variant>
      <vt:variant>
        <vt:i4>1900620</vt:i4>
      </vt:variant>
      <vt:variant>
        <vt:i4>591</vt:i4>
      </vt:variant>
      <vt:variant>
        <vt:i4>0</vt:i4>
      </vt:variant>
      <vt:variant>
        <vt:i4>5</vt:i4>
      </vt:variant>
      <vt:variant>
        <vt:lpwstr>https://doi.org/10.5194/hess-28-4349-2024</vt:lpwstr>
      </vt:variant>
      <vt:variant>
        <vt:lpwstr/>
      </vt:variant>
      <vt:variant>
        <vt:i4>5111823</vt:i4>
      </vt:variant>
      <vt:variant>
        <vt:i4>588</vt:i4>
      </vt:variant>
      <vt:variant>
        <vt:i4>0</vt:i4>
      </vt:variant>
      <vt:variant>
        <vt:i4>5</vt:i4>
      </vt:variant>
      <vt:variant>
        <vt:lpwstr>https://doi.org/10.1002/2016EF000518</vt:lpwstr>
      </vt:variant>
      <vt:variant>
        <vt:lpwstr/>
      </vt:variant>
      <vt:variant>
        <vt:i4>1376268</vt:i4>
      </vt:variant>
      <vt:variant>
        <vt:i4>585</vt:i4>
      </vt:variant>
      <vt:variant>
        <vt:i4>0</vt:i4>
      </vt:variant>
      <vt:variant>
        <vt:i4>5</vt:i4>
      </vt:variant>
      <vt:variant>
        <vt:lpwstr>https://doi.org/10.3390/c9030067</vt:lpwstr>
      </vt:variant>
      <vt:variant>
        <vt:lpwstr/>
      </vt:variant>
      <vt:variant>
        <vt:i4>7471221</vt:i4>
      </vt:variant>
      <vt:variant>
        <vt:i4>582</vt:i4>
      </vt:variant>
      <vt:variant>
        <vt:i4>0</vt:i4>
      </vt:variant>
      <vt:variant>
        <vt:i4>5</vt:i4>
      </vt:variant>
      <vt:variant>
        <vt:lpwstr>www.climateworksaustralia.org/project/land-use-futures</vt:lpwstr>
      </vt:variant>
      <vt:variant>
        <vt:lpwstr/>
      </vt:variant>
      <vt:variant>
        <vt:i4>1245251</vt:i4>
      </vt:variant>
      <vt:variant>
        <vt:i4>579</vt:i4>
      </vt:variant>
      <vt:variant>
        <vt:i4>0</vt:i4>
      </vt:variant>
      <vt:variant>
        <vt:i4>5</vt:i4>
      </vt:variant>
      <vt:variant>
        <vt:lpwstr>https://doi.org/10.1038/srep38495</vt:lpwstr>
      </vt:variant>
      <vt:variant>
        <vt:lpwstr/>
      </vt:variant>
      <vt:variant>
        <vt:i4>1769487</vt:i4>
      </vt:variant>
      <vt:variant>
        <vt:i4>576</vt:i4>
      </vt:variant>
      <vt:variant>
        <vt:i4>0</vt:i4>
      </vt:variant>
      <vt:variant>
        <vt:i4>5</vt:i4>
      </vt:variant>
      <vt:variant>
        <vt:lpwstr>https://doi.org/10.3390/f11121321</vt:lpwstr>
      </vt:variant>
      <vt:variant>
        <vt:lpwstr/>
      </vt:variant>
      <vt:variant>
        <vt:i4>2555939</vt:i4>
      </vt:variant>
      <vt:variant>
        <vt:i4>573</vt:i4>
      </vt:variant>
      <vt:variant>
        <vt:i4>0</vt:i4>
      </vt:variant>
      <vt:variant>
        <vt:i4>5</vt:i4>
      </vt:variant>
      <vt:variant>
        <vt:lpwstr>https://doi.org/10.3389/fsufs.2024.1480991</vt:lpwstr>
      </vt:variant>
      <vt:variant>
        <vt:lpwstr/>
      </vt:variant>
      <vt:variant>
        <vt:i4>1310795</vt:i4>
      </vt:variant>
      <vt:variant>
        <vt:i4>570</vt:i4>
      </vt:variant>
      <vt:variant>
        <vt:i4>0</vt:i4>
      </vt:variant>
      <vt:variant>
        <vt:i4>5</vt:i4>
      </vt:variant>
      <vt:variant>
        <vt:lpwstr>https://doi.org/10.9734/ajrcos/2024/v17i10512</vt:lpwstr>
      </vt:variant>
      <vt:variant>
        <vt:lpwstr/>
      </vt:variant>
      <vt:variant>
        <vt:i4>7929983</vt:i4>
      </vt:variant>
      <vt:variant>
        <vt:i4>567</vt:i4>
      </vt:variant>
      <vt:variant>
        <vt:i4>0</vt:i4>
      </vt:variant>
      <vt:variant>
        <vt:i4>5</vt:i4>
      </vt:variant>
      <vt:variant>
        <vt:lpwstr>https://homeguide.com/costs/land-clearing-cost</vt:lpwstr>
      </vt:variant>
      <vt:variant>
        <vt:lpwstr/>
      </vt:variant>
      <vt:variant>
        <vt:i4>917532</vt:i4>
      </vt:variant>
      <vt:variant>
        <vt:i4>564</vt:i4>
      </vt:variant>
      <vt:variant>
        <vt:i4>0</vt:i4>
      </vt:variant>
      <vt:variant>
        <vt:i4>5</vt:i4>
      </vt:variant>
      <vt:variant>
        <vt:lpwstr>https://doi.org/10.1038/s41597-020-0453-3</vt:lpwstr>
      </vt:variant>
      <vt:variant>
        <vt:lpwstr/>
      </vt:variant>
      <vt:variant>
        <vt:i4>5832771</vt:i4>
      </vt:variant>
      <vt:variant>
        <vt:i4>561</vt:i4>
      </vt:variant>
      <vt:variant>
        <vt:i4>0</vt:i4>
      </vt:variant>
      <vt:variant>
        <vt:i4>5</vt:i4>
      </vt:variant>
      <vt:variant>
        <vt:lpwstr>https://doi.org/10.1016/j.oneear.2025.101351</vt:lpwstr>
      </vt:variant>
      <vt:variant>
        <vt:lpwstr/>
      </vt:variant>
      <vt:variant>
        <vt:i4>3473526</vt:i4>
      </vt:variant>
      <vt:variant>
        <vt:i4>558</vt:i4>
      </vt:variant>
      <vt:variant>
        <vt:i4>0</vt:i4>
      </vt:variant>
      <vt:variant>
        <vt:i4>5</vt:i4>
      </vt:variant>
      <vt:variant>
        <vt:lpwstr>https://www.gurobi.com/</vt:lpwstr>
      </vt:variant>
      <vt:variant>
        <vt:lpwstr/>
      </vt:variant>
      <vt:variant>
        <vt:i4>8192115</vt:i4>
      </vt:variant>
      <vt:variant>
        <vt:i4>555</vt:i4>
      </vt:variant>
      <vt:variant>
        <vt:i4>0</vt:i4>
      </vt:variant>
      <vt:variant>
        <vt:i4>5</vt:i4>
      </vt:variant>
      <vt:variant>
        <vt:lpwstr>https://www.gbcma.vic.gov.au/downloads/Farm_Water_Program/2015_-_Farm_Water_Program_-_Fact_Sheet_-_Comparing_Total_Costs_of_Irrigation_Systems_in_VIC_-_March_-_02.03.2015.pdf</vt:lpwstr>
      </vt:variant>
      <vt:variant>
        <vt:lpwstr/>
      </vt:variant>
      <vt:variant>
        <vt:i4>7864363</vt:i4>
      </vt:variant>
      <vt:variant>
        <vt:i4>552</vt:i4>
      </vt:variant>
      <vt:variant>
        <vt:i4>0</vt:i4>
      </vt:variant>
      <vt:variant>
        <vt:i4>5</vt:i4>
      </vt:variant>
      <vt:variant>
        <vt:lpwstr>https://doi.org/10.1071/rj24028</vt:lpwstr>
      </vt:variant>
      <vt:variant>
        <vt:lpwstr/>
      </vt:variant>
      <vt:variant>
        <vt:i4>8192112</vt:i4>
      </vt:variant>
      <vt:variant>
        <vt:i4>549</vt:i4>
      </vt:variant>
      <vt:variant>
        <vt:i4>0</vt:i4>
      </vt:variant>
      <vt:variant>
        <vt:i4>5</vt:i4>
      </vt:variant>
      <vt:variant>
        <vt:lpwstr>https://www.fao.org/faostat/en/</vt:lpwstr>
      </vt:variant>
      <vt:variant>
        <vt:lpwstr>data/FBS</vt:lpwstr>
      </vt:variant>
      <vt:variant>
        <vt:i4>720977</vt:i4>
      </vt:variant>
      <vt:variant>
        <vt:i4>546</vt:i4>
      </vt:variant>
      <vt:variant>
        <vt:i4>0</vt:i4>
      </vt:variant>
      <vt:variant>
        <vt:i4>5</vt:i4>
      </vt:variant>
      <vt:variant>
        <vt:lpwstr>https://gaez.fao.org/</vt:lpwstr>
      </vt:variant>
      <vt:variant>
        <vt:lpwstr/>
      </vt:variant>
      <vt:variant>
        <vt:i4>8257658</vt:i4>
      </vt:variant>
      <vt:variant>
        <vt:i4>543</vt:i4>
      </vt:variant>
      <vt:variant>
        <vt:i4>0</vt:i4>
      </vt:variant>
      <vt:variant>
        <vt:i4>5</vt:i4>
      </vt:variant>
      <vt:variant>
        <vt:lpwstr>https://doi.org/10.5194/gmd-9-1937-2016</vt:lpwstr>
      </vt:variant>
      <vt:variant>
        <vt:lpwstr/>
      </vt:variant>
      <vt:variant>
        <vt:i4>5505051</vt:i4>
      </vt:variant>
      <vt:variant>
        <vt:i4>540</vt:i4>
      </vt:variant>
      <vt:variant>
        <vt:i4>0</vt:i4>
      </vt:variant>
      <vt:variant>
        <vt:i4>5</vt:i4>
      </vt:variant>
      <vt:variant>
        <vt:lpwstr>https://doi.org/10.1016/j.jenvman.2021.112568</vt:lpwstr>
      </vt:variant>
      <vt:variant>
        <vt:lpwstr/>
      </vt:variant>
      <vt:variant>
        <vt:i4>327697</vt:i4>
      </vt:variant>
      <vt:variant>
        <vt:i4>537</vt:i4>
      </vt:variant>
      <vt:variant>
        <vt:i4>0</vt:i4>
      </vt:variant>
      <vt:variant>
        <vt:i4>5</vt:i4>
      </vt:variant>
      <vt:variant>
        <vt:lpwstr>https://www.ecospecifier.com.au/farm-fencing/</vt:lpwstr>
      </vt:variant>
      <vt:variant>
        <vt:lpwstr/>
      </vt:variant>
      <vt:variant>
        <vt:i4>6160449</vt:i4>
      </vt:variant>
      <vt:variant>
        <vt:i4>534</vt:i4>
      </vt:variant>
      <vt:variant>
        <vt:i4>0</vt:i4>
      </vt:variant>
      <vt:variant>
        <vt:i4>5</vt:i4>
      </vt:variant>
      <vt:variant>
        <vt:lpwstr>https://www.dcceew.gov.au/climate-change/emissions-reduction/net-zero</vt:lpwstr>
      </vt:variant>
      <vt:variant>
        <vt:lpwstr/>
      </vt:variant>
      <vt:variant>
        <vt:i4>2621499</vt:i4>
      </vt:variant>
      <vt:variant>
        <vt:i4>531</vt:i4>
      </vt:variant>
      <vt:variant>
        <vt:i4>0</vt:i4>
      </vt:variant>
      <vt:variant>
        <vt:i4>5</vt:i4>
      </vt:variant>
      <vt:variant>
        <vt:lpwstr>https://www.dcceew.gov.au/climate-change/publications/full-carbon-accounting-model-fullcam</vt:lpwstr>
      </vt:variant>
      <vt:variant>
        <vt:lpwstr/>
      </vt:variant>
      <vt:variant>
        <vt:i4>2621499</vt:i4>
      </vt:variant>
      <vt:variant>
        <vt:i4>528</vt:i4>
      </vt:variant>
      <vt:variant>
        <vt:i4>0</vt:i4>
      </vt:variant>
      <vt:variant>
        <vt:i4>5</vt:i4>
      </vt:variant>
      <vt:variant>
        <vt:lpwstr>https://www.dcceew.gov.au/climate-change/publications/full-carbon-accounting-model-fullcam</vt:lpwstr>
      </vt:variant>
      <vt:variant>
        <vt:lpwstr/>
      </vt:variant>
      <vt:variant>
        <vt:i4>720927</vt:i4>
      </vt:variant>
      <vt:variant>
        <vt:i4>525</vt:i4>
      </vt:variant>
      <vt:variant>
        <vt:i4>0</vt:i4>
      </vt:variant>
      <vt:variant>
        <vt:i4>5</vt:i4>
      </vt:variant>
      <vt:variant>
        <vt:lpwstr>https://doi.org/10.1007/s13280-017-0912-z</vt:lpwstr>
      </vt:variant>
      <vt:variant>
        <vt:lpwstr/>
      </vt:variant>
      <vt:variant>
        <vt:i4>5636173</vt:i4>
      </vt:variant>
      <vt:variant>
        <vt:i4>522</vt:i4>
      </vt:variant>
      <vt:variant>
        <vt:i4>0</vt:i4>
      </vt:variant>
      <vt:variant>
        <vt:i4>5</vt:i4>
      </vt:variant>
      <vt:variant>
        <vt:lpwstr>https://www.beefcentral.com/news/wagyu-feeder-steer-prices-stable-but-premium-over-angus-under-pressure/</vt:lpwstr>
      </vt:variant>
      <vt:variant>
        <vt:lpwstr/>
      </vt:variant>
      <vt:variant>
        <vt:i4>2883710</vt:i4>
      </vt:variant>
      <vt:variant>
        <vt:i4>519</vt:i4>
      </vt:variant>
      <vt:variant>
        <vt:i4>0</vt:i4>
      </vt:variant>
      <vt:variant>
        <vt:i4>5</vt:i4>
      </vt:variant>
      <vt:variant>
        <vt:lpwstr>https://www.beefcentral.com/news/segmented-days-on-feed-data-adds-value-to-quarterly-feedlot-industry-surveys/</vt:lpwstr>
      </vt:variant>
      <vt:variant>
        <vt:lpwstr/>
      </vt:variant>
      <vt:variant>
        <vt:i4>5701652</vt:i4>
      </vt:variant>
      <vt:variant>
        <vt:i4>516</vt:i4>
      </vt:variant>
      <vt:variant>
        <vt:i4>0</vt:i4>
      </vt:variant>
      <vt:variant>
        <vt:i4>5</vt:i4>
      </vt:variant>
      <vt:variant>
        <vt:lpwstr>https://www.beefcentral.com/news/killara-feedlot-manager-delivers-sobering-assessment-about-feeder-prices-heading-into-2023/</vt:lpwstr>
      </vt:variant>
      <vt:variant>
        <vt:lpwstr/>
      </vt:variant>
      <vt:variant>
        <vt:i4>6225936</vt:i4>
      </vt:variant>
      <vt:variant>
        <vt:i4>513</vt:i4>
      </vt:variant>
      <vt:variant>
        <vt:i4>0</vt:i4>
      </vt:variant>
      <vt:variant>
        <vt:i4>5</vt:i4>
      </vt:variant>
      <vt:variant>
        <vt:lpwstr>https://doi.org/10.1029/2023wr034509</vt:lpwstr>
      </vt:variant>
      <vt:variant>
        <vt:lpwstr/>
      </vt:variant>
      <vt:variant>
        <vt:i4>5308432</vt:i4>
      </vt:variant>
      <vt:variant>
        <vt:i4>510</vt:i4>
      </vt:variant>
      <vt:variant>
        <vt:i4>0</vt:i4>
      </vt:variant>
      <vt:variant>
        <vt:i4>5</vt:i4>
      </vt:variant>
      <vt:variant>
        <vt:lpwstr>https://doi.org/10.1111/j.1442-8903.2010.00510.x</vt:lpwstr>
      </vt:variant>
      <vt:variant>
        <vt:lpwstr/>
      </vt:variant>
      <vt:variant>
        <vt:i4>2687010</vt:i4>
      </vt:variant>
      <vt:variant>
        <vt:i4>507</vt:i4>
      </vt:variant>
      <vt:variant>
        <vt:i4>0</vt:i4>
      </vt:variant>
      <vt:variant>
        <vt:i4>5</vt:i4>
      </vt:variant>
      <vt:variant>
        <vt:lpwstr>https://doi.org/10.1016/j.agee.2020.106891</vt:lpwstr>
      </vt:variant>
      <vt:variant>
        <vt:lpwstr/>
      </vt:variant>
      <vt:variant>
        <vt:i4>4456498</vt:i4>
      </vt:variant>
      <vt:variant>
        <vt:i4>504</vt:i4>
      </vt:variant>
      <vt:variant>
        <vt:i4>0</vt:i4>
      </vt:variant>
      <vt:variant>
        <vt:i4>5</vt:i4>
      </vt:variant>
      <vt:variant>
        <vt:lpwstr>https://www.csiro.au/-/media/Science-Connect/Futures/Ag2050-report/24-00100_AF_REPORT_Ag2050Scenarios_WEB_250212.pdf</vt:lpwstr>
      </vt:variant>
      <vt:variant>
        <vt:lpwstr/>
      </vt:variant>
      <vt:variant>
        <vt:i4>2621492</vt:i4>
      </vt:variant>
      <vt:variant>
        <vt:i4>501</vt:i4>
      </vt:variant>
      <vt:variant>
        <vt:i4>0</vt:i4>
      </vt:variant>
      <vt:variant>
        <vt:i4>5</vt:i4>
      </vt:variant>
      <vt:variant>
        <vt:lpwstr>https://doi.org/10.1038/s41893-024-01433-4</vt:lpwstr>
      </vt:variant>
      <vt:variant>
        <vt:lpwstr/>
      </vt:variant>
      <vt:variant>
        <vt:i4>2228272</vt:i4>
      </vt:variant>
      <vt:variant>
        <vt:i4>498</vt:i4>
      </vt:variant>
      <vt:variant>
        <vt:i4>0</vt:i4>
      </vt:variant>
      <vt:variant>
        <vt:i4>5</vt:i4>
      </vt:variant>
      <vt:variant>
        <vt:lpwstr>https://doi.org/10.1038/s41467-022-31380-7</vt:lpwstr>
      </vt:variant>
      <vt:variant>
        <vt:lpwstr/>
      </vt:variant>
      <vt:variant>
        <vt:i4>6160478</vt:i4>
      </vt:variant>
      <vt:variant>
        <vt:i4>495</vt:i4>
      </vt:variant>
      <vt:variant>
        <vt:i4>0</vt:i4>
      </vt:variant>
      <vt:variant>
        <vt:i4>5</vt:i4>
      </vt:variant>
      <vt:variant>
        <vt:lpwstr>https://doi.org/10.1111/gcb.13020</vt:lpwstr>
      </vt:variant>
      <vt:variant>
        <vt:lpwstr/>
      </vt:variant>
      <vt:variant>
        <vt:i4>3997745</vt:i4>
      </vt:variant>
      <vt:variant>
        <vt:i4>492</vt:i4>
      </vt:variant>
      <vt:variant>
        <vt:i4>0</vt:i4>
      </vt:variant>
      <vt:variant>
        <vt:i4>5</vt:i4>
      </vt:variant>
      <vt:variant>
        <vt:lpwstr>https://doi.org/10.1016/j.csda.2010.08.006</vt:lpwstr>
      </vt:variant>
      <vt:variant>
        <vt:lpwstr/>
      </vt:variant>
      <vt:variant>
        <vt:i4>2556030</vt:i4>
      </vt:variant>
      <vt:variant>
        <vt:i4>489</vt:i4>
      </vt:variant>
      <vt:variant>
        <vt:i4>0</vt:i4>
      </vt:variant>
      <vt:variant>
        <vt:i4>5</vt:i4>
      </vt:variant>
      <vt:variant>
        <vt:lpwstr>https://doi.org/10.1016/j.ecolmodel.2024.110852</vt:lpwstr>
      </vt:variant>
      <vt:variant>
        <vt:lpwstr/>
      </vt:variant>
      <vt:variant>
        <vt:i4>6160470</vt:i4>
      </vt:variant>
      <vt:variant>
        <vt:i4>486</vt:i4>
      </vt:variant>
      <vt:variant>
        <vt:i4>0</vt:i4>
      </vt:variant>
      <vt:variant>
        <vt:i4>5</vt:i4>
      </vt:variant>
      <vt:variant>
        <vt:lpwstr>https://www.feedlots.com.au/resources/figures</vt:lpwstr>
      </vt:variant>
      <vt:variant>
        <vt:lpwstr/>
      </vt:variant>
      <vt:variant>
        <vt:i4>7209010</vt:i4>
      </vt:variant>
      <vt:variant>
        <vt:i4>483</vt:i4>
      </vt:variant>
      <vt:variant>
        <vt:i4>0</vt:i4>
      </vt:variant>
      <vt:variant>
        <vt:i4>5</vt:i4>
      </vt:variant>
      <vt:variant>
        <vt:lpwstr>https://digital.atlas.gov.au/datasets/sa2-land-and-environment-data-by-region-nov-2024</vt:lpwstr>
      </vt:variant>
      <vt:variant>
        <vt:lpwstr/>
      </vt:variant>
      <vt:variant>
        <vt:i4>7995427</vt:i4>
      </vt:variant>
      <vt:variant>
        <vt:i4>480</vt:i4>
      </vt:variant>
      <vt:variant>
        <vt:i4>0</vt:i4>
      </vt:variant>
      <vt:variant>
        <vt:i4>5</vt:i4>
      </vt:variant>
      <vt:variant>
        <vt:lpwstr>https://www.abs.gov.au/statistics/labour/earnings-and-working-conditions/employee-earnings/aug-2024</vt:lpwstr>
      </vt:variant>
      <vt:variant>
        <vt:lpwstr/>
      </vt:variant>
      <vt:variant>
        <vt:i4>5111823</vt:i4>
      </vt:variant>
      <vt:variant>
        <vt:i4>477</vt:i4>
      </vt:variant>
      <vt:variant>
        <vt:i4>0</vt:i4>
      </vt:variant>
      <vt:variant>
        <vt:i4>5</vt:i4>
      </vt:variant>
      <vt:variant>
        <vt:lpwstr>https://www.abs.gov.au/statistics/environment/environmental-management/water-account-australia/latest-release</vt:lpwstr>
      </vt:variant>
      <vt:variant>
        <vt:lpwstr/>
      </vt:variant>
      <vt:variant>
        <vt:i4>1179757</vt:i4>
      </vt:variant>
      <vt:variant>
        <vt:i4>474</vt:i4>
      </vt:variant>
      <vt:variant>
        <vt:i4>0</vt:i4>
      </vt:variant>
      <vt:variant>
        <vt:i4>5</vt:i4>
      </vt:variant>
      <vt:variant>
        <vt:lpwstr>https://www.abs.gov.au/AUSSTATS/abs@.nsf/DetailsPage/1270.0.55.0072011?OpenDocument</vt:lpwstr>
      </vt:variant>
      <vt:variant>
        <vt:lpwstr/>
      </vt:variant>
      <vt:variant>
        <vt:i4>1245296</vt:i4>
      </vt:variant>
      <vt:variant>
        <vt:i4>471</vt:i4>
      </vt:variant>
      <vt:variant>
        <vt:i4>0</vt:i4>
      </vt:variant>
      <vt:variant>
        <vt:i4>5</vt:i4>
      </vt:variant>
      <vt:variant>
        <vt:lpwstr>https://www.abs.gov.au/AUSSTATS/abs@.nsf/DetailsPage/4610.02010-11?OpenDocument</vt:lpwstr>
      </vt:variant>
      <vt:variant>
        <vt:lpwstr/>
      </vt:variant>
      <vt:variant>
        <vt:i4>2752594</vt:i4>
      </vt:variant>
      <vt:variant>
        <vt:i4>468</vt:i4>
      </vt:variant>
      <vt:variant>
        <vt:i4>0</vt:i4>
      </vt:variant>
      <vt:variant>
        <vt:i4>5</vt:i4>
      </vt:variant>
      <vt:variant>
        <vt:lpwstr>https://www.abs.gov.au/AUSSTATS/abs@.nsf/DetailsPage/3101.0Dec 2010?OpenDocument</vt:lpwstr>
      </vt:variant>
      <vt:variant>
        <vt:lpwstr/>
      </vt:variant>
      <vt:variant>
        <vt:i4>8060936</vt:i4>
      </vt:variant>
      <vt:variant>
        <vt:i4>465</vt:i4>
      </vt:variant>
      <vt:variant>
        <vt:i4>0</vt:i4>
      </vt:variant>
      <vt:variant>
        <vt:i4>5</vt:i4>
      </vt:variant>
      <vt:variant>
        <vt:lpwstr>https://www.abs.gov.au/AUSSTATS/abs@.nsf/Lookup/4618.0Main+Features12009-10?OpenDocument</vt:lpwstr>
      </vt:variant>
      <vt:variant>
        <vt:lpwstr/>
      </vt:variant>
      <vt:variant>
        <vt:i4>6881318</vt:i4>
      </vt:variant>
      <vt:variant>
        <vt:i4>462</vt:i4>
      </vt:variant>
      <vt:variant>
        <vt:i4>0</vt:i4>
      </vt:variant>
      <vt:variant>
        <vt:i4>5</vt:i4>
      </vt:variant>
      <vt:variant>
        <vt:lpwstr>https://www.agriculture.gov.au/abares/research-topics/productivity/agricultural-productivity-estimates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XINHAO PAN</dc:creator>
  <cp:keywords/>
  <dc:description/>
  <cp:lastModifiedBy>XINHAO PAN</cp:lastModifiedBy>
  <cp:revision>440</cp:revision>
  <dcterms:created xsi:type="dcterms:W3CDTF">2026-03-07T07:44:00Z</dcterms:created>
  <dcterms:modified xsi:type="dcterms:W3CDTF">2026-07-21T08:00:00Z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0x0101004288F1FE7B14DB43BD905993B81D241A</vt:lpwstr>
  </property>
  <property fmtid="{D5CDD505-2E9C-101B-9397-08002B2CF9AE}" pid="3" name="MTWinEqns">
    <vt:bool>true</vt:bool>
  </property>
</Properties>
</file>