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A1CBB" w14:textId="77777777" w:rsidR="007415F5" w:rsidRPr="007415F5" w:rsidRDefault="007415F5" w:rsidP="007415F5">
      <w:pPr>
        <w:rPr>
          <w:b/>
          <w:bCs/>
          <w:lang w:val="en"/>
        </w:rPr>
      </w:pPr>
      <w:r w:rsidRPr="007415F5">
        <w:rPr>
          <w:b/>
          <w:bCs/>
          <w:lang w:val="en"/>
        </w:rPr>
        <w:t xml:space="preserve">Extended Data </w:t>
      </w:r>
    </w:p>
    <w:p w14:paraId="7E2CDD2A" w14:textId="47CA1150" w:rsidR="007415F5" w:rsidRPr="007415F5" w:rsidRDefault="007415F5" w:rsidP="007415F5">
      <w:pPr>
        <w:rPr>
          <w:lang w:val="en"/>
        </w:rPr>
      </w:pPr>
      <w:bookmarkStart w:id="0" w:name="bookmark=id.8du2ght3fyxc"/>
      <w:bookmarkEnd w:id="0"/>
      <w:r w:rsidRPr="007415F5">
        <w:rPr>
          <w:lang w:val="en"/>
        </w:rPr>
        <w:drawing>
          <wp:inline distT="0" distB="0" distL="0" distR="0" wp14:anchorId="3E505E04" wp14:editId="5FFEA9EF">
            <wp:extent cx="3810000" cy="7283450"/>
            <wp:effectExtent l="0" t="0" r="0" b="0"/>
            <wp:docPr id="17814250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
                      <a:extLst>
                        <a:ext uri="{28A0092B-C50C-407E-A947-70E740481C1C}">
                          <a14:useLocalDpi xmlns:a14="http://schemas.microsoft.com/office/drawing/2010/main" val="0"/>
                        </a:ext>
                      </a:extLst>
                    </a:blip>
                    <a:srcRect l="12672" t="2359" r="15182" b="-12"/>
                    <a:stretch>
                      <a:fillRect/>
                    </a:stretch>
                  </pic:blipFill>
                  <pic:spPr bwMode="auto">
                    <a:xfrm>
                      <a:off x="0" y="0"/>
                      <a:ext cx="3810000" cy="7283450"/>
                    </a:xfrm>
                    <a:prstGeom prst="rect">
                      <a:avLst/>
                    </a:prstGeom>
                    <a:noFill/>
                    <a:ln>
                      <a:noFill/>
                    </a:ln>
                  </pic:spPr>
                </pic:pic>
              </a:graphicData>
            </a:graphic>
          </wp:inline>
        </w:drawing>
      </w:r>
      <w:sdt>
        <w:sdtPr>
          <w:rPr>
            <w:lang w:val="en"/>
          </w:rPr>
          <w:tag w:val="goog_rdk_20"/>
          <w:id w:val="-698856408"/>
          <w:showingPlcHdr/>
        </w:sdtPr>
        <w:sdtContent>
          <w:r w:rsidRPr="007415F5">
            <w:rPr>
              <w:lang w:val="en"/>
            </w:rPr>
            <w:t xml:space="preserve">     </w:t>
          </w:r>
        </w:sdtContent>
      </w:sdt>
      <w:bookmarkStart w:id="1" w:name="_RefCXExtFig1"/>
    </w:p>
    <w:p w14:paraId="1A2D8D0B" w14:textId="77777777" w:rsidR="007415F5" w:rsidRPr="007415F5" w:rsidRDefault="007415F5" w:rsidP="007415F5">
      <w:pPr>
        <w:rPr>
          <w:lang w:val="en"/>
        </w:rPr>
      </w:pPr>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1</w:t>
      </w:r>
      <w:r w:rsidRPr="007415F5">
        <w:fldChar w:fldCharType="end"/>
      </w:r>
      <w:bookmarkEnd w:id="1"/>
      <w:r w:rsidRPr="007415F5">
        <w:rPr>
          <w:b/>
          <w:bCs/>
          <w:lang w:val="en"/>
        </w:rPr>
        <w:t xml:space="preserve"> | Coupling co-designed narratives with spatial land-system modelling.</w:t>
      </w:r>
      <w:r w:rsidRPr="007415F5">
        <w:rPr>
          <w:lang w:val="en"/>
        </w:rPr>
        <w:t xml:space="preserve"> (1) Transdisciplinary co-design of the Ag2050 narratives through iterative engagement among stakeholders, domain experts, and researchers; (2) translation of qualitative scenario narratives into quantitative and time-varying model parameters, including agricultural productivity, production costs, food demand, environmental </w:t>
      </w:r>
      <w:r w:rsidRPr="007415F5">
        <w:rPr>
          <w:lang w:val="en"/>
        </w:rPr>
        <w:lastRenderedPageBreak/>
        <w:t xml:space="preserve">targets, and agricultural management solutions; (3) implementation of scenario-specific settings within the LUTO2 spatial </w:t>
      </w:r>
      <w:proofErr w:type="spellStart"/>
      <w:r w:rsidRPr="007415F5">
        <w:rPr>
          <w:lang w:val="en"/>
        </w:rPr>
        <w:t>optimisation</w:t>
      </w:r>
      <w:proofErr w:type="spellEnd"/>
      <w:r w:rsidRPr="007415F5">
        <w:rPr>
          <w:lang w:val="en"/>
        </w:rPr>
        <w:t xml:space="preserve"> model to simulate land-use allocation and management dynamics; and (4) generation of model outputs and trade-off analyses, including land-use change, agri-food production, greenhouse gas emissions, biodiversity, water outcomes, and economic returns across scenarios.</w:t>
      </w:r>
    </w:p>
    <w:p w14:paraId="6088B157" w14:textId="201649D0" w:rsidR="007415F5" w:rsidRPr="007415F5" w:rsidRDefault="007415F5" w:rsidP="007415F5">
      <w:pPr>
        <w:rPr>
          <w:lang w:val="en"/>
        </w:rPr>
      </w:pPr>
      <w:r w:rsidRPr="007415F5">
        <w:rPr>
          <w:lang w:val="en"/>
        </w:rPr>
        <w:lastRenderedPageBreak/>
        <w:drawing>
          <wp:inline distT="0" distB="0" distL="0" distR="0" wp14:anchorId="2C338297" wp14:editId="41ED4519">
            <wp:extent cx="5270500" cy="8477250"/>
            <wp:effectExtent l="0" t="0" r="6350" b="0"/>
            <wp:docPr id="19227426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0500" cy="8477250"/>
                    </a:xfrm>
                    <a:prstGeom prst="rect">
                      <a:avLst/>
                    </a:prstGeom>
                    <a:noFill/>
                    <a:ln>
                      <a:noFill/>
                    </a:ln>
                  </pic:spPr>
                </pic:pic>
              </a:graphicData>
            </a:graphic>
          </wp:inline>
        </w:drawing>
      </w:r>
    </w:p>
    <w:p w14:paraId="77084858" w14:textId="77777777" w:rsidR="007415F5" w:rsidRPr="007415F5" w:rsidRDefault="007415F5" w:rsidP="007415F5">
      <w:pPr>
        <w:rPr>
          <w:lang w:val="en"/>
        </w:rPr>
      </w:pPr>
      <w:bookmarkStart w:id="2" w:name="bookmark=id.4bqzqwadp4gp"/>
      <w:bookmarkStart w:id="3" w:name="_RefCXExtFig2"/>
      <w:bookmarkEnd w:id="2"/>
      <w:r w:rsidRPr="007415F5">
        <w:rPr>
          <w:b/>
          <w:bCs/>
          <w:lang w:val="en"/>
        </w:rPr>
        <w:lastRenderedPageBreak/>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2</w:t>
      </w:r>
      <w:r w:rsidRPr="007415F5">
        <w:fldChar w:fldCharType="end"/>
      </w:r>
      <w:bookmarkEnd w:id="3"/>
      <w:r w:rsidRPr="007415F5">
        <w:rPr>
          <w:b/>
          <w:bCs/>
          <w:lang w:val="en"/>
        </w:rPr>
        <w:t xml:space="preserve"> | Historical observations, fitted trends, and scenario-specific trajectories for the time-varying input parameters used in LUTO2.</w:t>
      </w:r>
      <w:r w:rsidRPr="007415F5">
        <w:rPr>
          <w:lang w:val="en"/>
        </w:rPr>
        <w:t xml:space="preserve"> Panels (a–d) show the productivity and area-cost multipliers for beef, crop, dairy, and sheep; panel (e) shows the </w:t>
      </w:r>
      <w:proofErr w:type="spellStart"/>
      <w:r w:rsidRPr="007415F5">
        <w:rPr>
          <w:lang w:val="en"/>
        </w:rPr>
        <w:t>labour</w:t>
      </w:r>
      <w:proofErr w:type="spellEnd"/>
      <w:r w:rsidRPr="007415F5">
        <w:rPr>
          <w:lang w:val="en"/>
        </w:rPr>
        <w:t>-cost multiplier; and panels (f–</w:t>
      </w:r>
      <w:proofErr w:type="spellStart"/>
      <w:r w:rsidRPr="007415F5">
        <w:rPr>
          <w:lang w:val="en"/>
        </w:rPr>
        <w:t>i</w:t>
      </w:r>
      <w:proofErr w:type="spellEnd"/>
      <w:r w:rsidRPr="007415F5">
        <w:rPr>
          <w:lang w:val="en"/>
        </w:rPr>
        <w:t xml:space="preserve">) show the feedlot revenue, cost, GHG, and water adjustment ratios. Black points show historical observations, black lines show exponential-smoothing (ETS) fits, and </w:t>
      </w:r>
      <w:proofErr w:type="spellStart"/>
      <w:r w:rsidRPr="007415F5">
        <w:rPr>
          <w:lang w:val="en"/>
        </w:rPr>
        <w:t>coloured</w:t>
      </w:r>
      <w:proofErr w:type="spellEnd"/>
      <w:r w:rsidRPr="007415F5">
        <w:rPr>
          <w:lang w:val="en"/>
        </w:rPr>
        <w:t xml:space="preserve"> lines show the Low, Medium, High, and Very High scenario trajectories.</w:t>
      </w:r>
    </w:p>
    <w:p w14:paraId="13CC4DD5" w14:textId="20CA63B2" w:rsidR="007415F5" w:rsidRPr="007415F5" w:rsidRDefault="007415F5" w:rsidP="007415F5">
      <w:pPr>
        <w:rPr>
          <w:lang w:val="en"/>
        </w:rPr>
      </w:pPr>
      <w:r w:rsidRPr="007415F5">
        <w:rPr>
          <w:lang w:val="en"/>
        </w:rPr>
        <w:lastRenderedPageBreak/>
        <w:drawing>
          <wp:inline distT="0" distB="0" distL="0" distR="0" wp14:anchorId="4F25AB1A" wp14:editId="5B3BD0E9">
            <wp:extent cx="5276850" cy="8153400"/>
            <wp:effectExtent l="0" t="0" r="0" b="0"/>
            <wp:docPr id="1210933553" name="Graphic 18"/>
            <wp:cNvGraphicFramePr/>
            <a:graphic xmlns:a="http://schemas.openxmlformats.org/drawingml/2006/main">
              <a:graphicData uri="http://schemas.openxmlformats.org/drawingml/2006/picture">
                <pic:pic xmlns:pic="http://schemas.openxmlformats.org/drawingml/2006/picture">
                  <pic:nvPicPr>
                    <pic:cNvPr id="1779967865" name="图形 1"/>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5274310" cy="8151495"/>
                    </a:xfrm>
                    <a:prstGeom prst="rect">
                      <a:avLst/>
                    </a:prstGeom>
                  </pic:spPr>
                </pic:pic>
              </a:graphicData>
            </a:graphic>
          </wp:inline>
        </w:drawing>
      </w:r>
    </w:p>
    <w:p w14:paraId="1FD2B395" w14:textId="77777777" w:rsidR="007415F5" w:rsidRPr="007415F5" w:rsidRDefault="007415F5" w:rsidP="007415F5">
      <w:pPr>
        <w:rPr>
          <w:lang w:val="en"/>
        </w:rPr>
      </w:pPr>
      <w:bookmarkStart w:id="4" w:name="bookmark=id.9pa39mhiajju"/>
      <w:bookmarkStart w:id="5" w:name="_RefCXExtFig3"/>
      <w:bookmarkEnd w:id="4"/>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3</w:t>
      </w:r>
      <w:r w:rsidRPr="007415F5">
        <w:fldChar w:fldCharType="end"/>
      </w:r>
      <w:bookmarkEnd w:id="5"/>
      <w:r w:rsidRPr="007415F5">
        <w:rPr>
          <w:b/>
          <w:bCs/>
          <w:lang w:val="en"/>
        </w:rPr>
        <w:t xml:space="preserve"> | Agri-food demand trajectories by commodity, 2010–2050, under the four Ag2050 scenarios.</w:t>
      </w:r>
      <w:r w:rsidRPr="007415F5">
        <w:rPr>
          <w:lang w:val="en"/>
        </w:rPr>
        <w:t xml:space="preserve"> Stacked areas show annual demand (Mt yr</w:t>
      </w:r>
      <w:r w:rsidRPr="007415F5">
        <w:rPr>
          <w:rFonts w:ascii="Cambria Math" w:hAnsi="Cambria Math" w:cs="Cambria Math"/>
          <w:lang w:val="en"/>
        </w:rPr>
        <w:t>⁻</w:t>
      </w:r>
      <w:r w:rsidRPr="007415F5">
        <w:rPr>
          <w:rFonts w:ascii="Aptos" w:hAnsi="Aptos" w:cs="Aptos"/>
          <w:lang w:val="en"/>
        </w:rPr>
        <w:t>¹</w:t>
      </w:r>
      <w:r w:rsidRPr="007415F5">
        <w:rPr>
          <w:lang w:val="en"/>
        </w:rPr>
        <w:t xml:space="preserve">) </w:t>
      </w:r>
      <w:r w:rsidRPr="007415F5">
        <w:rPr>
          <w:lang w:val="en"/>
        </w:rPr>
        <w:lastRenderedPageBreak/>
        <w:t>decomposed into domestic, export, feed, and import components for each commodity group. Columns correspond to Regional Ag Capitals, Landscape Stewardship, Climate Survival, and System Decline.</w:t>
      </w:r>
    </w:p>
    <w:p w14:paraId="71400E61" w14:textId="35E985DD" w:rsidR="007415F5" w:rsidRPr="007415F5" w:rsidRDefault="007415F5" w:rsidP="007415F5">
      <w:pPr>
        <w:rPr>
          <w:lang w:val="en"/>
        </w:rPr>
      </w:pPr>
      <w:r w:rsidRPr="007415F5">
        <w:rPr>
          <w:lang w:val="en"/>
        </w:rPr>
        <w:drawing>
          <wp:inline distT="0" distB="0" distL="0" distR="0" wp14:anchorId="7321F2E3" wp14:editId="301BCF39">
            <wp:extent cx="5276850" cy="3390900"/>
            <wp:effectExtent l="0" t="0" r="0" b="0"/>
            <wp:docPr id="742102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3390900"/>
                    </a:xfrm>
                    <a:prstGeom prst="rect">
                      <a:avLst/>
                    </a:prstGeom>
                    <a:noFill/>
                    <a:ln>
                      <a:noFill/>
                    </a:ln>
                  </pic:spPr>
                </pic:pic>
              </a:graphicData>
            </a:graphic>
          </wp:inline>
        </w:drawing>
      </w:r>
    </w:p>
    <w:p w14:paraId="4174825E" w14:textId="77777777" w:rsidR="007415F5" w:rsidRPr="007415F5" w:rsidRDefault="007415F5" w:rsidP="007415F5">
      <w:pPr>
        <w:rPr>
          <w:lang w:val="en"/>
        </w:rPr>
      </w:pPr>
      <w:bookmarkStart w:id="6" w:name="_RefCXExtFig4"/>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4</w:t>
      </w:r>
      <w:r w:rsidRPr="007415F5">
        <w:fldChar w:fldCharType="end"/>
      </w:r>
      <w:bookmarkEnd w:id="6"/>
      <w:r w:rsidRPr="007415F5">
        <w:rPr>
          <w:b/>
          <w:bCs/>
          <w:lang w:val="en"/>
        </w:rPr>
        <w:t xml:space="preserve"> | Mammal species recorded in areas restored under the Landscape Stewardship scenario. </w:t>
      </w:r>
      <w:r w:rsidRPr="007415F5">
        <w:rPr>
          <w:lang w:val="en"/>
        </w:rPr>
        <w:t>Horizontal bars show the 15 mammal species with the most occurrence records within the grid cells reallocated to non-agricultural land uses under the Landscape Stewardship scenario in 2050, ranked by record count. Red bars denote species listed as threatened under the Environment Protection and Biodiversity Conservation Act 1999, and blue bars denote species not listed. Percentages give each species’ share of its national occurrence records that fall within the restored areas.</w:t>
      </w:r>
    </w:p>
    <w:p w14:paraId="2DBA35FA" w14:textId="77777777" w:rsidR="007415F5" w:rsidRPr="007415F5" w:rsidRDefault="007415F5" w:rsidP="007415F5">
      <w:pPr>
        <w:rPr>
          <w:lang w:val="en"/>
        </w:rPr>
      </w:pPr>
    </w:p>
    <w:p w14:paraId="5BB58BE3" w14:textId="2251A967" w:rsidR="007415F5" w:rsidRPr="007415F5" w:rsidRDefault="007415F5" w:rsidP="007415F5">
      <w:pPr>
        <w:rPr>
          <w:lang w:val="en"/>
        </w:rPr>
      </w:pPr>
      <w:r w:rsidRPr="007415F5">
        <w:rPr>
          <w:lang w:val="en"/>
        </w:rPr>
        <w:lastRenderedPageBreak/>
        <w:drawing>
          <wp:inline distT="0" distB="0" distL="0" distR="0" wp14:anchorId="786FE4A0" wp14:editId="1F914004">
            <wp:extent cx="5276850" cy="3581400"/>
            <wp:effectExtent l="0" t="0" r="0" b="0"/>
            <wp:docPr id="139217580" name="Graphic 16"/>
            <wp:cNvGraphicFramePr/>
            <a:graphic xmlns:a="http://schemas.openxmlformats.org/drawingml/2006/main">
              <a:graphicData uri="http://schemas.openxmlformats.org/drawingml/2006/picture">
                <pic:pic xmlns:pic="http://schemas.openxmlformats.org/drawingml/2006/picture">
                  <pic:nvPicPr>
                    <pic:cNvPr id="600095386" name="图形 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5274310" cy="3575685"/>
                    </a:xfrm>
                    <a:prstGeom prst="rect">
                      <a:avLst/>
                    </a:prstGeom>
                  </pic:spPr>
                </pic:pic>
              </a:graphicData>
            </a:graphic>
          </wp:inline>
        </w:drawing>
      </w:r>
    </w:p>
    <w:p w14:paraId="5EC47C06" w14:textId="77777777" w:rsidR="007415F5" w:rsidRPr="007415F5" w:rsidRDefault="007415F5" w:rsidP="007415F5">
      <w:pPr>
        <w:rPr>
          <w:lang w:val="en"/>
        </w:rPr>
      </w:pPr>
      <w:bookmarkStart w:id="7" w:name="bookmark=id.191c39ur7w1w"/>
      <w:bookmarkStart w:id="8" w:name="_RefCXExtFig5"/>
      <w:bookmarkEnd w:id="7"/>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5</w:t>
      </w:r>
      <w:r w:rsidRPr="007415F5">
        <w:fldChar w:fldCharType="end"/>
      </w:r>
      <w:bookmarkEnd w:id="8"/>
      <w:r w:rsidRPr="007415F5">
        <w:rPr>
          <w:b/>
          <w:bCs/>
          <w:lang w:val="en"/>
        </w:rPr>
        <w:t xml:space="preserve"> | Net economic returns, 2010–2050.</w:t>
      </w:r>
      <w:r w:rsidRPr="007415F5">
        <w:rPr>
          <w:lang w:val="en"/>
        </w:rPr>
        <w:t xml:space="preserve"> The upper row shows total annual net economic returns (billion AU$ yr</w:t>
      </w:r>
      <w:r w:rsidRPr="007415F5">
        <w:rPr>
          <w:rFonts w:ascii="Cambria Math" w:hAnsi="Cambria Math" w:cs="Cambria Math"/>
          <w:lang w:val="en"/>
        </w:rPr>
        <w:t>⁻</w:t>
      </w:r>
      <w:r w:rsidRPr="007415F5">
        <w:rPr>
          <w:rFonts w:ascii="Aptos" w:hAnsi="Aptos" w:cs="Aptos"/>
          <w:lang w:val="en"/>
        </w:rPr>
        <w:t>¹</w:t>
      </w:r>
      <w:r w:rsidRPr="007415F5">
        <w:rPr>
          <w:lang w:val="en"/>
        </w:rPr>
        <w:t>) with revenue and cost components; the lower rows show the contributions of land-use and agricultural-management components under the four Ag2050 scenarios. Black lines show totals.</w:t>
      </w:r>
    </w:p>
    <w:p w14:paraId="32D6D5FC" w14:textId="262F1BF3" w:rsidR="007415F5" w:rsidRPr="007415F5" w:rsidRDefault="007415F5" w:rsidP="007415F5">
      <w:pPr>
        <w:rPr>
          <w:lang w:val="en"/>
        </w:rPr>
      </w:pPr>
      <w:r w:rsidRPr="007415F5">
        <w:rPr>
          <w:lang w:val="en"/>
        </w:rPr>
        <w:drawing>
          <wp:inline distT="0" distB="0" distL="0" distR="0" wp14:anchorId="77A2B932" wp14:editId="35C37368">
            <wp:extent cx="5276850" cy="3581400"/>
            <wp:effectExtent l="0" t="0" r="0" b="0"/>
            <wp:docPr id="724112161" name="Graphic 15"/>
            <wp:cNvGraphicFramePr/>
            <a:graphic xmlns:a="http://schemas.openxmlformats.org/drawingml/2006/main">
              <a:graphicData uri="http://schemas.openxmlformats.org/drawingml/2006/picture">
                <pic:pic xmlns:pic="http://schemas.openxmlformats.org/drawingml/2006/picture">
                  <pic:nvPicPr>
                    <pic:cNvPr id="739640591" name="图形 4"/>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5274310" cy="3575685"/>
                    </a:xfrm>
                    <a:prstGeom prst="rect">
                      <a:avLst/>
                    </a:prstGeom>
                  </pic:spPr>
                </pic:pic>
              </a:graphicData>
            </a:graphic>
          </wp:inline>
        </w:drawing>
      </w:r>
    </w:p>
    <w:p w14:paraId="76DBFC49" w14:textId="77777777" w:rsidR="007415F5" w:rsidRPr="007415F5" w:rsidRDefault="007415F5" w:rsidP="007415F5">
      <w:pPr>
        <w:rPr>
          <w:lang w:val="en"/>
        </w:rPr>
      </w:pPr>
      <w:bookmarkStart w:id="9" w:name="bookmark=id.d7yncd98sl4i"/>
      <w:bookmarkStart w:id="10" w:name="_RefCXExtFig6"/>
      <w:bookmarkEnd w:id="9"/>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6</w:t>
      </w:r>
      <w:r w:rsidRPr="007415F5">
        <w:fldChar w:fldCharType="end"/>
      </w:r>
      <w:bookmarkEnd w:id="10"/>
      <w:r w:rsidRPr="007415F5">
        <w:rPr>
          <w:b/>
          <w:bCs/>
          <w:lang w:val="en"/>
        </w:rPr>
        <w:t xml:space="preserve"> | GHG emissions, 2010–2050.</w:t>
      </w:r>
      <w:r w:rsidRPr="007415F5">
        <w:rPr>
          <w:lang w:val="en"/>
        </w:rPr>
        <w:t xml:space="preserve"> The upper row shows total net emissions (Mt </w:t>
      </w:r>
      <w:proofErr w:type="spellStart"/>
      <w:r w:rsidRPr="007415F5">
        <w:rPr>
          <w:lang w:val="en"/>
        </w:rPr>
        <w:t>CO₂e</w:t>
      </w:r>
      <w:proofErr w:type="spellEnd"/>
      <w:r w:rsidRPr="007415F5">
        <w:rPr>
          <w:lang w:val="en"/>
        </w:rPr>
        <w:t xml:space="preserve"> yr</w:t>
      </w:r>
      <w:r w:rsidRPr="007415F5">
        <w:rPr>
          <w:rFonts w:ascii="Cambria Math" w:hAnsi="Cambria Math" w:cs="Cambria Math"/>
          <w:lang w:val="en"/>
        </w:rPr>
        <w:t>⁻</w:t>
      </w:r>
      <w:r w:rsidRPr="007415F5">
        <w:rPr>
          <w:rFonts w:ascii="Aptos" w:hAnsi="Aptos" w:cs="Aptos"/>
          <w:lang w:val="en"/>
        </w:rPr>
        <w:t>¹</w:t>
      </w:r>
      <w:r w:rsidRPr="007415F5">
        <w:rPr>
          <w:lang w:val="en"/>
        </w:rPr>
        <w:t xml:space="preserve">); the lower rows show the contributions of land-use and </w:t>
      </w:r>
      <w:r w:rsidRPr="007415F5">
        <w:rPr>
          <w:lang w:val="en"/>
        </w:rPr>
        <w:lastRenderedPageBreak/>
        <w:t>agricultural-management components under the four Ag2050 scenarios. Black lines show totals; negative values indicate net sequestration.</w:t>
      </w:r>
    </w:p>
    <w:p w14:paraId="706A7141" w14:textId="77777777" w:rsidR="007415F5" w:rsidRPr="007415F5" w:rsidRDefault="007415F5" w:rsidP="007415F5">
      <w:pPr>
        <w:rPr>
          <w:lang w:val="en"/>
        </w:rPr>
      </w:pPr>
    </w:p>
    <w:p w14:paraId="3E87CAD1" w14:textId="7CC71F3F" w:rsidR="007415F5" w:rsidRPr="007415F5" w:rsidRDefault="007415F5" w:rsidP="007415F5">
      <w:pPr>
        <w:rPr>
          <w:lang w:val="en"/>
        </w:rPr>
      </w:pPr>
      <w:r w:rsidRPr="007415F5">
        <w:rPr>
          <w:lang w:val="en"/>
        </w:rPr>
        <w:drawing>
          <wp:inline distT="0" distB="0" distL="0" distR="0" wp14:anchorId="38A7A2BC" wp14:editId="46E5E676">
            <wp:extent cx="5276850" cy="3581400"/>
            <wp:effectExtent l="0" t="0" r="0" b="0"/>
            <wp:docPr id="499187233" name="Graphic 14"/>
            <wp:cNvGraphicFramePr/>
            <a:graphic xmlns:a="http://schemas.openxmlformats.org/drawingml/2006/main">
              <a:graphicData uri="http://schemas.openxmlformats.org/drawingml/2006/picture">
                <pic:pic xmlns:pic="http://schemas.openxmlformats.org/drawingml/2006/picture">
                  <pic:nvPicPr>
                    <pic:cNvPr id="604092059" name="图形 5"/>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5274310" cy="3578225"/>
                    </a:xfrm>
                    <a:prstGeom prst="rect">
                      <a:avLst/>
                    </a:prstGeom>
                  </pic:spPr>
                </pic:pic>
              </a:graphicData>
            </a:graphic>
          </wp:inline>
        </w:drawing>
      </w:r>
    </w:p>
    <w:p w14:paraId="7A7C85AB" w14:textId="77777777" w:rsidR="007415F5" w:rsidRPr="007415F5" w:rsidRDefault="007415F5" w:rsidP="007415F5">
      <w:pPr>
        <w:rPr>
          <w:lang w:val="en"/>
        </w:rPr>
      </w:pPr>
      <w:bookmarkStart w:id="11" w:name="bookmark=id.59js1yvm3jx6"/>
      <w:bookmarkStart w:id="12" w:name="_RefCXExtFig7"/>
      <w:bookmarkEnd w:id="11"/>
      <w:r w:rsidRPr="007415F5">
        <w:rPr>
          <w:b/>
          <w:bCs/>
          <w:lang w:val="en"/>
        </w:rPr>
        <w:t>Extended Data Fig. 7 | Contribution-weighted biodiversity score, 2010–2050.</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fldChar w:fldCharType="end"/>
      </w:r>
      <w:bookmarkEnd w:id="12"/>
      <w:r w:rsidRPr="007415F5">
        <w:rPr>
          <w:lang w:val="en"/>
        </w:rPr>
        <w:t xml:space="preserve"> The upper row shows the total continental biodiversity indicator (</w:t>
      </w:r>
      <w:proofErr w:type="spellStart"/>
      <w:r w:rsidRPr="007415F5">
        <w:rPr>
          <w:lang w:val="en"/>
        </w:rPr>
        <w:t>Mha</w:t>
      </w:r>
      <w:proofErr w:type="spellEnd"/>
      <w:r w:rsidRPr="007415F5">
        <w:rPr>
          <w:lang w:val="en"/>
        </w:rPr>
        <w:t>); the lower rows show the contributions of land-use and agricultural-management components under the four Ag2050 scenarios.</w:t>
      </w:r>
    </w:p>
    <w:p w14:paraId="1620F7D8" w14:textId="4AC2AD94" w:rsidR="007415F5" w:rsidRPr="007415F5" w:rsidRDefault="007415F5" w:rsidP="007415F5">
      <w:pPr>
        <w:rPr>
          <w:lang w:val="en"/>
        </w:rPr>
      </w:pPr>
      <w:r w:rsidRPr="007415F5">
        <w:rPr>
          <w:lang w:val="en"/>
        </w:rPr>
        <w:lastRenderedPageBreak/>
        <w:drawing>
          <wp:inline distT="0" distB="0" distL="0" distR="0" wp14:anchorId="121ACB9C" wp14:editId="5F33369A">
            <wp:extent cx="5276850" cy="3594100"/>
            <wp:effectExtent l="0" t="0" r="0" b="6350"/>
            <wp:docPr id="249567562" name="Graphic 13"/>
            <wp:cNvGraphicFramePr/>
            <a:graphic xmlns:a="http://schemas.openxmlformats.org/drawingml/2006/main">
              <a:graphicData uri="http://schemas.openxmlformats.org/drawingml/2006/picture">
                <pic:pic xmlns:pic="http://schemas.openxmlformats.org/drawingml/2006/picture">
                  <pic:nvPicPr>
                    <pic:cNvPr id="1533642313" name="图形 6"/>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5274310" cy="3596640"/>
                    </a:xfrm>
                    <a:prstGeom prst="rect">
                      <a:avLst/>
                    </a:prstGeom>
                  </pic:spPr>
                </pic:pic>
              </a:graphicData>
            </a:graphic>
          </wp:inline>
        </w:drawing>
      </w:r>
    </w:p>
    <w:p w14:paraId="09D0E3BA" w14:textId="77777777" w:rsidR="007415F5" w:rsidRPr="007415F5" w:rsidRDefault="007415F5" w:rsidP="007415F5">
      <w:pPr>
        <w:rPr>
          <w:lang w:val="en"/>
        </w:rPr>
      </w:pPr>
      <w:bookmarkStart w:id="13" w:name="bookmark=id.qw2fyarugmqw"/>
      <w:bookmarkStart w:id="14" w:name="_RefCXExtFig8"/>
      <w:bookmarkEnd w:id="13"/>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8</w:t>
      </w:r>
      <w:r w:rsidRPr="007415F5">
        <w:fldChar w:fldCharType="end"/>
      </w:r>
      <w:bookmarkEnd w:id="14"/>
      <w:r w:rsidRPr="007415F5">
        <w:rPr>
          <w:b/>
          <w:bCs/>
          <w:lang w:val="en"/>
        </w:rPr>
        <w:t xml:space="preserve"> | Agri-food production, 2010–2050.</w:t>
      </w:r>
      <w:r w:rsidRPr="007415F5">
        <w:rPr>
          <w:lang w:val="en"/>
        </w:rPr>
        <w:t xml:space="preserve"> The upper row shows total annual production (Mt yr</w:t>
      </w:r>
      <w:r w:rsidRPr="007415F5">
        <w:rPr>
          <w:rFonts w:ascii="Cambria Math" w:hAnsi="Cambria Math" w:cs="Cambria Math"/>
          <w:lang w:val="en"/>
        </w:rPr>
        <w:t>⁻</w:t>
      </w:r>
      <w:r w:rsidRPr="007415F5">
        <w:rPr>
          <w:rFonts w:ascii="Aptos" w:hAnsi="Aptos" w:cs="Aptos"/>
          <w:lang w:val="en"/>
        </w:rPr>
        <w:t>¹</w:t>
      </w:r>
      <w:r w:rsidRPr="007415F5">
        <w:rPr>
          <w:lang w:val="en"/>
        </w:rPr>
        <w:t>); the lower rows show the contributions of land-use and agricultural-management components under the four Ag2050 scenarios.</w:t>
      </w:r>
    </w:p>
    <w:p w14:paraId="2DBD0A46" w14:textId="77777777" w:rsidR="007415F5" w:rsidRPr="007415F5" w:rsidRDefault="007415F5" w:rsidP="007415F5">
      <w:pPr>
        <w:rPr>
          <w:lang w:val="en"/>
        </w:rPr>
      </w:pPr>
    </w:p>
    <w:p w14:paraId="483FDFA5" w14:textId="7BD1756E" w:rsidR="007415F5" w:rsidRPr="007415F5" w:rsidRDefault="007415F5" w:rsidP="007415F5">
      <w:pPr>
        <w:rPr>
          <w:lang w:val="en"/>
        </w:rPr>
      </w:pPr>
      <w:r w:rsidRPr="007415F5">
        <w:rPr>
          <w:lang w:val="en"/>
        </w:rPr>
        <w:drawing>
          <wp:inline distT="0" distB="0" distL="0" distR="0" wp14:anchorId="2901D3D3" wp14:editId="103FD4C0">
            <wp:extent cx="5276850" cy="3498850"/>
            <wp:effectExtent l="0" t="0" r="0" b="6350"/>
            <wp:docPr id="422326887" name="Graphic 12"/>
            <wp:cNvGraphicFramePr/>
            <a:graphic xmlns:a="http://schemas.openxmlformats.org/drawingml/2006/main">
              <a:graphicData uri="http://schemas.openxmlformats.org/drawingml/2006/picture">
                <pic:pic xmlns:pic="http://schemas.openxmlformats.org/drawingml/2006/picture">
                  <pic:nvPicPr>
                    <pic:cNvPr id="1586020355" name="图形 7"/>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5274310" cy="3495675"/>
                    </a:xfrm>
                    <a:prstGeom prst="rect">
                      <a:avLst/>
                    </a:prstGeom>
                  </pic:spPr>
                </pic:pic>
              </a:graphicData>
            </a:graphic>
          </wp:inline>
        </w:drawing>
      </w:r>
    </w:p>
    <w:p w14:paraId="557389F7" w14:textId="77777777" w:rsidR="007415F5" w:rsidRPr="007415F5" w:rsidRDefault="007415F5" w:rsidP="007415F5">
      <w:pPr>
        <w:rPr>
          <w:lang w:val="en"/>
        </w:rPr>
      </w:pPr>
      <w:bookmarkStart w:id="15" w:name="_RefCXExtFig9"/>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9</w:t>
      </w:r>
      <w:r w:rsidRPr="007415F5">
        <w:fldChar w:fldCharType="end"/>
      </w:r>
      <w:bookmarkEnd w:id="15"/>
      <w:r w:rsidRPr="007415F5">
        <w:rPr>
          <w:b/>
          <w:bCs/>
          <w:lang w:val="en"/>
        </w:rPr>
        <w:t xml:space="preserve"> | Change in water yield relative to 2010, 2010–2050.</w:t>
      </w:r>
      <w:r w:rsidRPr="007415F5">
        <w:rPr>
          <w:lang w:val="en"/>
        </w:rPr>
        <w:t xml:space="preserve"> The upper row shows the total change (GL yr</w:t>
      </w:r>
      <w:r w:rsidRPr="007415F5">
        <w:rPr>
          <w:rFonts w:ascii="Cambria Math" w:hAnsi="Cambria Math" w:cs="Cambria Math"/>
          <w:lang w:val="en"/>
        </w:rPr>
        <w:t>⁻</w:t>
      </w:r>
      <w:r w:rsidRPr="007415F5">
        <w:rPr>
          <w:rFonts w:ascii="Aptos" w:hAnsi="Aptos" w:cs="Aptos"/>
          <w:lang w:val="en"/>
        </w:rPr>
        <w:t>¹</w:t>
      </w:r>
      <w:r w:rsidRPr="007415F5">
        <w:rPr>
          <w:lang w:val="en"/>
        </w:rPr>
        <w:t xml:space="preserve">); the lower rows show the decomposition into the </w:t>
      </w:r>
      <w:r w:rsidRPr="007415F5">
        <w:rPr>
          <w:lang w:val="en"/>
        </w:rPr>
        <w:lastRenderedPageBreak/>
        <w:t>climate-change component and the land-use component, the latter resolved into irrigated agriculture, dryland agriculture, non-agricultural land use, and agricultural management, under the four Ag2050 scenarios.</w:t>
      </w:r>
    </w:p>
    <w:p w14:paraId="4C80BE71" w14:textId="644B7AA4" w:rsidR="007415F5" w:rsidRPr="007415F5" w:rsidRDefault="007415F5" w:rsidP="007415F5">
      <w:pPr>
        <w:rPr>
          <w:lang w:val="en"/>
        </w:rPr>
      </w:pPr>
      <w:r w:rsidRPr="007415F5">
        <w:rPr>
          <w:lang w:val="en"/>
        </w:rPr>
        <w:drawing>
          <wp:inline distT="0" distB="0" distL="0" distR="0" wp14:anchorId="46280950" wp14:editId="2D10459E">
            <wp:extent cx="5276850" cy="4362450"/>
            <wp:effectExtent l="0" t="0" r="0" b="0"/>
            <wp:docPr id="2024787625" name="Graphic 11"/>
            <wp:cNvGraphicFramePr/>
            <a:graphic xmlns:a="http://schemas.openxmlformats.org/drawingml/2006/main">
              <a:graphicData uri="http://schemas.openxmlformats.org/drawingml/2006/picture">
                <pic:pic xmlns:pic="http://schemas.openxmlformats.org/drawingml/2006/picture">
                  <pic:nvPicPr>
                    <pic:cNvPr id="585946140" name="图形 8"/>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274310" cy="4361180"/>
                    </a:xfrm>
                    <a:prstGeom prst="rect">
                      <a:avLst/>
                    </a:prstGeom>
                  </pic:spPr>
                </pic:pic>
              </a:graphicData>
            </a:graphic>
          </wp:inline>
        </w:drawing>
      </w:r>
    </w:p>
    <w:p w14:paraId="0216DC9B" w14:textId="77777777" w:rsidR="007415F5" w:rsidRPr="007415F5" w:rsidRDefault="007415F5" w:rsidP="007415F5">
      <w:pPr>
        <w:rPr>
          <w:lang w:val="en"/>
        </w:rPr>
      </w:pPr>
      <w:bookmarkStart w:id="16" w:name="_RefCXExtFig10"/>
      <w:r w:rsidRPr="007415F5">
        <w:rPr>
          <w:b/>
          <w:bCs/>
          <w:lang w:val="en"/>
        </w:rPr>
        <w:t xml:space="preserve">Extended Data Fig. </w:t>
      </w:r>
      <w:r w:rsidRPr="007415F5">
        <w:rPr>
          <w:lang w:val="en"/>
        </w:rPr>
        <w:fldChar w:fldCharType="begin"/>
      </w:r>
      <w:r w:rsidRPr="007415F5">
        <w:rPr>
          <w:b/>
          <w:bCs/>
          <w:lang w:val="en"/>
        </w:rPr>
        <w:instrText xml:space="preserve"> SEQ Extended_Data_Figure \* ARABIC </w:instrText>
      </w:r>
      <w:r w:rsidRPr="007415F5">
        <w:rPr>
          <w:lang w:val="en"/>
        </w:rPr>
        <w:fldChar w:fldCharType="separate"/>
      </w:r>
      <w:r w:rsidRPr="007415F5">
        <w:rPr>
          <w:b/>
          <w:bCs/>
          <w:lang w:val="en"/>
        </w:rPr>
        <w:t>10</w:t>
      </w:r>
      <w:r w:rsidRPr="007415F5">
        <w:fldChar w:fldCharType="end"/>
      </w:r>
      <w:bookmarkEnd w:id="16"/>
      <w:r w:rsidRPr="007415F5">
        <w:rPr>
          <w:b/>
          <w:bCs/>
          <w:lang w:val="en"/>
        </w:rPr>
        <w:t xml:space="preserve"> | Dryland and irrigated agricultural area and agri-food production, 2010–2050. </w:t>
      </w:r>
      <w:r w:rsidRPr="007415F5">
        <w:rPr>
          <w:lang w:val="en"/>
        </w:rPr>
        <w:t>Rows show, from top to bottom, dryland agricultural area (</w:t>
      </w:r>
      <w:proofErr w:type="spellStart"/>
      <w:r w:rsidRPr="007415F5">
        <w:rPr>
          <w:lang w:val="en"/>
        </w:rPr>
        <w:t>Mha</w:t>
      </w:r>
      <w:proofErr w:type="spellEnd"/>
      <w:r w:rsidRPr="007415F5">
        <w:rPr>
          <w:lang w:val="en"/>
        </w:rPr>
        <w:t>), irrigated agricultural area (</w:t>
      </w:r>
      <w:proofErr w:type="spellStart"/>
      <w:r w:rsidRPr="007415F5">
        <w:rPr>
          <w:lang w:val="en"/>
        </w:rPr>
        <w:t>Mha</w:t>
      </w:r>
      <w:proofErr w:type="spellEnd"/>
      <w:r w:rsidRPr="007415F5">
        <w:rPr>
          <w:lang w:val="en"/>
        </w:rPr>
        <w:t>), dryland agri-food production (Mt yr</w:t>
      </w:r>
      <w:r w:rsidRPr="007415F5">
        <w:rPr>
          <w:rFonts w:ascii="Cambria Math" w:hAnsi="Cambria Math" w:cs="Cambria Math"/>
          <w:lang w:val="en"/>
        </w:rPr>
        <w:t>⁻</w:t>
      </w:r>
      <w:r w:rsidRPr="007415F5">
        <w:rPr>
          <w:rFonts w:ascii="Aptos" w:hAnsi="Aptos" w:cs="Aptos"/>
          <w:lang w:val="en"/>
        </w:rPr>
        <w:t>¹</w:t>
      </w:r>
      <w:r w:rsidRPr="007415F5">
        <w:rPr>
          <w:lang w:val="en"/>
        </w:rPr>
        <w:t>), and irrigated agri-food production (Mt yr</w:t>
      </w:r>
      <w:r w:rsidRPr="007415F5">
        <w:rPr>
          <w:rFonts w:ascii="Cambria Math" w:hAnsi="Cambria Math" w:cs="Cambria Math"/>
          <w:lang w:val="en"/>
        </w:rPr>
        <w:t>⁻</w:t>
      </w:r>
      <w:r w:rsidRPr="007415F5">
        <w:rPr>
          <w:rFonts w:ascii="Aptos" w:hAnsi="Aptos" w:cs="Aptos"/>
          <w:lang w:val="en"/>
        </w:rPr>
        <w:t>¹</w:t>
      </w:r>
      <w:r w:rsidRPr="007415F5">
        <w:rPr>
          <w:lang w:val="en"/>
        </w:rPr>
        <w:t xml:space="preserve">). Columns correspond to the Regional Ag Capitals, Landscape Stewardship, Climate Survival, and System Decline scenarios. </w:t>
      </w:r>
      <w:proofErr w:type="spellStart"/>
      <w:r w:rsidRPr="007415F5">
        <w:rPr>
          <w:lang w:val="en"/>
        </w:rPr>
        <w:t>Coloured</w:t>
      </w:r>
      <w:proofErr w:type="spellEnd"/>
      <w:r w:rsidRPr="007415F5">
        <w:rPr>
          <w:lang w:val="en"/>
        </w:rPr>
        <w:t xml:space="preserve"> bands show component contributions and black lines show totals. </w:t>
      </w:r>
      <w:proofErr w:type="spellStart"/>
      <w:r w:rsidRPr="007415F5">
        <w:rPr>
          <w:lang w:val="en"/>
        </w:rPr>
        <w:t>Mha</w:t>
      </w:r>
      <w:proofErr w:type="spellEnd"/>
      <w:r w:rsidRPr="007415F5">
        <w:rPr>
          <w:lang w:val="en"/>
        </w:rPr>
        <w:t xml:space="preserve">, million hectares; Mt, million </w:t>
      </w:r>
      <w:proofErr w:type="spellStart"/>
      <w:r w:rsidRPr="007415F5">
        <w:rPr>
          <w:lang w:val="en"/>
        </w:rPr>
        <w:t>tonnes</w:t>
      </w:r>
      <w:proofErr w:type="spellEnd"/>
      <w:r w:rsidRPr="007415F5">
        <w:rPr>
          <w:lang w:val="en"/>
        </w:rPr>
        <w:t>.</w:t>
      </w:r>
    </w:p>
    <w:p w14:paraId="7EE50DDD" w14:textId="7458E2C5"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F5"/>
    <w:rsid w:val="007415F5"/>
    <w:rsid w:val="00767E38"/>
    <w:rsid w:val="00866F7D"/>
    <w:rsid w:val="00C24D4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7CA2"/>
  <w15:chartTrackingRefBased/>
  <w15:docId w15:val="{D3F91CEE-9BBC-4C54-9BEC-81C52851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5F5"/>
    <w:rPr>
      <w:rFonts w:eastAsiaTheme="majorEastAsia" w:cstheme="majorBidi"/>
      <w:color w:val="272727" w:themeColor="text1" w:themeTint="D8"/>
    </w:rPr>
  </w:style>
  <w:style w:type="paragraph" w:styleId="Title">
    <w:name w:val="Title"/>
    <w:basedOn w:val="Normal"/>
    <w:next w:val="Normal"/>
    <w:link w:val="TitleChar"/>
    <w:uiPriority w:val="10"/>
    <w:qFormat/>
    <w:rsid w:val="00741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5F5"/>
    <w:pPr>
      <w:spacing w:before="160"/>
      <w:jc w:val="center"/>
    </w:pPr>
    <w:rPr>
      <w:i/>
      <w:iCs/>
      <w:color w:val="404040" w:themeColor="text1" w:themeTint="BF"/>
    </w:rPr>
  </w:style>
  <w:style w:type="character" w:customStyle="1" w:styleId="QuoteChar">
    <w:name w:val="Quote Char"/>
    <w:basedOn w:val="DefaultParagraphFont"/>
    <w:link w:val="Quote"/>
    <w:uiPriority w:val="29"/>
    <w:rsid w:val="007415F5"/>
    <w:rPr>
      <w:i/>
      <w:iCs/>
      <w:color w:val="404040" w:themeColor="text1" w:themeTint="BF"/>
    </w:rPr>
  </w:style>
  <w:style w:type="paragraph" w:styleId="ListParagraph">
    <w:name w:val="List Paragraph"/>
    <w:basedOn w:val="Normal"/>
    <w:uiPriority w:val="34"/>
    <w:qFormat/>
    <w:rsid w:val="007415F5"/>
    <w:pPr>
      <w:ind w:left="720"/>
      <w:contextualSpacing/>
    </w:pPr>
  </w:style>
  <w:style w:type="character" w:styleId="IntenseEmphasis">
    <w:name w:val="Intense Emphasis"/>
    <w:basedOn w:val="DefaultParagraphFont"/>
    <w:uiPriority w:val="21"/>
    <w:qFormat/>
    <w:rsid w:val="007415F5"/>
    <w:rPr>
      <w:i/>
      <w:iCs/>
      <w:color w:val="0F4761" w:themeColor="accent1" w:themeShade="BF"/>
    </w:rPr>
  </w:style>
  <w:style w:type="paragraph" w:styleId="IntenseQuote">
    <w:name w:val="Intense Quote"/>
    <w:basedOn w:val="Normal"/>
    <w:next w:val="Normal"/>
    <w:link w:val="IntenseQuoteChar"/>
    <w:uiPriority w:val="30"/>
    <w:qFormat/>
    <w:rsid w:val="00741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5F5"/>
    <w:rPr>
      <w:i/>
      <w:iCs/>
      <w:color w:val="0F4761" w:themeColor="accent1" w:themeShade="BF"/>
    </w:rPr>
  </w:style>
  <w:style w:type="character" w:styleId="IntenseReference">
    <w:name w:val="Intense Reference"/>
    <w:basedOn w:val="DefaultParagraphFont"/>
    <w:uiPriority w:val="32"/>
    <w:qFormat/>
    <w:rsid w:val="007415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sv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svg"/><Relationship Id="rId12" Type="http://schemas.openxmlformats.org/officeDocument/2006/relationships/image" Target="media/image9.sv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svg"/><Relationship Id="rId20" Type="http://schemas.openxmlformats.org/officeDocument/2006/relationships/image" Target="media/image17.sv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sv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sv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2026-07-24T08:17:00Z</dcterms:created>
  <dcterms:modified xsi:type="dcterms:W3CDTF">2026-07-24T08:18:00Z</dcterms:modified>
</cp:coreProperties>
</file>