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65CD32" w14:textId="77777777" w:rsidR="001B1BB3" w:rsidRDefault="001B1BB3" w:rsidP="001B1BB3">
      <w:pPr>
        <w:spacing w:line="480" w:lineRule="auto"/>
        <w:jc w:val="center"/>
        <w:rPr>
          <w:b/>
          <w:sz w:val="28"/>
          <w:lang w:val="en-US"/>
        </w:rPr>
      </w:pPr>
      <w:r>
        <w:rPr>
          <w:b/>
          <w:sz w:val="28"/>
          <w:lang w:val="en-US"/>
        </w:rPr>
        <w:t>Supplementary Material for</w:t>
      </w:r>
    </w:p>
    <w:p w14:paraId="09A6CBF8" w14:textId="77777777" w:rsidR="00534B46" w:rsidRPr="00534B46" w:rsidRDefault="00534B46" w:rsidP="00534B46">
      <w:pPr>
        <w:spacing w:line="240" w:lineRule="auto"/>
        <w:rPr>
          <w:lang w:val="en-US"/>
        </w:rPr>
      </w:pPr>
      <w:r w:rsidRPr="00534B46">
        <w:rPr>
          <w:b/>
          <w:lang w:val="en-US"/>
        </w:rPr>
        <w:t xml:space="preserve">Title: </w:t>
      </w:r>
      <w:r w:rsidRPr="00534B46">
        <w:rPr>
          <w:lang w:val="en-US"/>
        </w:rPr>
        <w:t xml:space="preserve">Ocean climate connectivity and the future range shifts of marine biodiversity.  </w:t>
      </w:r>
    </w:p>
    <w:p w14:paraId="5EEBABB4" w14:textId="77777777" w:rsidR="00534B46" w:rsidRPr="00534B46" w:rsidRDefault="00534B46" w:rsidP="00534B46">
      <w:pPr>
        <w:spacing w:line="240" w:lineRule="auto"/>
        <w:rPr>
          <w:b/>
          <w:lang w:val="en-US"/>
        </w:rPr>
      </w:pPr>
    </w:p>
    <w:p w14:paraId="12270497" w14:textId="77777777" w:rsidR="00534B46" w:rsidRPr="00534B46" w:rsidRDefault="00534B46" w:rsidP="00534B46">
      <w:pPr>
        <w:spacing w:after="0" w:line="240" w:lineRule="auto"/>
        <w:rPr>
          <w:lang w:val="en-US"/>
        </w:rPr>
      </w:pPr>
      <w:r w:rsidRPr="00534B46">
        <w:rPr>
          <w:lang w:val="en-US"/>
        </w:rPr>
        <w:t>Panagiotis Petsas</w:t>
      </w:r>
      <w:r w:rsidRPr="00534B46">
        <w:rPr>
          <w:vertAlign w:val="superscript"/>
          <w:lang w:val="en-US"/>
        </w:rPr>
        <w:t>1*</w:t>
      </w:r>
      <w:r w:rsidRPr="00534B46">
        <w:rPr>
          <w:lang w:val="en-US"/>
        </w:rPr>
        <w:t xml:space="preserve">, </w:t>
      </w:r>
      <w:proofErr w:type="spellStart"/>
      <w:r w:rsidRPr="00534B46">
        <w:rPr>
          <w:lang w:val="en-US"/>
        </w:rPr>
        <w:t>Aggeliki</w:t>
      </w:r>
      <w:proofErr w:type="spellEnd"/>
      <w:r w:rsidRPr="00534B46">
        <w:rPr>
          <w:lang w:val="en-US"/>
        </w:rPr>
        <w:t xml:space="preserve"> Doxa</w:t>
      </w:r>
      <w:r w:rsidRPr="00534B46">
        <w:rPr>
          <w:vertAlign w:val="superscript"/>
          <w:lang w:val="en-US"/>
        </w:rPr>
        <w:t>1</w:t>
      </w:r>
      <w:r w:rsidRPr="00534B46">
        <w:rPr>
          <w:lang w:val="en-US"/>
        </w:rPr>
        <w:t>, Vasiliki Almpanidou</w:t>
      </w:r>
      <w:r w:rsidRPr="00534B46">
        <w:rPr>
          <w:vertAlign w:val="superscript"/>
          <w:lang w:val="en-US"/>
        </w:rPr>
        <w:t>1</w:t>
      </w:r>
      <w:r w:rsidRPr="00534B46">
        <w:rPr>
          <w:lang w:val="en-US"/>
        </w:rPr>
        <w:t xml:space="preserve">, </w:t>
      </w:r>
      <w:proofErr w:type="spellStart"/>
      <w:r w:rsidRPr="00534B46">
        <w:rPr>
          <w:lang w:val="en-US"/>
        </w:rPr>
        <w:t>Antonios</w:t>
      </w:r>
      <w:proofErr w:type="spellEnd"/>
      <w:r w:rsidRPr="00534B46">
        <w:rPr>
          <w:lang w:val="en-US"/>
        </w:rPr>
        <w:t xml:space="preserve"> D. Mazaris</w:t>
      </w:r>
      <w:r w:rsidRPr="00534B46">
        <w:rPr>
          <w:vertAlign w:val="superscript"/>
          <w:lang w:val="en-US"/>
        </w:rPr>
        <w:t>1</w:t>
      </w:r>
    </w:p>
    <w:p w14:paraId="7DE7D36B" w14:textId="77777777" w:rsidR="00534B46" w:rsidRPr="00534B46" w:rsidRDefault="00534B46" w:rsidP="00534B46">
      <w:pPr>
        <w:spacing w:after="0" w:line="240" w:lineRule="auto"/>
        <w:rPr>
          <w:i/>
          <w:lang w:val="en-US"/>
        </w:rPr>
      </w:pPr>
    </w:p>
    <w:p w14:paraId="618A1E47" w14:textId="77777777" w:rsidR="001B1BB3" w:rsidRDefault="001B1BB3" w:rsidP="001B1BB3">
      <w:pPr>
        <w:spacing w:after="0" w:line="240" w:lineRule="auto"/>
        <w:rPr>
          <w:rFonts w:eastAsia="Cambria" w:cs="Times New Roman"/>
          <w:b/>
          <w:lang w:val="en-US"/>
        </w:rPr>
      </w:pPr>
    </w:p>
    <w:p w14:paraId="0AB86FB3" w14:textId="77777777" w:rsidR="001B1BB3" w:rsidRDefault="001B1BB3" w:rsidP="001B1BB3">
      <w:pPr>
        <w:spacing w:line="240" w:lineRule="auto"/>
        <w:rPr>
          <w:rFonts w:cs="Times New Roman"/>
          <w:shd w:val="clear" w:color="auto" w:fill="FFFFFF"/>
          <w:lang w:val="en-US"/>
        </w:rPr>
      </w:pPr>
      <w:r>
        <w:rPr>
          <w:rFonts w:cs="Times New Roman"/>
          <w:shd w:val="clear" w:color="auto" w:fill="FFFFFF"/>
          <w:vertAlign w:val="superscript"/>
          <w:lang w:val="en-US"/>
        </w:rPr>
        <w:t>1</w:t>
      </w:r>
      <w:r>
        <w:rPr>
          <w:rFonts w:cs="Times New Roman"/>
          <w:shd w:val="clear" w:color="auto" w:fill="FFFFFF"/>
          <w:lang w:val="en-US"/>
        </w:rPr>
        <w:t>Department of Ecology, School of Biology, Aristotle University of Thessaloniki, 54636, Thessaloniki, Greece</w:t>
      </w:r>
    </w:p>
    <w:p w14:paraId="60A1DAB3" w14:textId="77777777" w:rsidR="001B1BB3" w:rsidRDefault="001B1BB3" w:rsidP="001B1BB3">
      <w:pPr>
        <w:spacing w:after="0" w:line="240" w:lineRule="auto"/>
        <w:rPr>
          <w:rFonts w:eastAsia="Cambria" w:cs="Times New Roman"/>
          <w:b/>
          <w:lang w:val="en-US"/>
        </w:rPr>
      </w:pPr>
      <w:r>
        <w:rPr>
          <w:rFonts w:eastAsia="Cambria" w:cs="Times New Roman"/>
          <w:b/>
          <w:lang w:val="en-US"/>
        </w:rPr>
        <w:t xml:space="preserve">*author for correspondence: </w:t>
      </w:r>
    </w:p>
    <w:p w14:paraId="3C4FF977" w14:textId="0A2C0EB5" w:rsidR="001B1BB3" w:rsidRDefault="001B1BB3" w:rsidP="001B1BB3">
      <w:pPr>
        <w:spacing w:after="0" w:line="240" w:lineRule="auto"/>
        <w:rPr>
          <w:rFonts w:eastAsia="Cambria" w:cs="Times New Roman"/>
          <w:b/>
          <w:sz w:val="20"/>
          <w:szCs w:val="20"/>
          <w:lang w:val="en-US"/>
        </w:rPr>
      </w:pPr>
      <w:r>
        <w:rPr>
          <w:rFonts w:eastAsia="Cambria" w:cs="Times New Roman"/>
          <w:b/>
          <w:lang w:val="en-US"/>
        </w:rPr>
        <w:t>email: pnpetsas@bio.auth.gr, tel.: +30 6944997084</w:t>
      </w:r>
    </w:p>
    <w:p w14:paraId="63222E68" w14:textId="77777777" w:rsidR="001B1BB3" w:rsidRDefault="001B1BB3" w:rsidP="001B1BB3">
      <w:pPr>
        <w:spacing w:line="480" w:lineRule="auto"/>
        <w:rPr>
          <w:b/>
          <w:sz w:val="28"/>
          <w:lang w:val="en-US"/>
        </w:rPr>
      </w:pPr>
    </w:p>
    <w:p w14:paraId="315B465D" w14:textId="214677A7" w:rsidR="001B1BB3" w:rsidRDefault="001B1BB3" w:rsidP="001B1BB3">
      <w:pPr>
        <w:spacing w:line="480" w:lineRule="auto"/>
        <w:rPr>
          <w:lang w:val="en-US"/>
        </w:rPr>
      </w:pPr>
      <w:r>
        <w:rPr>
          <w:lang w:val="en-US"/>
        </w:rPr>
        <w:t>Journal: Nature Climate Change</w:t>
      </w:r>
    </w:p>
    <w:p w14:paraId="15A73DEC" w14:textId="77777777" w:rsidR="001B1BB3" w:rsidRDefault="001B1BB3" w:rsidP="001B1BB3">
      <w:pPr>
        <w:spacing w:line="480" w:lineRule="auto"/>
        <w:rPr>
          <w:lang w:val="en-US"/>
        </w:rPr>
      </w:pPr>
    </w:p>
    <w:p w14:paraId="4BFF3BEF" w14:textId="56225BF4" w:rsidR="001B1BB3" w:rsidRDefault="001B1BB3" w:rsidP="001B1BB3">
      <w:pPr>
        <w:spacing w:line="480" w:lineRule="auto"/>
        <w:rPr>
          <w:b/>
          <w:lang w:val="en-US"/>
        </w:rPr>
      </w:pPr>
      <w:r>
        <w:rPr>
          <w:b/>
          <w:lang w:val="en-US"/>
        </w:rPr>
        <w:t>This document includes:</w:t>
      </w:r>
    </w:p>
    <w:p w14:paraId="19AB1851" w14:textId="77777777" w:rsidR="001B1BB3" w:rsidRDefault="001B1BB3" w:rsidP="001B1BB3">
      <w:pPr>
        <w:spacing w:line="480" w:lineRule="auto"/>
        <w:rPr>
          <w:b/>
          <w:lang w:val="en-US"/>
        </w:rPr>
      </w:pPr>
    </w:p>
    <w:p w14:paraId="0600C353" w14:textId="5A99F9A3" w:rsidR="001B1BB3" w:rsidRDefault="001B1BB3" w:rsidP="001B1BB3">
      <w:pPr>
        <w:spacing w:line="480" w:lineRule="auto"/>
        <w:rPr>
          <w:b/>
          <w:lang w:val="en-US"/>
        </w:rPr>
      </w:pPr>
      <w:r>
        <w:rPr>
          <w:b/>
          <w:lang w:val="en-US"/>
        </w:rPr>
        <w:t xml:space="preserve">Supplementary Tables S1 - </w:t>
      </w:r>
      <w:r w:rsidR="006F1A0C">
        <w:rPr>
          <w:b/>
          <w:lang w:val="en-US"/>
        </w:rPr>
        <w:t>2</w:t>
      </w:r>
    </w:p>
    <w:p w14:paraId="6651E845" w14:textId="1647BD7C" w:rsidR="001B1BB3" w:rsidRDefault="001B1BB3" w:rsidP="001B1BB3">
      <w:pPr>
        <w:spacing w:line="480" w:lineRule="auto"/>
        <w:rPr>
          <w:b/>
          <w:lang w:val="en-US"/>
        </w:rPr>
      </w:pPr>
      <w:r>
        <w:rPr>
          <w:b/>
          <w:lang w:val="en-US"/>
        </w:rPr>
        <w:t xml:space="preserve">Supplementary Figures S1 - </w:t>
      </w:r>
      <w:r w:rsidR="006F1A0C">
        <w:rPr>
          <w:b/>
          <w:lang w:val="en-US"/>
        </w:rPr>
        <w:t>5</w:t>
      </w:r>
    </w:p>
    <w:p w14:paraId="6F4883D8" w14:textId="77777777" w:rsidR="001B1BB3" w:rsidRDefault="001B1BB3" w:rsidP="001B1BB3">
      <w:pPr>
        <w:jc w:val="left"/>
        <w:rPr>
          <w:b/>
          <w:lang w:val="en-US"/>
        </w:rPr>
      </w:pPr>
    </w:p>
    <w:p w14:paraId="4BF6DB12" w14:textId="77777777" w:rsidR="001B1BB3" w:rsidRDefault="001B1BB3" w:rsidP="001B1BB3">
      <w:pPr>
        <w:jc w:val="left"/>
        <w:rPr>
          <w:b/>
          <w:lang w:val="en-US"/>
        </w:rPr>
      </w:pPr>
    </w:p>
    <w:p w14:paraId="17FD40A4" w14:textId="185F0C72" w:rsidR="007361AB" w:rsidRDefault="007361AB">
      <w:pPr>
        <w:spacing w:line="259" w:lineRule="auto"/>
        <w:jc w:val="left"/>
        <w:rPr>
          <w:b/>
          <w:lang w:val="en-US"/>
        </w:rPr>
      </w:pPr>
      <w:r>
        <w:rPr>
          <w:b/>
          <w:lang w:val="en-US"/>
        </w:rPr>
        <w:br w:type="page"/>
      </w:r>
    </w:p>
    <w:p w14:paraId="72928B0B" w14:textId="59D70B66" w:rsidR="008D479A" w:rsidRDefault="008D479A">
      <w:pPr>
        <w:rPr>
          <w:lang w:val="en-US"/>
        </w:rPr>
      </w:pPr>
      <w:r>
        <w:rPr>
          <w:b/>
          <w:bCs/>
          <w:lang w:val="en-US"/>
        </w:rPr>
        <w:lastRenderedPageBreak/>
        <w:t>Table 1:</w:t>
      </w:r>
      <w:r>
        <w:rPr>
          <w:lang w:val="en-US"/>
        </w:rPr>
        <w:t xml:space="preserve"> </w:t>
      </w:r>
      <w:r w:rsidR="007E4AB3">
        <w:rPr>
          <w:lang w:val="en-US"/>
        </w:rPr>
        <w:t xml:space="preserve">Ocean </w:t>
      </w:r>
      <w:r w:rsidR="00834EAD">
        <w:rPr>
          <w:lang w:val="en-US"/>
        </w:rPr>
        <w:t xml:space="preserve">surface </w:t>
      </w:r>
      <w:r w:rsidR="007E4AB3">
        <w:rPr>
          <w:lang w:val="en-US"/>
        </w:rPr>
        <w:t xml:space="preserve">temperature models </w:t>
      </w:r>
      <w:r w:rsidR="003465D6">
        <w:rPr>
          <w:lang w:val="en-US"/>
        </w:rPr>
        <w:t xml:space="preserve">used in the presented study. The models were derived </w:t>
      </w:r>
      <w:r w:rsidR="007E4AB3">
        <w:rPr>
          <w:lang w:val="en-US"/>
        </w:rPr>
        <w:t xml:space="preserve">from Coupled Model </w:t>
      </w:r>
      <w:proofErr w:type="spellStart"/>
      <w:r w:rsidR="007E4AB3">
        <w:rPr>
          <w:lang w:val="en-US"/>
        </w:rPr>
        <w:t>Intercomparison</w:t>
      </w:r>
      <w:proofErr w:type="spellEnd"/>
      <w:r w:rsidR="007E4AB3">
        <w:rPr>
          <w:lang w:val="en-US"/>
        </w:rPr>
        <w:t xml:space="preserve"> Project phase 6 (CMIP6).</w:t>
      </w:r>
      <w:r w:rsidR="00834EAD">
        <w:rPr>
          <w:lang w:val="en-US"/>
        </w:rPr>
        <w:t xml:space="preserve"> The models provide daily temperature values in Celsius. The resolution of the models is 100 km, except where noted.</w:t>
      </w:r>
    </w:p>
    <w:tbl>
      <w:tblPr>
        <w:tblStyle w:val="1"/>
        <w:tblW w:w="0" w:type="auto"/>
        <w:jc w:val="center"/>
        <w:tblLook w:val="0420" w:firstRow="1" w:lastRow="0" w:firstColumn="0" w:lastColumn="0" w:noHBand="0" w:noVBand="1"/>
      </w:tblPr>
      <w:tblGrid>
        <w:gridCol w:w="4148"/>
      </w:tblGrid>
      <w:tr w:rsidR="00834EAD" w14:paraId="4E176717" w14:textId="77777777" w:rsidTr="00834EAD">
        <w:trPr>
          <w:cnfStyle w:val="100000000000" w:firstRow="1" w:lastRow="0" w:firstColumn="0" w:lastColumn="0" w:oddVBand="0" w:evenVBand="0" w:oddHBand="0" w:evenHBand="0" w:firstRowFirstColumn="0" w:firstRowLastColumn="0" w:lastRowFirstColumn="0" w:lastRowLastColumn="0"/>
          <w:jc w:val="center"/>
        </w:trPr>
        <w:tc>
          <w:tcPr>
            <w:tcW w:w="4148" w:type="dxa"/>
          </w:tcPr>
          <w:p w14:paraId="0EE7BBBA" w14:textId="5A24C5EB" w:rsidR="00834EAD" w:rsidRDefault="00834EAD">
            <w:pPr>
              <w:rPr>
                <w:lang w:val="en-US"/>
              </w:rPr>
            </w:pPr>
            <w:r>
              <w:rPr>
                <w:lang w:val="en-US"/>
              </w:rPr>
              <w:t>Model</w:t>
            </w:r>
          </w:p>
        </w:tc>
      </w:tr>
      <w:tr w:rsidR="00834EAD" w14:paraId="0D8EEDBA"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72DAB40B" w14:textId="58904D19" w:rsidR="00834EAD" w:rsidRDefault="00834EAD">
            <w:pPr>
              <w:rPr>
                <w:lang w:val="en-US"/>
              </w:rPr>
            </w:pPr>
            <w:r w:rsidRPr="00684F09">
              <w:rPr>
                <w:lang w:val="en-US"/>
              </w:rPr>
              <w:t>CanESM5</w:t>
            </w:r>
          </w:p>
        </w:tc>
      </w:tr>
      <w:tr w:rsidR="00834EAD" w14:paraId="25954C3A" w14:textId="77777777" w:rsidTr="00834EAD">
        <w:trPr>
          <w:jc w:val="center"/>
        </w:trPr>
        <w:tc>
          <w:tcPr>
            <w:tcW w:w="4148" w:type="dxa"/>
          </w:tcPr>
          <w:p w14:paraId="3F42B710" w14:textId="5EDFA345" w:rsidR="00834EAD" w:rsidRDefault="00834EAD">
            <w:pPr>
              <w:rPr>
                <w:lang w:val="en-US"/>
              </w:rPr>
            </w:pPr>
            <w:r w:rsidRPr="00684F09">
              <w:rPr>
                <w:lang w:val="en-US"/>
              </w:rPr>
              <w:t>CESM2-WACCM</w:t>
            </w:r>
          </w:p>
        </w:tc>
      </w:tr>
      <w:tr w:rsidR="00834EAD" w14:paraId="734E7782"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6B9A05A4" w14:textId="4510575A" w:rsidR="00834EAD" w:rsidRDefault="00834EAD">
            <w:pPr>
              <w:rPr>
                <w:lang w:val="en-US"/>
              </w:rPr>
            </w:pPr>
            <w:r w:rsidRPr="00684F09">
              <w:rPr>
                <w:lang w:val="en-US"/>
              </w:rPr>
              <w:t>CMCC-CM2-SR5</w:t>
            </w:r>
          </w:p>
        </w:tc>
      </w:tr>
      <w:tr w:rsidR="00834EAD" w14:paraId="40456C66" w14:textId="77777777" w:rsidTr="00834EAD">
        <w:trPr>
          <w:jc w:val="center"/>
        </w:trPr>
        <w:tc>
          <w:tcPr>
            <w:tcW w:w="4148" w:type="dxa"/>
          </w:tcPr>
          <w:p w14:paraId="244BABDE" w14:textId="482D4BF5" w:rsidR="00834EAD" w:rsidRDefault="00834EAD">
            <w:pPr>
              <w:rPr>
                <w:lang w:val="en-US"/>
              </w:rPr>
            </w:pPr>
            <w:r w:rsidRPr="00684F09">
              <w:rPr>
                <w:lang w:val="en-US"/>
              </w:rPr>
              <w:t>EC-Earth3</w:t>
            </w:r>
          </w:p>
        </w:tc>
      </w:tr>
      <w:tr w:rsidR="00834EAD" w14:paraId="2B1F75C6"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425C62F1" w14:textId="3711E400" w:rsidR="00834EAD" w:rsidRDefault="00834EAD">
            <w:pPr>
              <w:rPr>
                <w:lang w:val="en-US"/>
              </w:rPr>
            </w:pPr>
            <w:r w:rsidRPr="00684F09">
              <w:rPr>
                <w:lang w:val="en-US"/>
              </w:rPr>
              <w:t>EC-Earth3-Veg</w:t>
            </w:r>
          </w:p>
        </w:tc>
      </w:tr>
      <w:tr w:rsidR="00834EAD" w14:paraId="7B0E81FE" w14:textId="77777777" w:rsidTr="00834EAD">
        <w:trPr>
          <w:jc w:val="center"/>
        </w:trPr>
        <w:tc>
          <w:tcPr>
            <w:tcW w:w="4148" w:type="dxa"/>
          </w:tcPr>
          <w:p w14:paraId="70F5E918" w14:textId="2FC3114C" w:rsidR="00834EAD" w:rsidRDefault="00834EAD">
            <w:pPr>
              <w:rPr>
                <w:lang w:val="en-US"/>
              </w:rPr>
            </w:pPr>
            <w:r w:rsidRPr="00684F09">
              <w:rPr>
                <w:lang w:val="en-US"/>
              </w:rPr>
              <w:t>MIROC6</w:t>
            </w:r>
          </w:p>
        </w:tc>
      </w:tr>
      <w:tr w:rsidR="00834EAD" w14:paraId="456DC6A8"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769DF4E4" w14:textId="64C2BF6D" w:rsidR="00834EAD" w:rsidRDefault="00834EAD">
            <w:pPr>
              <w:rPr>
                <w:lang w:val="en-US"/>
              </w:rPr>
            </w:pPr>
            <w:r w:rsidRPr="00684F09">
              <w:rPr>
                <w:lang w:val="en-US"/>
              </w:rPr>
              <w:t>MPI-ESM1-2-HR</w:t>
            </w:r>
            <w:r>
              <w:rPr>
                <w:lang w:val="en-US"/>
              </w:rPr>
              <w:t xml:space="preserve"> </w:t>
            </w:r>
            <w:r w:rsidRPr="00264500">
              <w:rPr>
                <w:i/>
                <w:iCs/>
                <w:lang w:val="en-US"/>
              </w:rPr>
              <w:t>(50 km)</w:t>
            </w:r>
          </w:p>
        </w:tc>
      </w:tr>
      <w:tr w:rsidR="00834EAD" w14:paraId="1AFC45A2" w14:textId="77777777" w:rsidTr="00834EAD">
        <w:trPr>
          <w:jc w:val="center"/>
        </w:trPr>
        <w:tc>
          <w:tcPr>
            <w:tcW w:w="4148" w:type="dxa"/>
          </w:tcPr>
          <w:p w14:paraId="1F6AE6B6" w14:textId="6741C781" w:rsidR="00834EAD" w:rsidRDefault="00834EAD">
            <w:pPr>
              <w:rPr>
                <w:lang w:val="en-US"/>
              </w:rPr>
            </w:pPr>
            <w:r w:rsidRPr="00684F09">
              <w:rPr>
                <w:lang w:val="en-US"/>
              </w:rPr>
              <w:t>MRI-ESM2-0</w:t>
            </w:r>
          </w:p>
        </w:tc>
      </w:tr>
      <w:tr w:rsidR="00834EAD" w14:paraId="1A470624"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5B0805A2" w14:textId="1314B5C5" w:rsidR="00834EAD" w:rsidRDefault="00834EAD">
            <w:pPr>
              <w:rPr>
                <w:lang w:val="en-US"/>
              </w:rPr>
            </w:pPr>
            <w:r w:rsidRPr="00684F09">
              <w:rPr>
                <w:lang w:val="en-US"/>
              </w:rPr>
              <w:t>NESM3</w:t>
            </w:r>
          </w:p>
        </w:tc>
      </w:tr>
      <w:tr w:rsidR="00834EAD" w14:paraId="14DC44E2" w14:textId="77777777" w:rsidTr="00834EAD">
        <w:trPr>
          <w:jc w:val="center"/>
        </w:trPr>
        <w:tc>
          <w:tcPr>
            <w:tcW w:w="4148" w:type="dxa"/>
          </w:tcPr>
          <w:p w14:paraId="31C344D5" w14:textId="5B6E5236" w:rsidR="00834EAD" w:rsidRDefault="00834EAD">
            <w:pPr>
              <w:rPr>
                <w:lang w:val="en-US"/>
              </w:rPr>
            </w:pPr>
            <w:r w:rsidRPr="00684F09">
              <w:rPr>
                <w:lang w:val="en-US"/>
              </w:rPr>
              <w:t>NorESM2-LM</w:t>
            </w:r>
          </w:p>
        </w:tc>
      </w:tr>
      <w:tr w:rsidR="00834EAD" w14:paraId="58488B9E" w14:textId="77777777" w:rsidTr="00834EAD">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614B57B5" w14:textId="33854A21" w:rsidR="00834EAD" w:rsidRDefault="00834EAD">
            <w:pPr>
              <w:rPr>
                <w:lang w:val="en-US"/>
              </w:rPr>
            </w:pPr>
            <w:r w:rsidRPr="00684F09">
              <w:rPr>
                <w:lang w:val="en-US"/>
              </w:rPr>
              <w:t>NorESM2-MM</w:t>
            </w:r>
          </w:p>
        </w:tc>
      </w:tr>
    </w:tbl>
    <w:p w14:paraId="083BA324" w14:textId="77777777" w:rsidR="007E4AB3" w:rsidRPr="008D479A" w:rsidRDefault="007E4AB3">
      <w:pPr>
        <w:rPr>
          <w:lang w:val="en-US"/>
        </w:rPr>
      </w:pPr>
    </w:p>
    <w:p w14:paraId="74F87B72" w14:textId="77777777" w:rsidR="008D479A" w:rsidRDefault="008D479A">
      <w:pPr>
        <w:rPr>
          <w:b/>
          <w:bCs/>
          <w:lang w:val="en-US"/>
        </w:rPr>
      </w:pPr>
    </w:p>
    <w:p w14:paraId="72F671AC" w14:textId="18A7E6D5" w:rsidR="00D632DE" w:rsidRPr="00B667D7" w:rsidRDefault="00B630B6">
      <w:pPr>
        <w:rPr>
          <w:lang w:val="en-US"/>
        </w:rPr>
      </w:pPr>
      <w:r>
        <w:rPr>
          <w:b/>
          <w:bCs/>
          <w:lang w:val="en-US"/>
        </w:rPr>
        <w:t xml:space="preserve">Table </w:t>
      </w:r>
      <w:r w:rsidR="008D479A">
        <w:rPr>
          <w:b/>
          <w:bCs/>
          <w:lang w:val="en-US"/>
        </w:rPr>
        <w:t>2</w:t>
      </w:r>
      <w:r>
        <w:rPr>
          <w:b/>
          <w:bCs/>
          <w:lang w:val="en-US"/>
        </w:rPr>
        <w:t>:</w:t>
      </w:r>
      <w:r>
        <w:rPr>
          <w:lang w:val="en-US"/>
        </w:rPr>
        <w:t xml:space="preserve"> Bioclimatic variables used for the identification of unique climates</w:t>
      </w:r>
      <w:r w:rsidR="003465D6">
        <w:rPr>
          <w:lang w:val="en-US"/>
        </w:rPr>
        <w:t>,</w:t>
      </w:r>
      <w:r>
        <w:rPr>
          <w:lang w:val="en-US"/>
        </w:rPr>
        <w:t xml:space="preserve"> calculated based on monthly temperature data.</w:t>
      </w:r>
      <w:r w:rsidR="0079613B">
        <w:rPr>
          <w:lang w:val="en-US"/>
        </w:rPr>
        <w:t xml:space="preserve"> The loadings of principal component</w:t>
      </w:r>
      <w:r w:rsidR="003465D6">
        <w:rPr>
          <w:lang w:val="en-US"/>
        </w:rPr>
        <w:t xml:space="preserve">s </w:t>
      </w:r>
      <w:r w:rsidR="0079613B">
        <w:rPr>
          <w:lang w:val="en-US"/>
        </w:rPr>
        <w:t>1 and 2 are provided, which explained 61.96% and 31.37% of the total variance, respectively.</w:t>
      </w:r>
    </w:p>
    <w:tbl>
      <w:tblPr>
        <w:tblStyle w:val="1"/>
        <w:tblW w:w="8390" w:type="dxa"/>
        <w:tblLook w:val="04A0" w:firstRow="1" w:lastRow="0" w:firstColumn="1" w:lastColumn="0" w:noHBand="0" w:noVBand="1"/>
      </w:tblPr>
      <w:tblGrid>
        <w:gridCol w:w="1134"/>
        <w:gridCol w:w="4082"/>
        <w:gridCol w:w="1587"/>
        <w:gridCol w:w="1587"/>
      </w:tblGrid>
      <w:tr w:rsidR="00E6129D" w14:paraId="2CEC5203" w14:textId="4BB07342" w:rsidTr="00FC7D4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21F8ED9F" w14:textId="429AE65E" w:rsidR="00E6129D" w:rsidRDefault="00E6129D">
            <w:pPr>
              <w:rPr>
                <w:lang w:val="en-US"/>
              </w:rPr>
            </w:pPr>
            <w:r>
              <w:rPr>
                <w:lang w:val="en-US"/>
              </w:rPr>
              <w:t>Code</w:t>
            </w:r>
          </w:p>
        </w:tc>
        <w:tc>
          <w:tcPr>
            <w:tcW w:w="4082" w:type="dxa"/>
          </w:tcPr>
          <w:p w14:paraId="65C0B4FE" w14:textId="4A986B16" w:rsidR="00E6129D" w:rsidRDefault="00E6129D">
            <w:pPr>
              <w:cnfStyle w:val="100000000000" w:firstRow="1" w:lastRow="0" w:firstColumn="0" w:lastColumn="0" w:oddVBand="0" w:evenVBand="0" w:oddHBand="0" w:evenHBand="0" w:firstRowFirstColumn="0" w:firstRowLastColumn="0" w:lastRowFirstColumn="0" w:lastRowLastColumn="0"/>
              <w:rPr>
                <w:lang w:val="en-US"/>
              </w:rPr>
            </w:pPr>
            <w:r>
              <w:rPr>
                <w:lang w:val="en-US"/>
              </w:rPr>
              <w:t>Variable</w:t>
            </w:r>
          </w:p>
        </w:tc>
        <w:tc>
          <w:tcPr>
            <w:tcW w:w="1587" w:type="dxa"/>
          </w:tcPr>
          <w:p w14:paraId="4B429945" w14:textId="071869D2" w:rsidR="00E6129D" w:rsidRDefault="00E6129D">
            <w:pPr>
              <w:cnfStyle w:val="100000000000" w:firstRow="1" w:lastRow="0" w:firstColumn="0" w:lastColumn="0" w:oddVBand="0" w:evenVBand="0" w:oddHBand="0" w:evenHBand="0" w:firstRowFirstColumn="0" w:firstRowLastColumn="0" w:lastRowFirstColumn="0" w:lastRowLastColumn="0"/>
              <w:rPr>
                <w:lang w:val="en-US"/>
              </w:rPr>
            </w:pPr>
            <w:r>
              <w:rPr>
                <w:lang w:val="en-US"/>
              </w:rPr>
              <w:t>PC1 loading</w:t>
            </w:r>
          </w:p>
        </w:tc>
        <w:tc>
          <w:tcPr>
            <w:tcW w:w="1587" w:type="dxa"/>
          </w:tcPr>
          <w:p w14:paraId="54FED44A" w14:textId="13A35D98" w:rsidR="00E6129D" w:rsidRDefault="00E6129D">
            <w:pPr>
              <w:cnfStyle w:val="100000000000" w:firstRow="1" w:lastRow="0" w:firstColumn="0" w:lastColumn="0" w:oddVBand="0" w:evenVBand="0" w:oddHBand="0" w:evenHBand="0" w:firstRowFirstColumn="0" w:firstRowLastColumn="0" w:lastRowFirstColumn="0" w:lastRowLastColumn="0"/>
              <w:rPr>
                <w:lang w:val="en-US"/>
              </w:rPr>
            </w:pPr>
            <w:r>
              <w:rPr>
                <w:lang w:val="en-US"/>
              </w:rPr>
              <w:t>PC2 loading</w:t>
            </w:r>
          </w:p>
        </w:tc>
      </w:tr>
      <w:tr w:rsidR="00E6129D" w14:paraId="3D38B4B6" w14:textId="4F230E1F" w:rsidTr="00FC7D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0112F97C" w14:textId="28AB8DCE" w:rsidR="00E6129D" w:rsidRDefault="00E6129D">
            <w:pPr>
              <w:rPr>
                <w:lang w:val="en-US"/>
              </w:rPr>
            </w:pPr>
            <w:r>
              <w:rPr>
                <w:lang w:val="en-US"/>
              </w:rPr>
              <w:t>BIO1</w:t>
            </w:r>
          </w:p>
        </w:tc>
        <w:tc>
          <w:tcPr>
            <w:tcW w:w="4082" w:type="dxa"/>
          </w:tcPr>
          <w:p w14:paraId="4FF9CCF5" w14:textId="5DA913A7" w:rsidR="00E6129D" w:rsidRDefault="00E6129D">
            <w:pPr>
              <w:cnfStyle w:val="000000100000" w:firstRow="0" w:lastRow="0" w:firstColumn="0" w:lastColumn="0" w:oddVBand="0" w:evenVBand="0" w:oddHBand="1" w:evenHBand="0" w:firstRowFirstColumn="0" w:firstRowLastColumn="0" w:lastRowFirstColumn="0" w:lastRowLastColumn="0"/>
              <w:rPr>
                <w:lang w:val="en-US"/>
              </w:rPr>
            </w:pPr>
            <w:r>
              <w:rPr>
                <w:lang w:val="en-US"/>
              </w:rPr>
              <w:t>Annual mean temperature</w:t>
            </w:r>
          </w:p>
        </w:tc>
        <w:tc>
          <w:tcPr>
            <w:tcW w:w="1587" w:type="dxa"/>
          </w:tcPr>
          <w:p w14:paraId="0EE1A30A" w14:textId="24533E01" w:rsidR="00E6129D" w:rsidRDefault="00E6129D">
            <w:pPr>
              <w:cnfStyle w:val="000000100000" w:firstRow="0" w:lastRow="0" w:firstColumn="0" w:lastColumn="0" w:oddVBand="0" w:evenVBand="0" w:oddHBand="1" w:evenHBand="0" w:firstRowFirstColumn="0" w:firstRowLastColumn="0" w:lastRowFirstColumn="0" w:lastRowLastColumn="0"/>
              <w:rPr>
                <w:lang w:val="en-US"/>
              </w:rPr>
            </w:pPr>
            <w:r w:rsidRPr="00E6129D">
              <w:rPr>
                <w:lang w:val="en-US"/>
              </w:rPr>
              <w:t>0.41</w:t>
            </w:r>
          </w:p>
        </w:tc>
        <w:tc>
          <w:tcPr>
            <w:tcW w:w="1587" w:type="dxa"/>
          </w:tcPr>
          <w:p w14:paraId="01388011" w14:textId="2CE25EAF" w:rsidR="00E6129D" w:rsidRDefault="00401E0B">
            <w:pPr>
              <w:cnfStyle w:val="000000100000" w:firstRow="0" w:lastRow="0" w:firstColumn="0" w:lastColumn="0" w:oddVBand="0" w:evenVBand="0" w:oddHBand="1" w:evenHBand="0" w:firstRowFirstColumn="0" w:firstRowLastColumn="0" w:lastRowFirstColumn="0" w:lastRowLastColumn="0"/>
              <w:rPr>
                <w:lang w:val="en-US"/>
              </w:rPr>
            </w:pPr>
            <w:r>
              <w:rPr>
                <w:lang w:val="en-US"/>
              </w:rPr>
              <w:t>0.11</w:t>
            </w:r>
          </w:p>
        </w:tc>
      </w:tr>
      <w:tr w:rsidR="00E6129D" w14:paraId="27BB8A62" w14:textId="6F95BFF3" w:rsidTr="00FC7D46">
        <w:trPr>
          <w:trHeight w:val="340"/>
        </w:trPr>
        <w:tc>
          <w:tcPr>
            <w:cnfStyle w:val="001000000000" w:firstRow="0" w:lastRow="0" w:firstColumn="1" w:lastColumn="0" w:oddVBand="0" w:evenVBand="0" w:oddHBand="0" w:evenHBand="0" w:firstRowFirstColumn="0" w:firstRowLastColumn="0" w:lastRowFirstColumn="0" w:lastRowLastColumn="0"/>
            <w:tcW w:w="1134" w:type="dxa"/>
          </w:tcPr>
          <w:p w14:paraId="43798A07" w14:textId="3BE11F9B" w:rsidR="00E6129D" w:rsidRPr="00B630B6" w:rsidRDefault="00E6129D">
            <w:pPr>
              <w:rPr>
                <w:b w:val="0"/>
                <w:bCs w:val="0"/>
                <w:lang w:val="en-US"/>
              </w:rPr>
            </w:pPr>
            <w:r>
              <w:rPr>
                <w:lang w:val="en-US"/>
              </w:rPr>
              <w:t>BIO2</w:t>
            </w:r>
          </w:p>
        </w:tc>
        <w:tc>
          <w:tcPr>
            <w:tcW w:w="4082" w:type="dxa"/>
          </w:tcPr>
          <w:p w14:paraId="28B0F534" w14:textId="1AB4290A" w:rsidR="00E6129D" w:rsidRDefault="00E6129D">
            <w:pPr>
              <w:cnfStyle w:val="000000000000" w:firstRow="0" w:lastRow="0" w:firstColumn="0" w:lastColumn="0" w:oddVBand="0" w:evenVBand="0" w:oddHBand="0" w:evenHBand="0" w:firstRowFirstColumn="0" w:firstRowLastColumn="0" w:lastRowFirstColumn="0" w:lastRowLastColumn="0"/>
              <w:rPr>
                <w:lang w:val="en-US"/>
              </w:rPr>
            </w:pPr>
            <w:r>
              <w:rPr>
                <w:lang w:val="en-US"/>
              </w:rPr>
              <w:t>Mean diurnal range</w:t>
            </w:r>
          </w:p>
        </w:tc>
        <w:tc>
          <w:tcPr>
            <w:tcW w:w="1587" w:type="dxa"/>
          </w:tcPr>
          <w:p w14:paraId="5EF1BAD2" w14:textId="12C0D1A7" w:rsidR="00E6129D" w:rsidRDefault="00E6129D">
            <w:pPr>
              <w:cnfStyle w:val="000000000000" w:firstRow="0" w:lastRow="0" w:firstColumn="0" w:lastColumn="0" w:oddVBand="0" w:evenVBand="0" w:oddHBand="0" w:evenHBand="0" w:firstRowFirstColumn="0" w:firstRowLastColumn="0" w:lastRowFirstColumn="0" w:lastRowLastColumn="0"/>
              <w:rPr>
                <w:lang w:val="en-US"/>
              </w:rPr>
            </w:pPr>
            <w:r w:rsidRPr="00E6129D">
              <w:rPr>
                <w:lang w:val="en-US"/>
              </w:rPr>
              <w:t>0.2</w:t>
            </w:r>
            <w:r>
              <w:rPr>
                <w:lang w:val="en-US"/>
              </w:rPr>
              <w:t>5</w:t>
            </w:r>
          </w:p>
        </w:tc>
        <w:tc>
          <w:tcPr>
            <w:tcW w:w="1587" w:type="dxa"/>
          </w:tcPr>
          <w:p w14:paraId="7A990518" w14:textId="2DEA2695" w:rsidR="00E6129D" w:rsidRDefault="00401E0B">
            <w:pPr>
              <w:cnfStyle w:val="000000000000" w:firstRow="0" w:lastRow="0" w:firstColumn="0" w:lastColumn="0" w:oddVBand="0" w:evenVBand="0" w:oddHBand="0" w:evenHBand="0" w:firstRowFirstColumn="0" w:firstRowLastColumn="0" w:lastRowFirstColumn="0" w:lastRowLastColumn="0"/>
              <w:rPr>
                <w:lang w:val="en-US"/>
              </w:rPr>
            </w:pPr>
            <w:r>
              <w:rPr>
                <w:lang w:val="en-US"/>
              </w:rPr>
              <w:t>-0.46</w:t>
            </w:r>
          </w:p>
        </w:tc>
      </w:tr>
      <w:tr w:rsidR="00E6129D" w14:paraId="5FA4363E" w14:textId="5B655EC1" w:rsidTr="00FC7D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60B897CF" w14:textId="60F6E90E" w:rsidR="00E6129D" w:rsidRDefault="00E6129D">
            <w:pPr>
              <w:rPr>
                <w:lang w:val="en-US"/>
              </w:rPr>
            </w:pPr>
            <w:r>
              <w:rPr>
                <w:lang w:val="en-US"/>
              </w:rPr>
              <w:t>BIO3</w:t>
            </w:r>
          </w:p>
        </w:tc>
        <w:tc>
          <w:tcPr>
            <w:tcW w:w="4082" w:type="dxa"/>
          </w:tcPr>
          <w:p w14:paraId="24A4C19C" w14:textId="24B58652" w:rsidR="00E6129D" w:rsidRDefault="00E6129D">
            <w:pPr>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Isothermality</w:t>
            </w:r>
            <w:proofErr w:type="spellEnd"/>
            <w:r>
              <w:rPr>
                <w:lang w:val="en-US"/>
              </w:rPr>
              <w:t xml:space="preserve"> (BIO2/BIO7*100)</w:t>
            </w:r>
          </w:p>
        </w:tc>
        <w:tc>
          <w:tcPr>
            <w:tcW w:w="1587" w:type="dxa"/>
          </w:tcPr>
          <w:p w14:paraId="5AF107D3" w14:textId="03F79F3C" w:rsidR="00E6129D" w:rsidRDefault="00E6129D">
            <w:pPr>
              <w:cnfStyle w:val="000000100000" w:firstRow="0" w:lastRow="0" w:firstColumn="0" w:lastColumn="0" w:oddVBand="0" w:evenVBand="0" w:oddHBand="1" w:evenHBand="0" w:firstRowFirstColumn="0" w:firstRowLastColumn="0" w:lastRowFirstColumn="0" w:lastRowLastColumn="0"/>
              <w:rPr>
                <w:lang w:val="en-US"/>
              </w:rPr>
            </w:pPr>
            <w:r>
              <w:rPr>
                <w:lang w:val="en-US"/>
              </w:rPr>
              <w:t>0.21</w:t>
            </w:r>
          </w:p>
        </w:tc>
        <w:tc>
          <w:tcPr>
            <w:tcW w:w="1587" w:type="dxa"/>
          </w:tcPr>
          <w:p w14:paraId="6BC61133" w14:textId="0A67927D" w:rsidR="00E6129D" w:rsidRDefault="00401E0B">
            <w:pPr>
              <w:cnfStyle w:val="000000100000" w:firstRow="0" w:lastRow="0" w:firstColumn="0" w:lastColumn="0" w:oddVBand="0" w:evenVBand="0" w:oddHBand="1" w:evenHBand="0" w:firstRowFirstColumn="0" w:firstRowLastColumn="0" w:lastRowFirstColumn="0" w:lastRowLastColumn="0"/>
              <w:rPr>
                <w:lang w:val="en-US"/>
              </w:rPr>
            </w:pPr>
            <w:r>
              <w:rPr>
                <w:lang w:val="en-US"/>
              </w:rPr>
              <w:t>0.33</w:t>
            </w:r>
          </w:p>
        </w:tc>
      </w:tr>
      <w:tr w:rsidR="00E6129D" w14:paraId="255F2F22" w14:textId="288ED2C8" w:rsidTr="00FC7D46">
        <w:trPr>
          <w:trHeight w:val="340"/>
        </w:trPr>
        <w:tc>
          <w:tcPr>
            <w:cnfStyle w:val="001000000000" w:firstRow="0" w:lastRow="0" w:firstColumn="1" w:lastColumn="0" w:oddVBand="0" w:evenVBand="0" w:oddHBand="0" w:evenHBand="0" w:firstRowFirstColumn="0" w:firstRowLastColumn="0" w:lastRowFirstColumn="0" w:lastRowLastColumn="0"/>
            <w:tcW w:w="1134" w:type="dxa"/>
          </w:tcPr>
          <w:p w14:paraId="39C1C7AF" w14:textId="29F6FCDB" w:rsidR="00E6129D" w:rsidRDefault="00E6129D">
            <w:pPr>
              <w:rPr>
                <w:lang w:val="en-US"/>
              </w:rPr>
            </w:pPr>
            <w:r>
              <w:rPr>
                <w:lang w:val="en-US"/>
              </w:rPr>
              <w:t>BIO4</w:t>
            </w:r>
          </w:p>
        </w:tc>
        <w:tc>
          <w:tcPr>
            <w:tcW w:w="4082" w:type="dxa"/>
          </w:tcPr>
          <w:p w14:paraId="5A165246" w14:textId="7C420310" w:rsidR="00E6129D" w:rsidRDefault="00E6129D">
            <w:pPr>
              <w:cnfStyle w:val="000000000000" w:firstRow="0" w:lastRow="0" w:firstColumn="0" w:lastColumn="0" w:oddVBand="0" w:evenVBand="0" w:oddHBand="0" w:evenHBand="0" w:firstRowFirstColumn="0" w:firstRowLastColumn="0" w:lastRowFirstColumn="0" w:lastRowLastColumn="0"/>
              <w:rPr>
                <w:lang w:val="en-US"/>
              </w:rPr>
            </w:pPr>
            <w:r>
              <w:rPr>
                <w:lang w:val="en-US"/>
              </w:rPr>
              <w:t>Temperature seasonality (standard deviation*100)</w:t>
            </w:r>
          </w:p>
        </w:tc>
        <w:tc>
          <w:tcPr>
            <w:tcW w:w="1587" w:type="dxa"/>
          </w:tcPr>
          <w:p w14:paraId="0A3902E0" w14:textId="4BF8A671" w:rsidR="00E6129D" w:rsidRDefault="00E6129D">
            <w:pPr>
              <w:cnfStyle w:val="000000000000" w:firstRow="0" w:lastRow="0" w:firstColumn="0" w:lastColumn="0" w:oddVBand="0" w:evenVBand="0" w:oddHBand="0" w:evenHBand="0" w:firstRowFirstColumn="0" w:firstRowLastColumn="0" w:lastRowFirstColumn="0" w:lastRowLastColumn="0"/>
              <w:rPr>
                <w:lang w:val="en-US"/>
              </w:rPr>
            </w:pPr>
            <w:r>
              <w:rPr>
                <w:lang w:val="en-US"/>
              </w:rPr>
              <w:t>0.14</w:t>
            </w:r>
          </w:p>
        </w:tc>
        <w:tc>
          <w:tcPr>
            <w:tcW w:w="1587" w:type="dxa"/>
          </w:tcPr>
          <w:p w14:paraId="482FF20A" w14:textId="7B48AD07" w:rsidR="00E6129D" w:rsidRDefault="00401E0B">
            <w:pPr>
              <w:cnfStyle w:val="000000000000" w:firstRow="0" w:lastRow="0" w:firstColumn="0" w:lastColumn="0" w:oddVBand="0" w:evenVBand="0" w:oddHBand="0" w:evenHBand="0" w:firstRowFirstColumn="0" w:firstRowLastColumn="0" w:lastRowFirstColumn="0" w:lastRowLastColumn="0"/>
              <w:rPr>
                <w:lang w:val="en-US"/>
              </w:rPr>
            </w:pPr>
            <w:r>
              <w:rPr>
                <w:lang w:val="en-US"/>
              </w:rPr>
              <w:t>-0.56</w:t>
            </w:r>
          </w:p>
        </w:tc>
      </w:tr>
      <w:tr w:rsidR="00E6129D" w:rsidRPr="00E6129D" w14:paraId="6D0BBF75" w14:textId="726538FB" w:rsidTr="00FC7D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4F9FEDD0" w14:textId="10897648" w:rsidR="00E6129D" w:rsidRDefault="00E6129D">
            <w:pPr>
              <w:rPr>
                <w:lang w:val="en-US"/>
              </w:rPr>
            </w:pPr>
            <w:r>
              <w:rPr>
                <w:lang w:val="en-US"/>
              </w:rPr>
              <w:t>BIO5</w:t>
            </w:r>
          </w:p>
        </w:tc>
        <w:tc>
          <w:tcPr>
            <w:tcW w:w="4082" w:type="dxa"/>
          </w:tcPr>
          <w:p w14:paraId="457322D3" w14:textId="25CFD97E" w:rsidR="00E6129D" w:rsidRDefault="00E6129D">
            <w:pPr>
              <w:cnfStyle w:val="000000100000" w:firstRow="0" w:lastRow="0" w:firstColumn="0" w:lastColumn="0" w:oddVBand="0" w:evenVBand="0" w:oddHBand="1" w:evenHBand="0" w:firstRowFirstColumn="0" w:firstRowLastColumn="0" w:lastRowFirstColumn="0" w:lastRowLastColumn="0"/>
              <w:rPr>
                <w:lang w:val="en-US"/>
              </w:rPr>
            </w:pPr>
            <w:r>
              <w:rPr>
                <w:lang w:val="en-US"/>
              </w:rPr>
              <w:t>Max temperature of the warmest month</w:t>
            </w:r>
          </w:p>
        </w:tc>
        <w:tc>
          <w:tcPr>
            <w:tcW w:w="1587" w:type="dxa"/>
          </w:tcPr>
          <w:p w14:paraId="3047DCBC" w14:textId="3F42DE5A" w:rsidR="00E6129D" w:rsidRDefault="00E6129D">
            <w:pPr>
              <w:cnfStyle w:val="000000100000" w:firstRow="0" w:lastRow="0" w:firstColumn="0" w:lastColumn="0" w:oddVBand="0" w:evenVBand="0" w:oddHBand="1" w:evenHBand="0" w:firstRowFirstColumn="0" w:firstRowLastColumn="0" w:lastRowFirstColumn="0" w:lastRowLastColumn="0"/>
              <w:rPr>
                <w:lang w:val="en-US"/>
              </w:rPr>
            </w:pPr>
            <w:r>
              <w:rPr>
                <w:lang w:val="en-US"/>
              </w:rPr>
              <w:t>0.42</w:t>
            </w:r>
          </w:p>
        </w:tc>
        <w:tc>
          <w:tcPr>
            <w:tcW w:w="1587" w:type="dxa"/>
          </w:tcPr>
          <w:p w14:paraId="4FEBF356" w14:textId="216C2DFE" w:rsidR="00E6129D" w:rsidRDefault="00401E0B">
            <w:pPr>
              <w:cnfStyle w:val="000000100000" w:firstRow="0" w:lastRow="0" w:firstColumn="0" w:lastColumn="0" w:oddVBand="0" w:evenVBand="0" w:oddHBand="1" w:evenHBand="0" w:firstRowFirstColumn="0" w:firstRowLastColumn="0" w:lastRowFirstColumn="0" w:lastRowLastColumn="0"/>
              <w:rPr>
                <w:lang w:val="en-US"/>
              </w:rPr>
            </w:pPr>
            <w:r>
              <w:rPr>
                <w:lang w:val="en-US"/>
              </w:rPr>
              <w:t>0.02</w:t>
            </w:r>
          </w:p>
        </w:tc>
      </w:tr>
      <w:tr w:rsidR="00E6129D" w:rsidRPr="00E6129D" w14:paraId="53FD34A2" w14:textId="29E2F852" w:rsidTr="00FC7D46">
        <w:trPr>
          <w:trHeight w:val="340"/>
        </w:trPr>
        <w:tc>
          <w:tcPr>
            <w:cnfStyle w:val="001000000000" w:firstRow="0" w:lastRow="0" w:firstColumn="1" w:lastColumn="0" w:oddVBand="0" w:evenVBand="0" w:oddHBand="0" w:evenHBand="0" w:firstRowFirstColumn="0" w:firstRowLastColumn="0" w:lastRowFirstColumn="0" w:lastRowLastColumn="0"/>
            <w:tcW w:w="1134" w:type="dxa"/>
          </w:tcPr>
          <w:p w14:paraId="76BCDE4B" w14:textId="49B0AF43" w:rsidR="00E6129D" w:rsidRDefault="00E6129D" w:rsidP="00B41C3F">
            <w:pPr>
              <w:rPr>
                <w:lang w:val="en-US"/>
              </w:rPr>
            </w:pPr>
            <w:r>
              <w:rPr>
                <w:lang w:val="en-US"/>
              </w:rPr>
              <w:t>BIO6</w:t>
            </w:r>
          </w:p>
        </w:tc>
        <w:tc>
          <w:tcPr>
            <w:tcW w:w="4082" w:type="dxa"/>
          </w:tcPr>
          <w:p w14:paraId="46A8C793" w14:textId="11817D1D" w:rsidR="00E6129D" w:rsidRDefault="00E6129D"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Min temperature of the coldest month</w:t>
            </w:r>
          </w:p>
        </w:tc>
        <w:tc>
          <w:tcPr>
            <w:tcW w:w="1587" w:type="dxa"/>
          </w:tcPr>
          <w:p w14:paraId="035D1F9C" w14:textId="037BBB80" w:rsidR="00E6129D" w:rsidRDefault="00E6129D"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0.40</w:t>
            </w:r>
          </w:p>
        </w:tc>
        <w:tc>
          <w:tcPr>
            <w:tcW w:w="1587" w:type="dxa"/>
          </w:tcPr>
          <w:p w14:paraId="26925188" w14:textId="675BDC66" w:rsidR="00E6129D" w:rsidRDefault="00401E0B"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0.18</w:t>
            </w:r>
          </w:p>
        </w:tc>
      </w:tr>
      <w:tr w:rsidR="00E6129D" w:rsidRPr="00E6129D" w14:paraId="152C9F86" w14:textId="564E882D" w:rsidTr="00FC7D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33D909B6" w14:textId="409442B0" w:rsidR="00E6129D" w:rsidRDefault="00E6129D" w:rsidP="00B41C3F">
            <w:pPr>
              <w:rPr>
                <w:lang w:val="en-US"/>
              </w:rPr>
            </w:pPr>
            <w:r>
              <w:rPr>
                <w:lang w:val="en-US"/>
              </w:rPr>
              <w:t>BIO7</w:t>
            </w:r>
          </w:p>
        </w:tc>
        <w:tc>
          <w:tcPr>
            <w:tcW w:w="4082" w:type="dxa"/>
          </w:tcPr>
          <w:p w14:paraId="2856634F" w14:textId="27EE9464" w:rsidR="00E6129D" w:rsidRDefault="00E6129D"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Temperature annual range (BIO5-BIO6)</w:t>
            </w:r>
          </w:p>
        </w:tc>
        <w:tc>
          <w:tcPr>
            <w:tcW w:w="1587" w:type="dxa"/>
          </w:tcPr>
          <w:p w14:paraId="1DCB01EA" w14:textId="215E301C" w:rsidR="00E6129D" w:rsidRDefault="00E6129D"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0.17</w:t>
            </w:r>
          </w:p>
        </w:tc>
        <w:tc>
          <w:tcPr>
            <w:tcW w:w="1587" w:type="dxa"/>
          </w:tcPr>
          <w:p w14:paraId="10152023" w14:textId="71330196" w:rsidR="00E6129D" w:rsidRDefault="00401E0B"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-0.55</w:t>
            </w:r>
          </w:p>
        </w:tc>
      </w:tr>
      <w:tr w:rsidR="00E6129D" w:rsidRPr="00E6129D" w14:paraId="50C8CBC0" w14:textId="157EA60D" w:rsidTr="00FC7D46">
        <w:trPr>
          <w:trHeight w:val="340"/>
        </w:trPr>
        <w:tc>
          <w:tcPr>
            <w:cnfStyle w:val="001000000000" w:firstRow="0" w:lastRow="0" w:firstColumn="1" w:lastColumn="0" w:oddVBand="0" w:evenVBand="0" w:oddHBand="0" w:evenHBand="0" w:firstRowFirstColumn="0" w:firstRowLastColumn="0" w:lastRowFirstColumn="0" w:lastRowLastColumn="0"/>
            <w:tcW w:w="1134" w:type="dxa"/>
          </w:tcPr>
          <w:p w14:paraId="6BF098A4" w14:textId="4DF0271C" w:rsidR="00E6129D" w:rsidRDefault="00E6129D" w:rsidP="00B41C3F">
            <w:pPr>
              <w:rPr>
                <w:lang w:val="en-US"/>
              </w:rPr>
            </w:pPr>
            <w:r>
              <w:rPr>
                <w:lang w:val="en-US"/>
              </w:rPr>
              <w:t>BIO10</w:t>
            </w:r>
          </w:p>
        </w:tc>
        <w:tc>
          <w:tcPr>
            <w:tcW w:w="4082" w:type="dxa"/>
          </w:tcPr>
          <w:p w14:paraId="081CB7EE" w14:textId="0F202C43" w:rsidR="00E6129D" w:rsidRDefault="00E6129D"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Mean temperature of the warmest quarter</w:t>
            </w:r>
          </w:p>
        </w:tc>
        <w:tc>
          <w:tcPr>
            <w:tcW w:w="1587" w:type="dxa"/>
          </w:tcPr>
          <w:p w14:paraId="36B4F134" w14:textId="2AA1409D" w:rsidR="00E6129D" w:rsidRDefault="00E6129D"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0.42</w:t>
            </w:r>
          </w:p>
        </w:tc>
        <w:tc>
          <w:tcPr>
            <w:tcW w:w="1587" w:type="dxa"/>
          </w:tcPr>
          <w:p w14:paraId="56961F5F" w14:textId="54D386E9" w:rsidR="00E6129D" w:rsidRDefault="00401E0B" w:rsidP="00B41C3F">
            <w:pPr>
              <w:cnfStyle w:val="000000000000" w:firstRow="0" w:lastRow="0" w:firstColumn="0" w:lastColumn="0" w:oddVBand="0" w:evenVBand="0" w:oddHBand="0" w:evenHBand="0" w:firstRowFirstColumn="0" w:firstRowLastColumn="0" w:lastRowFirstColumn="0" w:lastRowLastColumn="0"/>
              <w:rPr>
                <w:lang w:val="en-US"/>
              </w:rPr>
            </w:pPr>
            <w:r>
              <w:rPr>
                <w:lang w:val="en-US"/>
              </w:rPr>
              <w:t>0.04</w:t>
            </w:r>
          </w:p>
        </w:tc>
      </w:tr>
      <w:tr w:rsidR="00E6129D" w:rsidRPr="00E6129D" w14:paraId="1CEDD49A" w14:textId="583E644A" w:rsidTr="00FC7D4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4" w:type="dxa"/>
          </w:tcPr>
          <w:p w14:paraId="423D579F" w14:textId="4C084842" w:rsidR="00E6129D" w:rsidRDefault="00E6129D" w:rsidP="00B41C3F">
            <w:pPr>
              <w:rPr>
                <w:lang w:val="en-US"/>
              </w:rPr>
            </w:pPr>
            <w:r>
              <w:rPr>
                <w:lang w:val="en-US"/>
              </w:rPr>
              <w:t>BIO11</w:t>
            </w:r>
          </w:p>
        </w:tc>
        <w:tc>
          <w:tcPr>
            <w:tcW w:w="4082" w:type="dxa"/>
          </w:tcPr>
          <w:p w14:paraId="4657448E" w14:textId="75B304C2" w:rsidR="00E6129D" w:rsidRDefault="00E6129D"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Mean temperature of the coldest quarter</w:t>
            </w:r>
          </w:p>
        </w:tc>
        <w:tc>
          <w:tcPr>
            <w:tcW w:w="1587" w:type="dxa"/>
          </w:tcPr>
          <w:p w14:paraId="6C9A507C" w14:textId="1BA50746" w:rsidR="00E6129D" w:rsidRDefault="00E6129D"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0.40</w:t>
            </w:r>
          </w:p>
        </w:tc>
        <w:tc>
          <w:tcPr>
            <w:tcW w:w="1587" w:type="dxa"/>
          </w:tcPr>
          <w:p w14:paraId="770E8A92" w14:textId="44DC7390" w:rsidR="00E6129D" w:rsidRDefault="00401E0B" w:rsidP="00B41C3F">
            <w:pPr>
              <w:cnfStyle w:val="000000100000" w:firstRow="0" w:lastRow="0" w:firstColumn="0" w:lastColumn="0" w:oddVBand="0" w:evenVBand="0" w:oddHBand="1" w:evenHBand="0" w:firstRowFirstColumn="0" w:firstRowLastColumn="0" w:lastRowFirstColumn="0" w:lastRowLastColumn="0"/>
              <w:rPr>
                <w:lang w:val="en-US"/>
              </w:rPr>
            </w:pPr>
            <w:r>
              <w:rPr>
                <w:lang w:val="en-US"/>
              </w:rPr>
              <w:t>0.17</w:t>
            </w:r>
          </w:p>
        </w:tc>
      </w:tr>
    </w:tbl>
    <w:p w14:paraId="4FA01727" w14:textId="196E336D" w:rsidR="00B630B6" w:rsidRDefault="00B630B6">
      <w:pPr>
        <w:rPr>
          <w:lang w:val="en-US"/>
        </w:rPr>
      </w:pPr>
    </w:p>
    <w:p w14:paraId="33B78E34" w14:textId="23D71DCF" w:rsidR="00EE1238" w:rsidRDefault="00EE1238">
      <w:pPr>
        <w:rPr>
          <w:lang w:val="en-US"/>
        </w:rPr>
      </w:pPr>
    </w:p>
    <w:p w14:paraId="1B192841" w14:textId="2F2A0BE6" w:rsidR="001637DB" w:rsidRDefault="001637DB">
      <w:pPr>
        <w:spacing w:line="259" w:lineRule="auto"/>
        <w:jc w:val="left"/>
        <w:rPr>
          <w:sz w:val="20"/>
          <w:szCs w:val="20"/>
          <w:lang w:val="en-US"/>
        </w:rPr>
      </w:pPr>
      <w:r>
        <w:rPr>
          <w:sz w:val="20"/>
          <w:szCs w:val="20"/>
          <w:lang w:val="en-US"/>
        </w:rPr>
        <w:br w:type="page"/>
      </w:r>
    </w:p>
    <w:p w14:paraId="13F39D1C" w14:textId="1C374ABF" w:rsidR="000B2A00" w:rsidRDefault="001637DB" w:rsidP="00834EAD">
      <w:pPr>
        <w:rPr>
          <w:sz w:val="20"/>
          <w:szCs w:val="20"/>
          <w:lang w:val="en-US"/>
        </w:rPr>
      </w:pPr>
      <w:r>
        <w:rPr>
          <w:noProof/>
          <w:sz w:val="20"/>
          <w:szCs w:val="20"/>
          <w:lang w:val="en-US"/>
        </w:rPr>
        <w:lastRenderedPageBreak/>
        <w:drawing>
          <wp:inline distT="0" distB="0" distL="0" distR="0" wp14:anchorId="400910CF" wp14:editId="2C96473A">
            <wp:extent cx="5271770" cy="2722245"/>
            <wp:effectExtent l="0" t="0" r="5080" b="1905"/>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1770" cy="2722245"/>
                    </a:xfrm>
                    <a:prstGeom prst="rect">
                      <a:avLst/>
                    </a:prstGeom>
                    <a:noFill/>
                    <a:ln>
                      <a:noFill/>
                    </a:ln>
                  </pic:spPr>
                </pic:pic>
              </a:graphicData>
            </a:graphic>
          </wp:inline>
        </w:drawing>
      </w:r>
    </w:p>
    <w:p w14:paraId="3AB05EF8" w14:textId="46D14924" w:rsidR="00534D37" w:rsidRDefault="00534D37">
      <w:pPr>
        <w:spacing w:line="259" w:lineRule="auto"/>
        <w:jc w:val="left"/>
        <w:rPr>
          <w:sz w:val="20"/>
          <w:szCs w:val="20"/>
          <w:lang w:val="en-US"/>
        </w:rPr>
      </w:pPr>
    </w:p>
    <w:p w14:paraId="35E42E3A" w14:textId="77777777" w:rsidR="009D46D8" w:rsidRPr="001637DB" w:rsidRDefault="009D46D8" w:rsidP="009D46D8">
      <w:pPr>
        <w:rPr>
          <w:lang w:val="en-US"/>
        </w:rPr>
      </w:pPr>
      <w:r w:rsidRPr="001637DB">
        <w:rPr>
          <w:lang w:val="en-US"/>
        </w:rPr>
        <w:t xml:space="preserve">Fig. 1: </w:t>
      </w:r>
      <w:r>
        <w:rPr>
          <w:lang w:val="en-US"/>
        </w:rPr>
        <w:t>Boxplot indicating current flow per ocean. Upper, mid, and lower horizontal lines of the box represent 75</w:t>
      </w:r>
      <w:r w:rsidRPr="00315C78">
        <w:rPr>
          <w:vertAlign w:val="superscript"/>
          <w:lang w:val="en-US"/>
        </w:rPr>
        <w:t>th</w:t>
      </w:r>
      <w:r>
        <w:rPr>
          <w:lang w:val="en-US"/>
        </w:rPr>
        <w:t xml:space="preserve"> percentile, median and 25</w:t>
      </w:r>
      <w:r w:rsidRPr="00315C78">
        <w:rPr>
          <w:vertAlign w:val="superscript"/>
          <w:lang w:val="en-US"/>
        </w:rPr>
        <w:t>th</w:t>
      </w:r>
      <w:r>
        <w:rPr>
          <w:lang w:val="en-US"/>
        </w:rPr>
        <w:t xml:space="preserve"> percentile of the values.</w:t>
      </w:r>
      <w:r w:rsidRPr="001637DB">
        <w:rPr>
          <w:lang w:val="en-US"/>
        </w:rPr>
        <w:t xml:space="preserve"> </w:t>
      </w:r>
      <w:r>
        <w:rPr>
          <w:lang w:val="en-US"/>
        </w:rPr>
        <w:t>The upper horizontal line represents the largest value within 1.5 times the interquartile range above 75</w:t>
      </w:r>
      <w:r w:rsidRPr="00315C78">
        <w:rPr>
          <w:vertAlign w:val="superscript"/>
          <w:lang w:val="en-US"/>
        </w:rPr>
        <w:t>th</w:t>
      </w:r>
      <w:r>
        <w:rPr>
          <w:lang w:val="en-US"/>
        </w:rPr>
        <w:t xml:space="preserve"> percentile. The lower horizontal line represents the smallest value within 1.5 times the interquartile range below 25</w:t>
      </w:r>
      <w:r w:rsidRPr="00F77151">
        <w:rPr>
          <w:vertAlign w:val="superscript"/>
          <w:lang w:val="en-US"/>
        </w:rPr>
        <w:t>th</w:t>
      </w:r>
      <w:r>
        <w:rPr>
          <w:lang w:val="en-US"/>
        </w:rPr>
        <w:t xml:space="preserve"> percentile. Values were log-transformed to aid interpretation</w:t>
      </w:r>
      <w:r w:rsidRPr="00F77151">
        <w:rPr>
          <w:lang w:val="en-US"/>
        </w:rPr>
        <w:t>.</w:t>
      </w:r>
    </w:p>
    <w:p w14:paraId="61D922A0" w14:textId="77777777" w:rsidR="00906CFE" w:rsidRDefault="00906CFE" w:rsidP="00534D37">
      <w:pPr>
        <w:rPr>
          <w:lang w:val="en-US"/>
        </w:rPr>
      </w:pPr>
    </w:p>
    <w:p w14:paraId="51BC6961" w14:textId="299A3E13" w:rsidR="00534D37" w:rsidRDefault="005B6CD6">
      <w:pPr>
        <w:spacing w:line="259" w:lineRule="auto"/>
        <w:jc w:val="left"/>
        <w:rPr>
          <w:sz w:val="20"/>
          <w:szCs w:val="20"/>
          <w:lang w:val="en-US"/>
        </w:rPr>
      </w:pPr>
      <w:r>
        <w:rPr>
          <w:noProof/>
          <w:sz w:val="20"/>
          <w:szCs w:val="20"/>
          <w:lang w:val="en-US"/>
        </w:rPr>
        <w:drawing>
          <wp:inline distT="0" distB="0" distL="0" distR="0" wp14:anchorId="02BEFE7A" wp14:editId="2A08AB24">
            <wp:extent cx="5271770" cy="2722245"/>
            <wp:effectExtent l="0" t="0" r="5080" b="1905"/>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1770" cy="2722245"/>
                    </a:xfrm>
                    <a:prstGeom prst="rect">
                      <a:avLst/>
                    </a:prstGeom>
                    <a:noFill/>
                    <a:ln>
                      <a:noFill/>
                    </a:ln>
                  </pic:spPr>
                </pic:pic>
              </a:graphicData>
            </a:graphic>
          </wp:inline>
        </w:drawing>
      </w:r>
    </w:p>
    <w:p w14:paraId="56E17B2C" w14:textId="77777777" w:rsidR="009D46D8" w:rsidRDefault="009D46D8" w:rsidP="009D46D8">
      <w:pPr>
        <w:rPr>
          <w:lang w:val="en-US"/>
        </w:rPr>
      </w:pPr>
    </w:p>
    <w:p w14:paraId="3BE50498" w14:textId="5BEE0FD0" w:rsidR="009D46D8" w:rsidRPr="001637DB" w:rsidRDefault="009D46D8" w:rsidP="009D46D8">
      <w:pPr>
        <w:rPr>
          <w:lang w:val="en-US"/>
        </w:rPr>
      </w:pPr>
      <w:r w:rsidRPr="001637DB">
        <w:rPr>
          <w:lang w:val="en-US"/>
        </w:rPr>
        <w:t xml:space="preserve">Fig. </w:t>
      </w:r>
      <w:r>
        <w:rPr>
          <w:lang w:val="en-US"/>
        </w:rPr>
        <w:t>2</w:t>
      </w:r>
      <w:r w:rsidRPr="001637DB">
        <w:rPr>
          <w:lang w:val="en-US"/>
        </w:rPr>
        <w:t xml:space="preserve">: </w:t>
      </w:r>
      <w:r>
        <w:rPr>
          <w:lang w:val="en-US"/>
        </w:rPr>
        <w:t>Boxplot indicating path density per ocean. Upper, mid, and lower horizontal lines of the box represent 75</w:t>
      </w:r>
      <w:r w:rsidRPr="00315C78">
        <w:rPr>
          <w:vertAlign w:val="superscript"/>
          <w:lang w:val="en-US"/>
        </w:rPr>
        <w:t>th</w:t>
      </w:r>
      <w:r>
        <w:rPr>
          <w:lang w:val="en-US"/>
        </w:rPr>
        <w:t xml:space="preserve"> percentile, median and 25</w:t>
      </w:r>
      <w:r w:rsidRPr="00315C78">
        <w:rPr>
          <w:vertAlign w:val="superscript"/>
          <w:lang w:val="en-US"/>
        </w:rPr>
        <w:t>th</w:t>
      </w:r>
      <w:r>
        <w:rPr>
          <w:lang w:val="en-US"/>
        </w:rPr>
        <w:t xml:space="preserve"> percentile of the values.</w:t>
      </w:r>
      <w:r w:rsidRPr="001637DB">
        <w:rPr>
          <w:lang w:val="en-US"/>
        </w:rPr>
        <w:t xml:space="preserve"> </w:t>
      </w:r>
      <w:r>
        <w:rPr>
          <w:lang w:val="en-US"/>
        </w:rPr>
        <w:t>The upper horizontal line represents the largest value within 1.5 times the interquartile range above 75</w:t>
      </w:r>
      <w:r w:rsidRPr="00315C78">
        <w:rPr>
          <w:vertAlign w:val="superscript"/>
          <w:lang w:val="en-US"/>
        </w:rPr>
        <w:t>th</w:t>
      </w:r>
      <w:r>
        <w:rPr>
          <w:lang w:val="en-US"/>
        </w:rPr>
        <w:t xml:space="preserve"> percentile. The lower horizontal line represents the smallest value within 1.5 times the interquartile range below 25</w:t>
      </w:r>
      <w:r w:rsidRPr="00F77151">
        <w:rPr>
          <w:vertAlign w:val="superscript"/>
          <w:lang w:val="en-US"/>
        </w:rPr>
        <w:t>th</w:t>
      </w:r>
      <w:r>
        <w:rPr>
          <w:lang w:val="en-US"/>
        </w:rPr>
        <w:t xml:space="preserve"> percentile. Values were log-transformed to aid interpretation</w:t>
      </w:r>
      <w:r w:rsidRPr="00F77151">
        <w:rPr>
          <w:lang w:val="en-US"/>
        </w:rPr>
        <w:t>.</w:t>
      </w:r>
    </w:p>
    <w:p w14:paraId="1AFA6208" w14:textId="6212323C" w:rsidR="000B2A00" w:rsidRDefault="000B2A00">
      <w:pPr>
        <w:spacing w:line="259" w:lineRule="auto"/>
        <w:jc w:val="left"/>
        <w:rPr>
          <w:sz w:val="20"/>
          <w:szCs w:val="20"/>
          <w:lang w:val="en-US"/>
        </w:rPr>
      </w:pPr>
      <w:r>
        <w:rPr>
          <w:sz w:val="20"/>
          <w:szCs w:val="20"/>
          <w:lang w:val="en-US"/>
        </w:rPr>
        <w:br w:type="page"/>
      </w:r>
    </w:p>
    <w:p w14:paraId="6F1E0707" w14:textId="775CA57E" w:rsidR="00906CFE" w:rsidRDefault="00A862AB">
      <w:pPr>
        <w:spacing w:line="259" w:lineRule="auto"/>
        <w:jc w:val="left"/>
        <w:rPr>
          <w:sz w:val="20"/>
          <w:szCs w:val="20"/>
          <w:lang w:val="en-US"/>
        </w:rPr>
      </w:pPr>
      <w:r>
        <w:rPr>
          <w:noProof/>
          <w:sz w:val="20"/>
          <w:szCs w:val="20"/>
          <w:lang w:val="en-US"/>
        </w:rPr>
        <w:lastRenderedPageBreak/>
        <w:drawing>
          <wp:inline distT="0" distB="0" distL="0" distR="0" wp14:anchorId="0F1F464A" wp14:editId="538D860E">
            <wp:extent cx="5271770" cy="2722245"/>
            <wp:effectExtent l="0" t="0" r="5080" b="1905"/>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1770" cy="2722245"/>
                    </a:xfrm>
                    <a:prstGeom prst="rect">
                      <a:avLst/>
                    </a:prstGeom>
                    <a:noFill/>
                    <a:ln>
                      <a:noFill/>
                    </a:ln>
                  </pic:spPr>
                </pic:pic>
              </a:graphicData>
            </a:graphic>
          </wp:inline>
        </w:drawing>
      </w:r>
    </w:p>
    <w:p w14:paraId="2703F522" w14:textId="5DDFEA33" w:rsidR="00906CFE" w:rsidRDefault="00906CFE">
      <w:pPr>
        <w:spacing w:line="259" w:lineRule="auto"/>
        <w:jc w:val="left"/>
        <w:rPr>
          <w:sz w:val="20"/>
          <w:szCs w:val="20"/>
          <w:lang w:val="en-US"/>
        </w:rPr>
      </w:pPr>
    </w:p>
    <w:p w14:paraId="73C9E1F1" w14:textId="601E6FFA" w:rsidR="00AB166A" w:rsidRDefault="00912377" w:rsidP="00A862AB">
      <w:pPr>
        <w:rPr>
          <w:lang w:val="en-US"/>
        </w:rPr>
      </w:pPr>
      <w:r w:rsidRPr="001637DB">
        <w:rPr>
          <w:lang w:val="en-US"/>
        </w:rPr>
        <w:t xml:space="preserve">Fig. </w:t>
      </w:r>
      <w:r>
        <w:rPr>
          <w:lang w:val="en-US"/>
        </w:rPr>
        <w:t>3</w:t>
      </w:r>
      <w:r w:rsidRPr="001637DB">
        <w:rPr>
          <w:lang w:val="en-US"/>
        </w:rPr>
        <w:t xml:space="preserve">: </w:t>
      </w:r>
      <w:r>
        <w:rPr>
          <w:lang w:val="en-US"/>
        </w:rPr>
        <w:t>Boxplot indicating minimum exposure distance (MED) per ocean. Upper, mid, and lower horizontal lines of the box represent 75</w:t>
      </w:r>
      <w:r w:rsidRPr="00315C78">
        <w:rPr>
          <w:vertAlign w:val="superscript"/>
          <w:lang w:val="en-US"/>
        </w:rPr>
        <w:t>th</w:t>
      </w:r>
      <w:r>
        <w:rPr>
          <w:lang w:val="en-US"/>
        </w:rPr>
        <w:t xml:space="preserve"> percentile, median and 25</w:t>
      </w:r>
      <w:r w:rsidRPr="00315C78">
        <w:rPr>
          <w:vertAlign w:val="superscript"/>
          <w:lang w:val="en-US"/>
        </w:rPr>
        <w:t>th</w:t>
      </w:r>
      <w:r>
        <w:rPr>
          <w:lang w:val="en-US"/>
        </w:rPr>
        <w:t xml:space="preserve"> percentile of the values.</w:t>
      </w:r>
      <w:r w:rsidRPr="001637DB">
        <w:rPr>
          <w:lang w:val="en-US"/>
        </w:rPr>
        <w:t xml:space="preserve"> </w:t>
      </w:r>
      <w:r>
        <w:rPr>
          <w:lang w:val="en-US"/>
        </w:rPr>
        <w:t>The upper horizontal line represents the largest value within 1.5 times the interquartile range above 75</w:t>
      </w:r>
      <w:r w:rsidRPr="00315C78">
        <w:rPr>
          <w:vertAlign w:val="superscript"/>
          <w:lang w:val="en-US"/>
        </w:rPr>
        <w:t>th</w:t>
      </w:r>
      <w:r>
        <w:rPr>
          <w:lang w:val="en-US"/>
        </w:rPr>
        <w:t xml:space="preserve"> percentile. The lower horizontal line represents the smallest value within 1.5 times the interquartile range below 25</w:t>
      </w:r>
      <w:r w:rsidRPr="00F77151">
        <w:rPr>
          <w:vertAlign w:val="superscript"/>
          <w:lang w:val="en-US"/>
        </w:rPr>
        <w:t>th</w:t>
      </w:r>
      <w:r>
        <w:rPr>
          <w:lang w:val="en-US"/>
        </w:rPr>
        <w:t xml:space="preserve"> percentile. Values were log-transformed to aid interpretation</w:t>
      </w:r>
      <w:r w:rsidRPr="00F77151">
        <w:rPr>
          <w:lang w:val="en-US"/>
        </w:rPr>
        <w:t>.</w:t>
      </w:r>
    </w:p>
    <w:p w14:paraId="1B05F6B4" w14:textId="6AEF2279" w:rsidR="00AB166A" w:rsidRPr="001637DB" w:rsidRDefault="00AB166A" w:rsidP="00A862AB">
      <w:pPr>
        <w:rPr>
          <w:lang w:val="en-US"/>
        </w:rPr>
      </w:pPr>
      <w:r>
        <w:rPr>
          <w:noProof/>
          <w:lang w:val="en-US"/>
        </w:rPr>
        <w:drawing>
          <wp:inline distT="0" distB="0" distL="0" distR="0" wp14:anchorId="7BCB4A6E" wp14:editId="2D9C9439">
            <wp:extent cx="5271770" cy="2722245"/>
            <wp:effectExtent l="0" t="0" r="5080" b="1905"/>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1770" cy="2722245"/>
                    </a:xfrm>
                    <a:prstGeom prst="rect">
                      <a:avLst/>
                    </a:prstGeom>
                    <a:noFill/>
                    <a:ln>
                      <a:noFill/>
                    </a:ln>
                  </pic:spPr>
                </pic:pic>
              </a:graphicData>
            </a:graphic>
          </wp:inline>
        </w:drawing>
      </w:r>
    </w:p>
    <w:p w14:paraId="1124D490" w14:textId="77777777" w:rsidR="00912377" w:rsidRDefault="00912377">
      <w:pPr>
        <w:spacing w:line="259" w:lineRule="auto"/>
        <w:jc w:val="left"/>
        <w:rPr>
          <w:sz w:val="20"/>
          <w:szCs w:val="20"/>
          <w:lang w:val="en-US"/>
        </w:rPr>
      </w:pPr>
    </w:p>
    <w:p w14:paraId="4CFB4F4F" w14:textId="77777777" w:rsidR="00912377" w:rsidRDefault="00912377" w:rsidP="00912377">
      <w:pPr>
        <w:rPr>
          <w:lang w:val="en-US"/>
        </w:rPr>
      </w:pPr>
      <w:r w:rsidRPr="001637DB">
        <w:rPr>
          <w:lang w:val="en-US"/>
        </w:rPr>
        <w:t xml:space="preserve">Fig. </w:t>
      </w:r>
      <w:r>
        <w:rPr>
          <w:lang w:val="en-US"/>
        </w:rPr>
        <w:t>4</w:t>
      </w:r>
      <w:r w:rsidRPr="001637DB">
        <w:rPr>
          <w:lang w:val="en-US"/>
        </w:rPr>
        <w:t xml:space="preserve">: </w:t>
      </w:r>
      <w:r>
        <w:rPr>
          <w:lang w:val="en-US"/>
        </w:rPr>
        <w:t>Boxplot indicating minimum cumulative exposure (MCE) per ocean. Upper, mid, and lower horizontal lines of the box represent 75</w:t>
      </w:r>
      <w:r w:rsidRPr="00315C78">
        <w:rPr>
          <w:vertAlign w:val="superscript"/>
          <w:lang w:val="en-US"/>
        </w:rPr>
        <w:t>th</w:t>
      </w:r>
      <w:r>
        <w:rPr>
          <w:lang w:val="en-US"/>
        </w:rPr>
        <w:t xml:space="preserve"> percentile, median and 25</w:t>
      </w:r>
      <w:r w:rsidRPr="00315C78">
        <w:rPr>
          <w:vertAlign w:val="superscript"/>
          <w:lang w:val="en-US"/>
        </w:rPr>
        <w:t>th</w:t>
      </w:r>
      <w:r>
        <w:rPr>
          <w:lang w:val="en-US"/>
        </w:rPr>
        <w:t xml:space="preserve"> percentile of the values.</w:t>
      </w:r>
      <w:r w:rsidRPr="001637DB">
        <w:rPr>
          <w:lang w:val="en-US"/>
        </w:rPr>
        <w:t xml:space="preserve"> </w:t>
      </w:r>
      <w:r>
        <w:rPr>
          <w:lang w:val="en-US"/>
        </w:rPr>
        <w:t>The upper horizontal line represents the largest value within 1.5 times the interquartile range above 75</w:t>
      </w:r>
      <w:r w:rsidRPr="00315C78">
        <w:rPr>
          <w:vertAlign w:val="superscript"/>
          <w:lang w:val="en-US"/>
        </w:rPr>
        <w:t>th</w:t>
      </w:r>
      <w:r>
        <w:rPr>
          <w:lang w:val="en-US"/>
        </w:rPr>
        <w:t xml:space="preserve"> percentile. The lower horizontal line represents the smallest value within 1.5 times the interquartile range below 25</w:t>
      </w:r>
      <w:r w:rsidRPr="00F77151">
        <w:rPr>
          <w:vertAlign w:val="superscript"/>
          <w:lang w:val="en-US"/>
        </w:rPr>
        <w:t>th</w:t>
      </w:r>
      <w:r>
        <w:rPr>
          <w:lang w:val="en-US"/>
        </w:rPr>
        <w:t xml:space="preserve"> percentile. Values were log-transformed to aid interpretation</w:t>
      </w:r>
      <w:r w:rsidRPr="00F77151">
        <w:rPr>
          <w:lang w:val="en-US"/>
        </w:rPr>
        <w:t>.</w:t>
      </w:r>
    </w:p>
    <w:p w14:paraId="72287FFD" w14:textId="29AA9BB9" w:rsidR="00906CFE" w:rsidRDefault="00906CFE">
      <w:pPr>
        <w:spacing w:line="259" w:lineRule="auto"/>
        <w:jc w:val="left"/>
        <w:rPr>
          <w:sz w:val="20"/>
          <w:szCs w:val="20"/>
          <w:lang w:val="en-US"/>
        </w:rPr>
      </w:pPr>
      <w:r>
        <w:rPr>
          <w:sz w:val="20"/>
          <w:szCs w:val="20"/>
          <w:lang w:val="en-US"/>
        </w:rPr>
        <w:br w:type="page"/>
      </w:r>
    </w:p>
    <w:p w14:paraId="36E5E821" w14:textId="34CC4014" w:rsidR="001637DB" w:rsidRDefault="001637DB" w:rsidP="00F152AD">
      <w:pPr>
        <w:rPr>
          <w:lang w:val="en-US"/>
        </w:rPr>
      </w:pPr>
      <w:r>
        <w:rPr>
          <w:noProof/>
          <w:lang w:val="en-US"/>
        </w:rPr>
        <w:lastRenderedPageBreak/>
        <w:drawing>
          <wp:inline distT="0" distB="0" distL="0" distR="0" wp14:anchorId="039BFD2D" wp14:editId="124C49E5">
            <wp:extent cx="5271770" cy="2722245"/>
            <wp:effectExtent l="0" t="0" r="5080" b="190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1770" cy="2722245"/>
                    </a:xfrm>
                    <a:prstGeom prst="rect">
                      <a:avLst/>
                    </a:prstGeom>
                    <a:noFill/>
                    <a:ln>
                      <a:noFill/>
                    </a:ln>
                  </pic:spPr>
                </pic:pic>
              </a:graphicData>
            </a:graphic>
          </wp:inline>
        </w:drawing>
      </w:r>
    </w:p>
    <w:p w14:paraId="3DD17A5D" w14:textId="72C92D11" w:rsidR="00912377" w:rsidRDefault="00912377" w:rsidP="00912377">
      <w:pPr>
        <w:rPr>
          <w:lang w:val="en-US"/>
        </w:rPr>
      </w:pPr>
      <w:r w:rsidRPr="00F152AD">
        <w:rPr>
          <w:lang w:val="en-US"/>
        </w:rPr>
        <w:t xml:space="preserve">Fig. 5: Global map indicating the seascape climatic conditions based on principal component analysis (PCA). Two principal component axes (i.e., PC1 and PC2) were used to represent nine bioclimatic variables (Supplementary Table 2). Panels on the left (i.e., A and C) show the values </w:t>
      </w:r>
      <w:r>
        <w:rPr>
          <w:lang w:val="en-US"/>
        </w:rPr>
        <w:t>o</w:t>
      </w:r>
      <w:r w:rsidRPr="00F152AD">
        <w:rPr>
          <w:lang w:val="en-US"/>
        </w:rPr>
        <w:t>f PC1 and PC2 during the mid of 20th century, respectively. Panels on the right (i.e., B and</w:t>
      </w:r>
      <w:r>
        <w:rPr>
          <w:lang w:val="en-US"/>
        </w:rPr>
        <w:t xml:space="preserve"> </w:t>
      </w:r>
      <w:r w:rsidRPr="00F152AD">
        <w:rPr>
          <w:lang w:val="en-US"/>
        </w:rPr>
        <w:t xml:space="preserve">D) show the projected values of PC1 </w:t>
      </w:r>
      <w:r>
        <w:rPr>
          <w:lang w:val="en-US"/>
        </w:rPr>
        <w:t>a</w:t>
      </w:r>
      <w:r w:rsidRPr="00F152AD">
        <w:rPr>
          <w:lang w:val="en-US"/>
        </w:rPr>
        <w:t>nd PC2 at the end of 21st century, respectively.</w:t>
      </w:r>
      <w:bookmarkStart w:id="0" w:name="_GoBack"/>
      <w:bookmarkEnd w:id="0"/>
      <w:r w:rsidR="003465D6" w:rsidRPr="00F152AD">
        <w:rPr>
          <w:lang w:val="en-US"/>
        </w:rPr>
        <w:t xml:space="preserve"> </w:t>
      </w:r>
      <w:r w:rsidRPr="00F152AD">
        <w:rPr>
          <w:lang w:val="en-US"/>
        </w:rPr>
        <w:t>Black pixels indicate terrestrial areas and water masses that are blocked by terrestrial masses or pixels with no climatic data.</w:t>
      </w:r>
    </w:p>
    <w:p w14:paraId="4EB2D63B" w14:textId="77777777" w:rsidR="00912377" w:rsidRPr="00F152AD" w:rsidRDefault="00912377" w:rsidP="00F152AD">
      <w:pPr>
        <w:rPr>
          <w:lang w:val="en-US"/>
        </w:rPr>
      </w:pPr>
    </w:p>
    <w:sectPr w:rsidR="00912377" w:rsidRPr="00F152A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242"/>
    <w:rsid w:val="000B2A00"/>
    <w:rsid w:val="001637DB"/>
    <w:rsid w:val="001B1BB3"/>
    <w:rsid w:val="00264500"/>
    <w:rsid w:val="00272D46"/>
    <w:rsid w:val="002A01D3"/>
    <w:rsid w:val="00315C78"/>
    <w:rsid w:val="003465D6"/>
    <w:rsid w:val="00401E0B"/>
    <w:rsid w:val="004936D0"/>
    <w:rsid w:val="00534B46"/>
    <w:rsid w:val="00534D37"/>
    <w:rsid w:val="005351E8"/>
    <w:rsid w:val="005B6CD6"/>
    <w:rsid w:val="00684F09"/>
    <w:rsid w:val="006F1A0C"/>
    <w:rsid w:val="007361AB"/>
    <w:rsid w:val="0079613B"/>
    <w:rsid w:val="007E4AB3"/>
    <w:rsid w:val="008264AC"/>
    <w:rsid w:val="00834EAD"/>
    <w:rsid w:val="008D479A"/>
    <w:rsid w:val="00906CFE"/>
    <w:rsid w:val="00912377"/>
    <w:rsid w:val="009D46D8"/>
    <w:rsid w:val="00A41242"/>
    <w:rsid w:val="00A77587"/>
    <w:rsid w:val="00A862AB"/>
    <w:rsid w:val="00AB166A"/>
    <w:rsid w:val="00B41C3F"/>
    <w:rsid w:val="00B630B6"/>
    <w:rsid w:val="00B667D7"/>
    <w:rsid w:val="00B910AA"/>
    <w:rsid w:val="00C72689"/>
    <w:rsid w:val="00D55424"/>
    <w:rsid w:val="00D632DE"/>
    <w:rsid w:val="00E6129D"/>
    <w:rsid w:val="00EE1238"/>
    <w:rsid w:val="00F152AD"/>
    <w:rsid w:val="00F77151"/>
    <w:rsid w:val="00FC7D4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BC92"/>
  <w15:chartTrackingRefBased/>
  <w15:docId w15:val="{47DA8B1A-EE77-4AD8-824E-7B15E1EA3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B1BB3"/>
    <w:pPr>
      <w:spacing w:line="256" w:lineRule="auto"/>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630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Plain Table 1"/>
    <w:basedOn w:val="a1"/>
    <w:uiPriority w:val="41"/>
    <w:rsid w:val="00B630B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ighlight">
    <w:name w:val="highlight"/>
    <w:basedOn w:val="a0"/>
    <w:rsid w:val="00EE1238"/>
  </w:style>
  <w:style w:type="character" w:styleId="a4">
    <w:name w:val="annotation reference"/>
    <w:basedOn w:val="a0"/>
    <w:uiPriority w:val="99"/>
    <w:semiHidden/>
    <w:unhideWhenUsed/>
    <w:rsid w:val="003465D6"/>
    <w:rPr>
      <w:sz w:val="16"/>
      <w:szCs w:val="16"/>
    </w:rPr>
  </w:style>
  <w:style w:type="paragraph" w:styleId="a5">
    <w:name w:val="annotation text"/>
    <w:basedOn w:val="a"/>
    <w:link w:val="Char"/>
    <w:uiPriority w:val="99"/>
    <w:semiHidden/>
    <w:unhideWhenUsed/>
    <w:rsid w:val="003465D6"/>
    <w:pPr>
      <w:spacing w:line="240" w:lineRule="auto"/>
    </w:pPr>
    <w:rPr>
      <w:sz w:val="20"/>
      <w:szCs w:val="20"/>
    </w:rPr>
  </w:style>
  <w:style w:type="character" w:customStyle="1" w:styleId="Char">
    <w:name w:val="Κείμενο σχολίου Char"/>
    <w:basedOn w:val="a0"/>
    <w:link w:val="a5"/>
    <w:uiPriority w:val="99"/>
    <w:semiHidden/>
    <w:rsid w:val="003465D6"/>
    <w:rPr>
      <w:rFonts w:ascii="Times New Roman" w:hAnsi="Times New Roman"/>
      <w:sz w:val="20"/>
      <w:szCs w:val="20"/>
    </w:rPr>
  </w:style>
  <w:style w:type="paragraph" w:styleId="a6">
    <w:name w:val="annotation subject"/>
    <w:basedOn w:val="a5"/>
    <w:next w:val="a5"/>
    <w:link w:val="Char0"/>
    <w:uiPriority w:val="99"/>
    <w:semiHidden/>
    <w:unhideWhenUsed/>
    <w:rsid w:val="003465D6"/>
    <w:rPr>
      <w:b/>
      <w:bCs/>
    </w:rPr>
  </w:style>
  <w:style w:type="character" w:customStyle="1" w:styleId="Char0">
    <w:name w:val="Θέμα σχολίου Char"/>
    <w:basedOn w:val="Char"/>
    <w:link w:val="a6"/>
    <w:uiPriority w:val="99"/>
    <w:semiHidden/>
    <w:rsid w:val="003465D6"/>
    <w:rPr>
      <w:rFonts w:ascii="Times New Roman" w:hAnsi="Times New Roman"/>
      <w:b/>
      <w:bCs/>
      <w:sz w:val="20"/>
      <w:szCs w:val="20"/>
    </w:rPr>
  </w:style>
  <w:style w:type="paragraph" w:styleId="a7">
    <w:name w:val="Balloon Text"/>
    <w:basedOn w:val="a"/>
    <w:link w:val="Char1"/>
    <w:uiPriority w:val="99"/>
    <w:semiHidden/>
    <w:unhideWhenUsed/>
    <w:rsid w:val="003465D6"/>
    <w:pPr>
      <w:spacing w:after="0" w:line="240" w:lineRule="auto"/>
    </w:pPr>
    <w:rPr>
      <w:rFonts w:ascii="Segoe UI" w:hAnsi="Segoe UI" w:cs="Segoe UI"/>
      <w:sz w:val="18"/>
      <w:szCs w:val="18"/>
    </w:rPr>
  </w:style>
  <w:style w:type="character" w:customStyle="1" w:styleId="Char1">
    <w:name w:val="Κείμενο πλαισίου Char"/>
    <w:basedOn w:val="a0"/>
    <w:link w:val="a7"/>
    <w:uiPriority w:val="99"/>
    <w:semiHidden/>
    <w:rsid w:val="003465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710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5</Pages>
  <Words>652</Words>
  <Characters>3521</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Panagiotis Petsas</dc:creator>
  <cp:keywords/>
  <dc:description/>
  <cp:lastModifiedBy>ANT</cp:lastModifiedBy>
  <cp:revision>44</cp:revision>
  <dcterms:created xsi:type="dcterms:W3CDTF">2021-09-27T06:39:00Z</dcterms:created>
  <dcterms:modified xsi:type="dcterms:W3CDTF">2021-11-01T14:29:00Z</dcterms:modified>
</cp:coreProperties>
</file>