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line="480" w:lineRule="auto" w:after="0" w:before="0"/>
        <w:jc w:val="center"/>
      </w:pPr>
      <w:r>
        <w:rPr>
          <w:rFonts w:ascii="Times New Roman" w:hAnsi="Times New Roman" w:eastAsia="Times New Roman"/>
          <w:sz w:val="24"/>
        </w:rPr>
        <w:t>Additional file 1</w:t>
      </w:r>
    </w:p>
    <w:p>
      <w:pPr>
        <w:spacing w:line="480" w:lineRule="auto" w:after="0" w:before="0"/>
        <w:jc w:val="center"/>
      </w:pPr>
      <w:r>
        <w:rPr>
          <w:rFonts w:ascii="Times New Roman" w:hAnsi="Times New Roman" w:eastAsia="Times New Roman"/>
          <w:b/>
          <w:sz w:val="24"/>
        </w:rPr>
        <w:t>Supplementary methods, tables and figure</w:t>
      </w:r>
    </w:p>
    <w:p>
      <w:pPr>
        <w:spacing w:line="480" w:lineRule="auto" w:after="0" w:before="0"/>
        <w:jc w:val="center"/>
      </w:pPr>
      <w:r>
        <w:rPr>
          <w:rFonts w:ascii="Times New Roman" w:hAnsi="Times New Roman" w:eastAsia="Times New Roman"/>
          <w:sz w:val="24"/>
        </w:rPr>
        <w:t>From final-third entry to shot creation: a two-stage spatial analysis of execution constraints and attacking value in elite women's football</w:t>
      </w:r>
    </w:p>
    <w:p>
      <w:pPr>
        <w:pStyle w:val="Heading1"/>
        <w:spacing w:line="480" w:lineRule="auto" w:after="0" w:before="0"/>
      </w:pPr>
      <w:r>
        <w:rPr>
          <w:rFonts w:ascii="Times New Roman" w:hAnsi="Times New Roman" w:eastAsia="Times New Roman"/>
          <w:sz w:val="24"/>
        </w:rPr>
        <w:t>Supplementary methods</w:t>
      </w:r>
    </w:p>
    <w:p>
      <w:pPr>
        <w:spacing w:line="480" w:lineRule="auto" w:after="0" w:before="0"/>
      </w:pPr>
      <w:r>
        <w:rPr>
          <w:rFonts w:ascii="Times New Roman" w:hAnsi="Times New Roman" w:eastAsia="Times New Roman"/>
          <w:sz w:val="24"/>
        </w:rPr>
        <w:t>This file reports the prespecified spatial measurement tiers, complete model coefficients, sensitivity estimators and model-development details that were moved from the main manuscript to preserve readability. All sensitivity analyses were interpreted as robustness checks rather than opportunities for outcome or model selection.</w:t>
      </w:r>
    </w:p>
    <w:p>
      <w:pPr>
        <w:keepNext/>
        <w:spacing w:line="480" w:lineRule="auto" w:after="0" w:before="0"/>
      </w:pPr>
      <w:r>
        <w:rPr>
          <w:rFonts w:ascii="Times New Roman" w:hAnsi="Times New Roman" w:eastAsia="Times New Roman"/>
          <w:b/>
          <w:sz w:val="24"/>
        </w:rPr>
        <w:t>Table S1 Spatial variable definitions and validity rules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rPr>
          <w:tblHeader w:val="true"/>
        </w:trPr>
        <w:tc>
          <w:tcPr>
            <w:tcW w:type="dxa" w:w="187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Variable</w:t>
            </w:r>
          </w:p>
        </w:tc>
        <w:tc>
          <w:tcPr>
            <w:tcW w:type="dxa" w:w="124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Domain</w:t>
            </w:r>
          </w:p>
        </w:tc>
        <w:tc>
          <w:tcPr>
            <w:tcW w:type="dxa" w:w="340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Definition/formula</w:t>
            </w:r>
          </w:p>
        </w:tc>
        <w:tc>
          <w:tcPr>
            <w:tcW w:type="dxa" w:w="255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Validity and model role</w:t>
            </w:r>
          </w:p>
        </w:tc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Interpretation/cautions</w:t>
            </w:r>
          </w:p>
        </w:tc>
      </w:tr>
      <w:tr>
        <w:tc>
          <w:tcPr>
            <w:tcW w:type="dxa" w:w="187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passer_nearest_defender_m</w:t>
            </w:r>
          </w:p>
        </w:tc>
        <w:tc>
          <w:tcPr>
            <w:tcW w:type="dxa" w:w="124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passer pressure</w:t>
            </w:r>
          </w:p>
        </w:tc>
        <w:tc>
          <w:tcPr>
            <w:tcW w:type="dxa" w:w="340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Minimum anisotropically scaled Euclidean distance from actor to visible opponent</w:t>
            </w:r>
          </w:p>
        </w:tc>
        <w:tc>
          <w:tcPr>
            <w:tcW w:type="dxa" w:w="255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all primary rows with opponent visible; primary inferential + ML</w:t>
            </w:r>
          </w:p>
        </w:tc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Direct and interpretable pressure measure.</w:t>
            </w:r>
          </w:p>
        </w:tc>
      </w:tr>
      <w:tr>
        <w:tc>
          <w:tcPr>
            <w:tcW w:type="dxa" w:w="187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passer_defenders_within_5m_n</w:t>
            </w:r>
          </w:p>
        </w:tc>
        <w:tc>
          <w:tcPr>
            <w:tcW w:type="dxa" w:w="124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passer pressure</w:t>
            </w:r>
          </w:p>
        </w:tc>
        <w:tc>
          <w:tcPr>
            <w:tcW w:type="dxa" w:w="340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Visible opponents within 5 m of actor</w:t>
            </w:r>
          </w:p>
        </w:tc>
        <w:tc>
          <w:tcPr>
            <w:tcW w:type="dxa" w:w="255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all primary rows; primary inferential + ML</w:t>
            </w:r>
          </w:p>
        </w:tc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Local pressure density; actor is always observed.</w:t>
            </w:r>
          </w:p>
        </w:tc>
      </w:tr>
      <w:tr>
        <w:tc>
          <w:tcPr>
            <w:tcW w:type="dxa" w:w="187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lane_defenders_within_2m_n</w:t>
            </w:r>
          </w:p>
        </w:tc>
        <w:tc>
          <w:tcPr>
            <w:tcW w:type="dxa" w:w="124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line obstruction</w:t>
            </w:r>
          </w:p>
        </w:tc>
        <w:tc>
          <w:tcPr>
            <w:tcW w:type="dxa" w:w="340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Defenders projected between endpoints and within 2 m of pass line</w:t>
            </w:r>
          </w:p>
        </w:tc>
        <w:tc>
          <w:tcPr>
            <w:tcW w:type="dxa" w:w="255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prefer lane coverage &gt;=80%; primary inferential + ML</w:t>
            </w:r>
          </w:p>
        </w:tc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Interpretable pass-lane congestion measure.</w:t>
            </w:r>
          </w:p>
        </w:tc>
      </w:tr>
      <w:tr>
        <w:tc>
          <w:tcPr>
            <w:tcW w:type="dxa" w:w="187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endpoint_nearest_defender_m</w:t>
            </w:r>
          </w:p>
        </w:tc>
        <w:tc>
          <w:tcPr>
            <w:tcW w:type="dxa" w:w="124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endpoint space</w:t>
            </w:r>
          </w:p>
        </w:tc>
        <w:tc>
          <w:tcPr>
            <w:tcW w:type="dxa" w:w="340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Minimum distance from pass endpoint to visible opponent</w:t>
            </w:r>
          </w:p>
        </w:tc>
        <w:tc>
          <w:tcPr>
            <w:tcW w:type="dxa" w:w="255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endpoint inside visible_area; endpoint-visible sensitivity only</w:t>
            </w:r>
          </w:p>
        </w:tc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Structural missingness prohibits primary-model use.</w:t>
            </w:r>
          </w:p>
        </w:tc>
      </w:tr>
      <w:tr>
        <w:tc>
          <w:tcPr>
            <w:tcW w:type="dxa" w:w="187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endpoint_defenders_within_5m_n</w:t>
            </w:r>
          </w:p>
        </w:tc>
        <w:tc>
          <w:tcPr>
            <w:tcW w:type="dxa" w:w="124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endpoint space</w:t>
            </w:r>
          </w:p>
        </w:tc>
        <w:tc>
          <w:tcPr>
            <w:tcW w:type="dxa" w:w="340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Visible opponents within 5 m of endpoint</w:t>
            </w:r>
          </w:p>
        </w:tc>
        <w:tc>
          <w:tcPr>
            <w:tcW w:type="dxa" w:w="255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endpoint inside visible_area; endpoint-visible sensitivity only</w:t>
            </w:r>
          </w:p>
        </w:tc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Cannot be treated as zero if endpoint is outside frame.</w:t>
            </w:r>
          </w:p>
        </w:tc>
      </w:tr>
    </w:tbl>
    <w:p>
      <w:pPr>
        <w:pStyle w:val="TableNote"/>
        <w:spacing w:line="480" w:lineRule="auto" w:after="0" w:before="0"/>
      </w:pPr>
      <w:r>
        <w:rPr>
          <w:rFonts w:ascii="Times New Roman" w:hAnsi="Times New Roman" w:eastAsia="Times New Roman"/>
          <w:sz w:val="20"/>
        </w:rPr>
        <w:t>Visibility fractions were used to restrict analytic samples and were never treated as tactical predictors.</w:t>
      </w:r>
    </w:p>
    <w:p>
      <w:pPr>
        <w:keepNext/>
        <w:spacing w:line="480" w:lineRule="auto" w:after="0" w:before="0"/>
      </w:pPr>
      <w:r>
        <w:rPr>
          <w:rFonts w:ascii="Times New Roman" w:hAnsi="Times New Roman" w:eastAsia="Times New Roman"/>
          <w:b/>
          <w:sz w:val="24"/>
        </w:rPr>
        <w:t>Table S2 Complete mixed-effects logistic regression results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Model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Predictor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OR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95% credible interval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Low pass vs ground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0.304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0.226-0.407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High pass vs ground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0.193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0.166-0.224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Leading vs drawing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1.166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0.948-1.434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Trailing vs drawing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1.148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0.927-1.422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Restart-derived vs open play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0.562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0.488-0.649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Keeper/other vs open play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0.814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0.512-1.295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Midfielder vs back line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0.785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0.608-1.013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Forward vs back line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0.631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0.475-0.838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Origin gap to final-third boundary (per 12.3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0.652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0.586-0.726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Entry depth beyond final-third line (per 8.9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0.683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0.617-0.757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Lateral displacement (per 10.3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1.251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1.132-1.381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Endpoint distance from centre line (per 9.6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1.505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1.355-1.672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Match time (per 30.0 min)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0.976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0.880-1.083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Under pressure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0.699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0.548-0.891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Switch pass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1.295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0.853-1.965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Knockout vs group stage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0.986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0.811-1.198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Low pass vs ground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0.337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0.251-0.453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High pass vs ground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0.196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0.168-0.227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Leading vs drawing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1.143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0.927-1.409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Trailing vs drawing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1.094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0.882-1.358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Restart-derived vs open play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0.539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0.467-0.623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Keeper/other vs open play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0.769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0.481-1.229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Midfielder vs back line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0.895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0.693-1.157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Forward vs back line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0.747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0.561-0.993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Origin gap to final-third boundary (per 12.3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0.592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0.531-0.659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Entry depth beyond final-third line (per 8.9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0.665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0.600-0.737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Lateral displacement (per 10.3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1.209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1.094-1.337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Endpoint distance from centre line (per 9.6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1.515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1.363-1.685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Match time (per 30.0 min)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0.985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0.887-1.095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Under pressure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0.986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0.772-1.260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Switch pass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1.378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0.905-2.098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Knockout vs group stage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0.991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0.814-1.207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Nearest defender distance (per 2.9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1.349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1.214-1.500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Defenders within 5 m (per 0.79 players)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0.882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0.795-0.978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Low pass vs ground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0.707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0.420-1.191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High pass vs ground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0.503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0.382-0.661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Leading vs drawing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1.265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0.970-1.651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Trailing vs drawing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1.222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0.912-1.639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Restart-derived vs open play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0.850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0.681-1.062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Keeper/other vs open play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0.570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0.276-1.176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Midfielder vs back line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1.160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0.821-1.638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Forward vs back line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1.215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0.812-1.819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Origin gap to final-third boundary (per 12.3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1.543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1.304-1.825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Entry depth beyond final-third line (per 8.9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1.518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1.300-1.772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Lateral displacement (per 10.3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1.266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1.102-1.454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Endpoint distance from centre line (per 9.6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0.662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0.569-0.770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Match time (per 30.0 min)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1.094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0.938-1.275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Under pressure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1.424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0.997-2.034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Switch pass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1.111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0.638-1.935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Knockout vs group stage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0.873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0.659-1.158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Low pass vs ground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0.694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0.412-1.169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High pass vs ground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0.497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0.377-0.654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Leading vs drawing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1.272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0.975-1.661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Trailing vs drawing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1.227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0.915-1.646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Restart-derived vs open play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0.861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0.689-1.076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Keeper/other vs open play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0.572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0.277-1.183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Midfielder vs back line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1.151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0.814-1.626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Forward vs back line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1.201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0.802-1.798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Origin gap to final-third boundary (per 12.3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1.572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1.328-1.860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Entry depth beyond final-third line (per 8.9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1.520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1.302-1.775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Lateral displacement (per 10.3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1.276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1.111-1.466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Endpoint distance from centre line (per 9.6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0.661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0.568-0.770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Match time (per 30.0 min)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1.091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0.936-1.272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Under pressure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1.346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0.941-1.924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Switch pass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1.092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0.626-1.903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Knockout vs group stage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0.879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0.663-1.166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Nearest defender distance (per 2.9 m)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0.903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0.775-1.053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819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Defenders within 5 m (per 0.79 players)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0.950</w:t>
            </w:r>
          </w:p>
        </w:tc>
        <w:tc>
          <w:tcPr>
            <w:tcW w:type="dxa" w:w="198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0.818-1.104</w:t>
            </w:r>
          </w:p>
        </w:tc>
      </w:tr>
    </w:tbl>
    <w:p>
      <w:pPr>
        <w:pStyle w:val="TableNote"/>
        <w:spacing w:line="480" w:lineRule="auto" w:after="0" w:before="0"/>
      </w:pPr>
      <w:r>
        <w:rPr>
          <w:rFonts w:ascii="Times New Roman" w:hAnsi="Times New Roman" w:eastAsia="Times New Roman"/>
          <w:sz w:val="20"/>
        </w:rPr>
        <w:t>OR, odds ratio. Models included crossed random intercepts for match and team.</w:t>
      </w:r>
    </w:p>
    <w:p>
      <w:pPr>
        <w:keepNext/>
        <w:spacing w:line="480" w:lineRule="auto" w:after="0" w:before="0"/>
      </w:pPr>
      <w:r>
        <w:rPr>
          <w:rFonts w:ascii="Times New Roman" w:hAnsi="Times New Roman" w:eastAsia="Times New Roman"/>
          <w:b/>
          <w:sz w:val="24"/>
        </w:rPr>
        <w:t>Table S3 Match-clustered GEE sensitivity results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rPr>
          <w:tblHeader w:val="true"/>
        </w:trP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Model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Predictor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OR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95% CI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P value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Low pass vs ground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0.320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0.228-0.450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High pass vs ground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0.201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0.157-0.257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Leading vs drawing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1.106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0.898-1.361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0.345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Trailing vs drawing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1.260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0.951-1.670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0.107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Restart-derived vs open play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0.553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0.425-0.720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Keeper/other vs open play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0.799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0.512-1.247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0.323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Midfielder vs back line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0.764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0.599-0.974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0.030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Forward vs back line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0.638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0.508-0.801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Origin gap to final-third boundary (per 12.3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0.657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0.585-0.737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Entry depth beyond final-third line (per 8.9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0.698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0.620-0.785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Lateral displacement (per 10.3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1.242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1.099-1.403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0.001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Endpoint distance from centre line (per 9.6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1.496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1.303-1.716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Match time (per 30.0 min)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0.975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0.899-1.057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0.539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Under pressure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0.705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0.558-0.890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Switch pass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1.309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0.783-2.188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0.304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Knockout vs group stage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0.908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0.713-1.155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0.430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Low pass vs ground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0.354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0.251-0.500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High pass vs ground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0.205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0.162-0.260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Leading vs drawing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1.066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0.868-1.310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0.543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Trailing vs drawing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1.204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0.915-1.586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0.185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Restart-derived vs open play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0.530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0.405-0.693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Keeper/other vs open play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0.754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0.488-1.166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0.205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Midfielder vs back line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0.865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0.671-1.115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0.262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Forward vs back line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0.745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0.593-0.936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0.012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Origin gap to final-third boundary (per 12.3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0.598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0.531-0.673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Entry depth beyond final-third line (per 8.9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0.680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0.601-0.769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Lateral displacement (per 10.3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1.199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1.064-1.352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Endpoint distance from centre line (per 9.6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1.502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1.307-1.727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Match time (per 30.0 min)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0.985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0.905-1.073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0.735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Under pressure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0.982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0.754-1.279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0.893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Switch pass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1.405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0.812-2.430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0.224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Knockout vs group stage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0.917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0.718-1.172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0.489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Nearest defender distance (per 2.9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1.360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1.176-1.573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Defenders within 5 m (per 0.79 players)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0.906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0.793-1.035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0.145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Low pass vs ground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0.736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0.410-1.321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0.304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High pass vs ground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0.464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0.262-0.820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0.008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Leading vs drawing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1.156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0.843-1.585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0.367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Trailing vs drawing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1.230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0.764-1.979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0.394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Restart-derived vs open play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0.868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0.651-1.159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0.338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Keeper/other vs open play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0.742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0.329-1.674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0.473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Midfielder vs back line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1.177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0.884-1.567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0.264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Forward vs back line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1.334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0.860-2.070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0.198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Origin gap to final-third boundary (per 12.3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1.606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1.260-2.049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Entry depth beyond final-third line (per 8.9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1.509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1.260-1.808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Lateral displacement (per 10.3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1.252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0.986-1.589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0.065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Endpoint distance from centre line (per 9.6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0.684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0.591-0.793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Match time (per 30.0 min)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1.103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0.953-1.277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0.187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Under pressure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1.365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0.963-1.934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0.080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Switch pass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1.079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0.456-2.554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0.862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Knockout vs group stage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0.839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0.608-1.158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0.285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Low pass vs ground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0.730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0.408-1.306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0.289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High pass vs ground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0.461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0.262-0.811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Leading vs drawing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1.162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0.836-1.616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0.372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Trailing vs drawing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1.232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0.765-1.984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0.391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Restart-derived vs open play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0.874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0.653-1.168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0.362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Keeper/other vs open play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0.741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0.329-1.671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0.470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Midfielder vs back line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1.179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0.868-1.601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0.292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Forward vs back line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1.334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0.854-2.083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0.206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Origin gap to final-third boundary (per 12.3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1.620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1.262-2.079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Entry depth beyond final-third line (per 8.9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1.510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1.261-1.809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Lateral displacement (per 10.3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1.258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0.992-1.594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0.058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Endpoint distance from centre line (per 9.6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0.684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0.591-0.792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Match time (per 30.0 min)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1.100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0.946-1.278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0.216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Under pressure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1.334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0.900-1.978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0.151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Switch pass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1.064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0.455-2.486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0.887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Knockout vs group stage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0.841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0.608-1.164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0.297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Nearest defender distance (per 2.9 m)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0.948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0.781-1.150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0.589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4252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Defenders within 5 m (per 0.79 players)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0.964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0.792-1.174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0.716</w:t>
            </w:r>
          </w:p>
        </w:tc>
      </w:tr>
    </w:tbl>
    <w:p>
      <w:pPr>
        <w:pStyle w:val="TableNote"/>
        <w:spacing w:line="480" w:lineRule="auto" w:after="0" w:before="0"/>
      </w:pPr>
      <w:r>
        <w:rPr>
          <w:rFonts w:ascii="Times New Roman" w:hAnsi="Times New Roman" w:eastAsia="Times New Roman"/>
          <w:sz w:val="20"/>
        </w:rPr>
        <w:t>GEE models used exchangeable within-match correlation and team fixed effects.</w:t>
      </w:r>
    </w:p>
    <w:p>
      <w:pPr>
        <w:keepNext/>
        <w:spacing w:line="480" w:lineRule="auto" w:after="0" w:before="0"/>
      </w:pPr>
      <w:r>
        <w:rPr>
          <w:rFonts w:ascii="Times New Roman" w:hAnsi="Times New Roman" w:eastAsia="Times New Roman"/>
          <w:b/>
          <w:sz w:val="24"/>
        </w:rPr>
        <w:t>Table S4 Random effects and latent-scale clustering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rPr>
          <w:tblHeader w:val="true"/>
        </w:trP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Model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Effect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Estimate type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Estimate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95% interval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match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random_intercept_sd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0.2566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0.1971-0.3342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team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random_intercept_sd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0.3362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0.2310-0.4893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match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latent_scale_icc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0.0190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team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latent_scale_icc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0.0326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S1_event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combined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latent_scale_icc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0.0516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match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random_intercept_sd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0.2555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0.1962-0.3327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team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random_intercept_sd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0.3186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0.2182-0.4650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match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latent_scale_icc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0.0189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team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latent_scale_icc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0.0294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S1_spatial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combined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latent_scale_icc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0.0482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match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random_intercept_sd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0.2897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0.2230-0.3764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team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random_intercept_sd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0.2779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0.1889-0.4089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match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latent_scale_icc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0.0243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team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latent_scale_icc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0.0224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S2_event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combined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latent_scale_icc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0.0467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match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random_intercept_sd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0.2911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0.2241-0.3781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team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random_intercept_sd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0.2783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0.1892-0.4095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match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latent_scale_icc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0.0245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team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latent_scale_icc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0.0224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S2_spatial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combined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latent_scale_icc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0.0470</w:t>
            </w:r>
          </w:p>
        </w:tc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</w:tbl>
    <w:p>
      <w:pPr>
        <w:keepNext/>
        <w:spacing w:line="480" w:lineRule="auto" w:after="0" w:before="0"/>
      </w:pPr>
      <w:r>
        <w:rPr>
          <w:rFonts w:ascii="Times New Roman" w:hAnsi="Times New Roman" w:eastAsia="Times New Roman"/>
          <w:b/>
          <w:sz w:val="24"/>
        </w:rPr>
        <w:t>Table S5 Hyperparameters selected within outer training sets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>
        <w:trPr>
          <w:tblHeader w:val="true"/>
        </w:trP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Model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Fold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Candidate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Trees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Depth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Learning rate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L2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L1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stage1_event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stage1_event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stage1_event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stage1_event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stage1_event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stage1_spatial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stage1_spatial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stage1_spatial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100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0.08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5.0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stage1_spatial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stage1_spatial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100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0.08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5.0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stage2_event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stage2_event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stage2_event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stage2_event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stage2_event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stage2_spatial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stage2_spatial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stage2_spatial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stage2_spatial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stage2_spatial</w:t>
            </w:r>
          </w:p>
        </w:tc>
        <w:tc>
          <w:tcPr>
            <w:tcW w:type="dxa" w:w="68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8.0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</w:t>
            </w:r>
          </w:p>
        </w:tc>
      </w:tr>
    </w:tbl>
    <w:p>
      <w:pPr>
        <w:pStyle w:val="TableNote"/>
        <w:spacing w:line="480" w:lineRule="auto" w:after="0" w:before="0"/>
      </w:pPr>
      <w:r>
        <w:rPr>
          <w:rFonts w:ascii="Times New Roman" w:hAnsi="Times New Roman" w:eastAsia="Times New Roman"/>
          <w:sz w:val="20"/>
        </w:rPr>
        <w:t>Each selection used only inner match-grouped validation data.</w:t>
      </w:r>
    </w:p>
    <w:p>
      <w:pPr>
        <w:keepNext/>
        <w:spacing w:line="480" w:lineRule="auto" w:after="0" w:before="0"/>
      </w:pPr>
      <w:r>
        <w:rPr>
          <w:rFonts w:ascii="Times New Roman" w:hAnsi="Times New Roman" w:eastAsia="Times New Roman"/>
          <w:b/>
          <w:sz w:val="24"/>
        </w:rPr>
        <w:t>Table S6 Outer-fold predictive performance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>
        <w:trPr>
          <w:tblHeader w:val="true"/>
        </w:trP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Model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Fold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n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Events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ROC-AUC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PR-AUC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Brier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Calibration slope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stage1_event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484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287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0.858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0.894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0.149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stage1_event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442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268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0.844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0.900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0.158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stage1_event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386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228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0.867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0.899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0.141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stage1_event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393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246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0.858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0.908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0.146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0.96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stage1_event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5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409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232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0.830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0.864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0.167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1.04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stage1_spatial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484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287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0.865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0.898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0.146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1.05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stage1_spatial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442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268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0.853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0.903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0.154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0.97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stage1_spatial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386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228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0.862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0.899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0.146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stage1_spatial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393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246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0.861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0.914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0.146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0.98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stage1_spatial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5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409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232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0.831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0.867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0.168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1.03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stage2_event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273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47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0.649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0.275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0.138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1.61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stage2_event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262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48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0.583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0.246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0.148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0.68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stage2_event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246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49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0.655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0.309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0.154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1.49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stage2_event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42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0.629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0.287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0.136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1.28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stage2_event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5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230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49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0.555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0.280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0.167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0.58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stage2_spatial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273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47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0.661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0.286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0.138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1.74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stage2_spatial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262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48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0.575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0.236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0.149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0.62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stage2_spatial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246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49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0.637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0.326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0.154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1.49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stage2_spatial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250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42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0.634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0.320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0.136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1.70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stage2_spatial</w:t>
            </w:r>
          </w:p>
        </w:tc>
        <w:tc>
          <w:tcPr>
            <w:tcW w:type="dxa" w:w="56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5</w:t>
            </w:r>
          </w:p>
        </w:tc>
        <w:tc>
          <w:tcPr>
            <w:tcW w:type="dxa" w:w="73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230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49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0.558</w:t>
            </w:r>
          </w:p>
        </w:tc>
        <w:tc>
          <w:tcPr>
            <w:tcW w:type="dxa" w:w="102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0.285</w:t>
            </w:r>
          </w:p>
        </w:tc>
        <w:tc>
          <w:tcPr>
            <w:tcW w:type="dxa" w:w="850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0.167</w:t>
            </w:r>
          </w:p>
        </w:tc>
        <w:tc>
          <w:tcPr>
            <w:tcW w:type="dxa" w:w="141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0.62</w:t>
            </w:r>
          </w:p>
        </w:tc>
      </w:tr>
    </w:tbl>
    <w:p>
      <w:pPr>
        <w:keepNext/>
        <w:spacing w:line="480" w:lineRule="auto" w:after="0" w:before="0"/>
      </w:pPr>
      <w:r>
        <w:rPr>
          <w:rFonts w:ascii="Times New Roman" w:hAnsi="Times New Roman" w:eastAsia="Times New Roman"/>
          <w:b/>
          <w:sz w:val="24"/>
        </w:rPr>
        <w:t>Table S7 Sensitivity analyses of incremental spatial value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tblHeader w:val="true"/>
        </w:trP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Analysis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n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Events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Metric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Delta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Bootstrap interval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stage1_endpoint_visible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1042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767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roc_auc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0.0174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0.0041 to 0.0312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stage1_endpoint_visible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1042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767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0.0109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0.0036 to 0.0190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stage1_endpoint_visible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1042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767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brier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-0.0033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-0.0075 to 0.0010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stage1_exclude_coordinate_anomalies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2112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roc_auc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0.0047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0.0011 to 0.0083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stage1_exclude_coordinate_anomalies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2112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0.0056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0.0017 to 0.0098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stage1_exclude_coordinate_anomalies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2112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brier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-0.0013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-0.0033 to 0.0005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stage1_open_play_only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911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606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roc_auc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-0.0034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-0.0089 to 0.0025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stage1_open_play_only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911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606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-0.0011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-0.0050 to 0.0037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stage1_open_play_only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911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606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brier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0.0029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0.0000 to 0.0057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stage1_tierC_lane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1223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895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roc_auc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0.0085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0.0007 to 0.0170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stage1_tierC_lane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1223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895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0.0048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-0.0001 to 0.0105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stage1_tierC_lane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1223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895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brier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-0.0017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-0.0053 to 0.0016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stage2_box_entry_same_possession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773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roc_auc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-0.0038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-0.0100 to 0.0029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stage2_box_entry_same_possession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773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-0.0083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-0.0147 to -0.0023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stage2_box_entry_same_possession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773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brier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0.0013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0.0001 to 0.0025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stage2_endpoint_visible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767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115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roc_auc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-0.0047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-0.0238 to 0.0118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stage2_endpoint_visible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767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115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-0.0107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-0.0347 to 0.0141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stage2_endpoint_visible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767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115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brier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0.0009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-0.0010 to 0.0030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stage2_exclude_coordinate_anomalies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235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roc_auc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-0.0082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-0.0185 to 0.0016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stage2_exclude_coordinate_anomalies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235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0.0042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-0.0076 to 0.0154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stage2_exclude_coordinate_anomalies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235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brier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0.0002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-0.0008 to 0.0013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stage2_open_play_only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606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roc_auc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0.0044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-0.0060 to 0.0159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stage2_open_play_only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606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0.0061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-0.0090 to 0.0207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stage2_open_play_only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606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brier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-0.0010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-0.0027 to 0.0007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stage2_shot_same_possession_any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314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roc_auc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-0.0098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-0.0203 to 0.0014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stage2_shot_same_possession_any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314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-0.0008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-0.0158 to 0.0127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stage2_shot_same_possession_any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314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brier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0.0005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-0.0008 to 0.0018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stage2_shot_within_10s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197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roc_auc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-0.0026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-0.0086 to 0.0039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stage2_shot_within_10s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197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0.0027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-0.0141 to 0.0271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stage2_shot_within_10s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197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brier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0.0001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-0.0006 to 0.0006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stage2_shot_within_20s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260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roc_auc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0.0006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-0.0072 to 0.0080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stage2_shot_within_20s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260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0.0095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-0.0046 to 0.0190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stage2_shot_within_20s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1261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260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brier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-0.0005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-0.0013 to 0.0004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stage2_tierC_lane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895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145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roc_auc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0.0022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-0.0107 to 0.0154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stage2_tierC_lane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895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145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pr_auc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-0.0029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-0.0143 to 0.0136</w:t>
            </w:r>
          </w:p>
        </w:tc>
      </w:tr>
      <w:tr>
        <w:tc>
          <w:tcPr>
            <w:tcW w:type="dxa" w:w="2835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stage2_tierC_lane</w:t>
            </w:r>
          </w:p>
        </w:tc>
        <w:tc>
          <w:tcPr>
            <w:tcW w:type="dxa" w:w="79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895</w:t>
            </w:r>
          </w:p>
        </w:tc>
        <w:tc>
          <w:tcPr>
            <w:tcW w:type="dxa" w:w="907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145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brier</w:t>
            </w:r>
          </w:p>
        </w:tc>
        <w:tc>
          <w:tcPr>
            <w:tcW w:type="dxa" w:w="1134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-0.0002</w:t>
            </w:r>
          </w:p>
        </w:tc>
        <w:tc>
          <w:tcPr>
            <w:tcW w:type="dxa" w:w="2268"/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line="240" w:lineRule="auto" w:after="0" w:before="0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-0.0012 to 0.0007</w:t>
            </w:r>
          </w:p>
        </w:tc>
      </w:tr>
    </w:tbl>
    <w:p>
      <w:pPr>
        <w:pStyle w:val="TableNote"/>
        <w:spacing w:line="480" w:lineRule="auto" w:after="0" w:before="0"/>
      </w:pPr>
      <w:r>
        <w:rPr>
          <w:rFonts w:ascii="Times New Roman" w:hAnsi="Times New Roman" w:eastAsia="Times New Roman"/>
          <w:sz w:val="20"/>
        </w:rPr>
        <w:t>Intervals are exploratory. Positive deltas favour the spatial model for AUC metrics; negative deltas favour it for Brier score.</w:t>
      </w:r>
    </w:p>
    <w:p>
      <w:pPr>
        <w:pStyle w:val="Heading1"/>
        <w:spacing w:line="480" w:lineRule="auto" w:after="0" w:before="0"/>
      </w:pPr>
      <w:r>
        <w:rPr>
          <w:rFonts w:ascii="Times New Roman" w:hAnsi="Times New Roman" w:eastAsia="Times New Roman"/>
          <w:sz w:val="24"/>
        </w:rPr>
        <w:t>Supplementary figure legend</w:t>
      </w:r>
    </w:p>
    <w:p>
      <w:pPr>
        <w:pStyle w:val="FigureLegend"/>
        <w:spacing w:line="480" w:lineRule="auto" w:after="0" w:before="0"/>
      </w:pPr>
      <w:r>
        <w:rPr>
          <w:rFonts w:ascii="Times New Roman" w:hAnsi="Times New Roman" w:eastAsia="Times New Roman"/>
          <w:b/>
          <w:sz w:val="20"/>
        </w:rPr>
        <w:t xml:space="preserve">Figure S1 Sensitivity analysis of spatial PR-AUC increment. </w:t>
      </w:r>
      <w:r>
        <w:rPr>
          <w:rFonts w:ascii="Times New Roman" w:hAnsi="Times New Roman" w:eastAsia="Times New Roman"/>
          <w:sz w:val="20"/>
        </w:rPr>
        <w:t>Paired differences between spatially enhanced and event-only models across alternative outcomes and measurement-validity cohorts. Intervals are exploratory match-level bootstrap intervals.</w:t>
      </w:r>
    </w:p>
    <w:p>
      <w:pPr>
        <w:spacing w:line="480" w:lineRule="auto" w:after="0" w:before="0"/>
        <w:jc w:val="center"/>
      </w:pPr>
      <w:r>
        <w:rPr>
          <w:rFonts w:ascii="Times New Roman" w:hAnsi="Times New Roman" w:eastAsia="Times New Roman"/>
          <w:sz w:val="24"/>
        </w:rPr>
        <w:drawing>
          <wp:inline xmlns:a="http://schemas.openxmlformats.org/drawingml/2006/main" xmlns:pic="http://schemas.openxmlformats.org/drawingml/2006/picture">
            <wp:extent cx="5760720" cy="4720590"/>
            <wp:docPr id="1" name="Picture 1" descr="Image: 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1_Sensitivity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2059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  <w:lnNumType w:countBy="1" w:restart="continuous" w:distance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480" w:lineRule="auto" w:after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24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Note">
    <w:name w:val="Table Note"/>
    <w:pPr>
      <w:spacing w:line="240" w:lineRule="auto"/>
    </w:pPr>
    <w:rPr>
      <w:rFonts w:ascii="Times New Roman" w:hAnsi="Times New Roman"/>
      <w:i/>
      <w:sz w:val="18"/>
    </w:rPr>
  </w:style>
  <w:style w:type="paragraph" w:customStyle="1" w:styleId="Reference">
    <w:name w:val="Reference"/>
    <w:pPr>
      <w:spacing w:line="240" w:lineRule="auto" w:after="60"/>
      <w:ind w:left="340" w:hanging="340"/>
    </w:pPr>
    <w:rPr>
      <w:rFonts w:ascii="Times New Roman" w:hAnsi="Times New Roman"/>
      <w:sz w:val="20"/>
    </w:rPr>
  </w:style>
  <w:style w:type="paragraph" w:customStyle="1" w:styleId="FigureLegend">
    <w:name w:val="Figure Legend"/>
    <w:pPr>
      <w:spacing w:line="240" w:lineRule="auto" w:after="120"/>
    </w:pPr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1: From final-third entry to shot creation: a two-stage spatial analysis of execution constraints and attacking value in elite women's football</dc:title>
  <dc:subject/>
  <dc:creator>Yuanning Li; Xiaojun Wang</dc:creator>
  <cp:keywords/>
  <dc:description>generated by python-docx</dc:description>
  <cp:lastModifiedBy>Yuanning Li; Xiaojun Wang</cp:lastModifiedBy>
  <cp:revision>1</cp:revision>
  <dcterms:created xsi:type="dcterms:W3CDTF">2013-12-23T23:15:00Z</dcterms:created>
  <dcterms:modified xsi:type="dcterms:W3CDTF">2013-12-23T23:15:00Z</dcterms:modified>
  <cp:category/>
</cp:coreProperties>
</file>