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3C5" w:rsidRPr="00A07943" w:rsidRDefault="000673C5" w:rsidP="00A07943">
      <w:pPr>
        <w:pStyle w:val="Heading3"/>
        <w:spacing w:line="360" w:lineRule="auto"/>
        <w:rPr>
          <w:sz w:val="24"/>
          <w:szCs w:val="24"/>
          <w:u w:val="single"/>
        </w:rPr>
      </w:pPr>
      <w:r w:rsidRPr="00A07943">
        <w:rPr>
          <w:sz w:val="24"/>
          <w:szCs w:val="24"/>
          <w:u w:val="single"/>
        </w:rPr>
        <w:t>Supplementary information 1. Sample collection</w:t>
      </w:r>
      <w:r w:rsidR="007F4BB2" w:rsidRPr="00A07943">
        <w:rPr>
          <w:sz w:val="24"/>
          <w:szCs w:val="24"/>
          <w:u w:val="single"/>
        </w:rPr>
        <w:t xml:space="preserve">, transport </w:t>
      </w:r>
      <w:r w:rsidR="00A07943" w:rsidRPr="00A07943">
        <w:rPr>
          <w:sz w:val="24"/>
          <w:szCs w:val="24"/>
          <w:u w:val="single"/>
        </w:rPr>
        <w:t>and Laboratory analysis</w:t>
      </w:r>
      <w:r w:rsidR="00C116AE">
        <w:rPr>
          <w:sz w:val="24"/>
          <w:szCs w:val="24"/>
          <w:u w:val="single"/>
        </w:rPr>
        <w:t xml:space="preserve"> method</w:t>
      </w:r>
    </w:p>
    <w:p w:rsidR="00270290" w:rsidRPr="00227AA1" w:rsidRDefault="00270290" w:rsidP="00A07943">
      <w:pPr>
        <w:spacing w:before="100" w:beforeAutospacing="1" w:after="100" w:afterAutospacing="1" w:line="360" w:lineRule="auto"/>
        <w:contextualSpacing/>
        <w:rPr>
          <w:rFonts w:ascii="Arial" w:eastAsia="Times New Roman" w:hAnsi="Arial" w:cs="Arial"/>
          <w:sz w:val="24"/>
          <w:szCs w:val="24"/>
          <w:u w:val="single"/>
        </w:rPr>
      </w:pPr>
      <w:r w:rsidRPr="00227AA1">
        <w:rPr>
          <w:rFonts w:ascii="Arial" w:eastAsia="Times New Roman" w:hAnsi="Arial" w:cs="Arial"/>
          <w:sz w:val="24"/>
          <w:szCs w:val="24"/>
          <w:u w:val="single"/>
        </w:rPr>
        <w:t>Food samples</w:t>
      </w:r>
    </w:p>
    <w:p w:rsidR="00270290" w:rsidRPr="00270290" w:rsidRDefault="00270290" w:rsidP="00A07943">
      <w:pPr>
        <w:spacing w:before="100" w:beforeAutospacing="1" w:after="100" w:afterAutospacing="1" w:line="360" w:lineRule="auto"/>
        <w:contextualSpacing/>
        <w:rPr>
          <w:rFonts w:ascii="Arial" w:eastAsia="Times New Roman" w:hAnsi="Arial" w:cs="Arial"/>
          <w:sz w:val="24"/>
          <w:szCs w:val="24"/>
        </w:rPr>
      </w:pPr>
      <w:r w:rsidRPr="00270290">
        <w:rPr>
          <w:rFonts w:ascii="Arial" w:eastAsia="Times New Roman" w:hAnsi="Arial" w:cs="Arial"/>
          <w:sz w:val="24"/>
          <w:szCs w:val="24"/>
        </w:rPr>
        <w:t>Food samples were collected following standardized field protocols</w:t>
      </w:r>
      <w:r w:rsidR="00227AA1">
        <w:rPr>
          <w:rFonts w:ascii="Arial" w:eastAsia="Times New Roman" w:hAnsi="Arial" w:cs="Arial"/>
          <w:sz w:val="24"/>
          <w:szCs w:val="24"/>
        </w:rPr>
        <w:t xml:space="preserve"> of </w:t>
      </w:r>
      <w:r w:rsidR="00227AA1" w:rsidRPr="00227AA1">
        <w:rPr>
          <w:rFonts w:ascii="Arial" w:eastAsia="Times New Roman" w:hAnsi="Arial" w:cs="Arial"/>
          <w:sz w:val="24"/>
          <w:szCs w:val="24"/>
        </w:rPr>
        <w:t>NM SLD Environmental Microbiology Bureau</w:t>
      </w:r>
      <w:r w:rsidR="00042B49">
        <w:rPr>
          <w:rFonts w:ascii="Arial" w:eastAsia="Times New Roman" w:hAnsi="Arial" w:cs="Arial"/>
          <w:sz w:val="24"/>
          <w:szCs w:val="24"/>
        </w:rPr>
        <w:t>-</w:t>
      </w:r>
      <w:r w:rsidR="00227AA1" w:rsidRPr="00227AA1">
        <w:rPr>
          <w:rFonts w:ascii="Arial" w:eastAsia="Times New Roman" w:hAnsi="Arial" w:cs="Arial"/>
          <w:sz w:val="24"/>
          <w:szCs w:val="24"/>
        </w:rPr>
        <w:t xml:space="preserve"> Food Sample Collection Instructions (2024)</w:t>
      </w:r>
      <w:r w:rsidRPr="00270290">
        <w:rPr>
          <w:rFonts w:ascii="Arial" w:eastAsia="Times New Roman" w:hAnsi="Arial" w:cs="Arial"/>
          <w:sz w:val="24"/>
          <w:szCs w:val="24"/>
        </w:rPr>
        <w:t>. The temperature of each food sample was measured at the time of collection using a sterile digital thermometer. Approximately 50 g of food was aseptically collected using sterile stainless-steel spoons and transferred into sterile zip-lock bags. For stored and reheated foods, information on storage conditions, including storage location</w:t>
      </w:r>
      <w:r w:rsidR="007F4BB2">
        <w:rPr>
          <w:rFonts w:ascii="Arial" w:eastAsia="Times New Roman" w:hAnsi="Arial" w:cs="Arial"/>
          <w:sz w:val="24"/>
          <w:szCs w:val="24"/>
        </w:rPr>
        <w:t xml:space="preserve">. </w:t>
      </w:r>
      <w:r w:rsidR="007F4BB2" w:rsidRPr="007F4BB2">
        <w:rPr>
          <w:rFonts w:ascii="Arial" w:eastAsia="Times New Roman" w:hAnsi="Arial" w:cs="Arial"/>
          <w:sz w:val="24"/>
          <w:szCs w:val="24"/>
        </w:rPr>
        <w:t>We measured the temperature of each collected food sample with a TP300 digital food thermometer, designed for water, kitchen, and laboratory use.</w:t>
      </w:r>
    </w:p>
    <w:p w:rsidR="00270290" w:rsidRPr="00227AA1" w:rsidRDefault="00227AA1" w:rsidP="00A07943">
      <w:pPr>
        <w:spacing w:before="100" w:beforeAutospacing="1" w:after="100" w:afterAutospacing="1" w:line="360" w:lineRule="auto"/>
        <w:contextualSpacing/>
        <w:rPr>
          <w:rFonts w:ascii="Arial" w:eastAsia="Times New Roman" w:hAnsi="Arial" w:cs="Arial"/>
          <w:sz w:val="24"/>
          <w:szCs w:val="24"/>
          <w:u w:val="single"/>
        </w:rPr>
      </w:pPr>
      <w:r>
        <w:rPr>
          <w:rFonts w:ascii="Arial" w:eastAsia="Times New Roman" w:hAnsi="Arial" w:cs="Arial"/>
          <w:sz w:val="24"/>
          <w:szCs w:val="24"/>
          <w:u w:val="single"/>
        </w:rPr>
        <w:br/>
      </w:r>
      <w:r w:rsidR="00270290" w:rsidRPr="00227AA1">
        <w:rPr>
          <w:rFonts w:ascii="Arial" w:eastAsia="Times New Roman" w:hAnsi="Arial" w:cs="Arial"/>
          <w:sz w:val="24"/>
          <w:szCs w:val="24"/>
          <w:u w:val="single"/>
        </w:rPr>
        <w:t>Drinking water samples</w:t>
      </w:r>
    </w:p>
    <w:p w:rsidR="00270290" w:rsidRPr="00270290" w:rsidRDefault="00270290" w:rsidP="00A07943">
      <w:pPr>
        <w:spacing w:before="100" w:beforeAutospacing="1" w:after="100" w:afterAutospacing="1" w:line="360" w:lineRule="auto"/>
        <w:contextualSpacing/>
        <w:rPr>
          <w:rFonts w:ascii="Arial" w:eastAsia="Times New Roman" w:hAnsi="Arial" w:cs="Arial"/>
          <w:sz w:val="24"/>
          <w:szCs w:val="24"/>
        </w:rPr>
      </w:pPr>
      <w:r w:rsidRPr="00270290">
        <w:rPr>
          <w:rFonts w:ascii="Arial" w:eastAsia="Times New Roman" w:hAnsi="Arial" w:cs="Arial"/>
          <w:sz w:val="24"/>
          <w:szCs w:val="24"/>
        </w:rPr>
        <w:t xml:space="preserve">Drinking water samples intended for child consumption were collected </w:t>
      </w:r>
      <w:r w:rsidR="007F4BB2">
        <w:rPr>
          <w:rFonts w:ascii="Arial" w:eastAsia="Times New Roman" w:hAnsi="Arial" w:cs="Arial"/>
          <w:sz w:val="24"/>
          <w:szCs w:val="24"/>
        </w:rPr>
        <w:t xml:space="preserve">from the feeding bottle or jug </w:t>
      </w:r>
      <w:r w:rsidRPr="00270290">
        <w:rPr>
          <w:rFonts w:ascii="Arial" w:eastAsia="Times New Roman" w:hAnsi="Arial" w:cs="Arial"/>
          <w:sz w:val="24"/>
          <w:szCs w:val="24"/>
        </w:rPr>
        <w:t xml:space="preserve">aseptically in sterile </w:t>
      </w:r>
      <w:r w:rsidR="007F4BB2">
        <w:rPr>
          <w:rFonts w:ascii="Arial" w:eastAsia="Times New Roman" w:hAnsi="Arial" w:cs="Arial"/>
          <w:sz w:val="24"/>
          <w:szCs w:val="24"/>
        </w:rPr>
        <w:t xml:space="preserve">50 ml </w:t>
      </w:r>
      <w:r w:rsidR="00227AA1">
        <w:rPr>
          <w:rFonts w:ascii="Arial" w:eastAsia="Times New Roman" w:hAnsi="Arial" w:cs="Arial"/>
          <w:sz w:val="24"/>
          <w:szCs w:val="24"/>
        </w:rPr>
        <w:t xml:space="preserve">Whirl Pack bag </w:t>
      </w:r>
      <w:r w:rsidRPr="00270290">
        <w:rPr>
          <w:rFonts w:ascii="Arial" w:eastAsia="Times New Roman" w:hAnsi="Arial" w:cs="Arial"/>
          <w:sz w:val="24"/>
          <w:szCs w:val="24"/>
        </w:rPr>
        <w:t>following standardized field protocols</w:t>
      </w:r>
      <w:r w:rsidR="00227AA1">
        <w:rPr>
          <w:rFonts w:ascii="Arial" w:eastAsia="Times New Roman" w:hAnsi="Arial" w:cs="Arial"/>
          <w:sz w:val="24"/>
          <w:szCs w:val="24"/>
        </w:rPr>
        <w:t xml:space="preserve"> </w:t>
      </w:r>
      <w:r w:rsidR="00494EF0">
        <w:rPr>
          <w:rFonts w:ascii="Arial" w:eastAsia="Times New Roman" w:hAnsi="Arial" w:cs="Arial"/>
          <w:sz w:val="24"/>
          <w:szCs w:val="24"/>
        </w:rPr>
        <w:fldChar w:fldCharType="begin"/>
      </w:r>
      <w:r w:rsidR="0091366C">
        <w:rPr>
          <w:rFonts w:ascii="Arial" w:eastAsia="Times New Roman" w:hAnsi="Arial" w:cs="Arial"/>
          <w:sz w:val="24"/>
          <w:szCs w:val="24"/>
        </w:rPr>
        <w:instrText xml:space="preserve"> ADDIN ZOTERO_ITEM CSL_CITATION {"citationID":"Wg4DCcLN","properties":{"unsorted":false,"formattedCitation":"[1,2]","plainCitation":"[1,2]","noteIndex":0},"citationItems":[{"id":460,"uris":["http://zotero.org/users/20120076/items/74YWEP8P"],"itemData":{"id":460,"type":"book","edition":"23rd","ISBN":"978-0-87553-287-5","language":"eng","number-of-pages":"1","publisher":"American Public Health Association","publisher-place":"Washington, DC","source":"K10plus ISBN","title":"Standard methods for the examination of water and wastewater","author":[{"family":"Baird","given":"Rodger"},{"family":"Eaton","given":"Andrew"},{"family":"Rice","given":"Eugene"}],"issued":{"date-parts":[["2017"]]}}},{"id":"22PMN4rg/AdDY8kXj","uris":["http://zotero.org/users/local/TxUuR704/items/K6WMQXYD"],"itemData":{"id":"22PMN4rg/AdDY8kXj","type":"book","edition":"23rd","publisher":"American Public Health Association","publisher-place":"Washington, DC","title":"Standard Methods for the Examination of Water and Wastewater (23rd ed.). - Google Search","URL":"https://www.google.com/search?q=Standard+Methods+for+the+Examination+of+Water+and+Wastewater+%2823rd+ed.%29.+&amp;sca_esv=07c4e3a849c72571&amp;rlz=1C1BNSD_enBD1025BD1025&amp;biw=1242&amp;bih=583&amp;sxsrf=ANbL-n55-cTdlnNhahriVZQpHq4sn9fPFA%3A1780907952792&amp;ei=sH8matSSMLTuseMP5PybqQs&amp;ved=0ahUKEwjUqp2Pn_eUAxU0d2wGHWT-JrUQ4dUDCBA&amp;uact=5&amp;oq=Standard+Methods+for+the+Examination+of+Water+and+Wastewater+%2823rd+ed.%29.+&amp;gs_lp=Egxnd3Mtd2l6LXNlcnAiSVN0YW5kYXJkIE1ldGhvZHMgZm9yIHRoZSBFeGFtaW5hdGlvbiBvZiBXYXRlciBhbmQgV2FzdGV3YXRlciAoMjNyZCBlZC4pLiBIpwJQAFgAcAB4AZABAJgBAKABAKoBALgBA8gBAPgBAZgCAKACAJgDAJIHAKAHALIHALgHAMIHAMgHAIAIAQ&amp;sclient=gws-wiz-serp","author":[{"family":"Rice","given":"Eugene W."},{"family":"Baird","given":"Rodger B."},{"family":"Eaton","given":"Andrew D."}],"accessed":{"date-parts":[["2026",6,8]]},"issued":{"date-parts":[["2017"]]}}}],"schema":"https://github.com/citation-style-language/schema/raw/master/csl-citation.json"} </w:instrText>
      </w:r>
      <w:r w:rsidR="00494EF0">
        <w:rPr>
          <w:rFonts w:ascii="Arial" w:eastAsia="Times New Roman" w:hAnsi="Arial" w:cs="Arial"/>
          <w:sz w:val="24"/>
          <w:szCs w:val="24"/>
        </w:rPr>
        <w:fldChar w:fldCharType="separate"/>
      </w:r>
      <w:r w:rsidR="0091366C" w:rsidRPr="0091366C">
        <w:rPr>
          <w:rFonts w:ascii="Arial" w:hAnsi="Arial" w:cs="Arial"/>
          <w:sz w:val="24"/>
        </w:rPr>
        <w:t>[1,2]</w:t>
      </w:r>
      <w:r w:rsidR="00494EF0">
        <w:rPr>
          <w:rFonts w:ascii="Arial" w:eastAsia="Times New Roman" w:hAnsi="Arial" w:cs="Arial"/>
          <w:sz w:val="24"/>
          <w:szCs w:val="24"/>
        </w:rPr>
        <w:fldChar w:fldCharType="end"/>
      </w:r>
      <w:r w:rsidR="00494EF0">
        <w:rPr>
          <w:rFonts w:ascii="Arial" w:eastAsia="Times New Roman" w:hAnsi="Arial" w:cs="Arial"/>
          <w:sz w:val="24"/>
          <w:szCs w:val="24"/>
        </w:rPr>
        <w:t>.</w:t>
      </w:r>
    </w:p>
    <w:p w:rsidR="00270290" w:rsidRPr="00270290" w:rsidRDefault="00270290" w:rsidP="00A07943">
      <w:pPr>
        <w:spacing w:before="100" w:beforeAutospacing="1" w:after="100" w:afterAutospacing="1" w:line="360" w:lineRule="auto"/>
        <w:contextualSpacing/>
        <w:rPr>
          <w:rFonts w:ascii="Arial" w:eastAsia="Times New Roman" w:hAnsi="Arial" w:cs="Arial"/>
          <w:sz w:val="24"/>
          <w:szCs w:val="24"/>
        </w:rPr>
      </w:pPr>
    </w:p>
    <w:p w:rsidR="00270290" w:rsidRPr="00227AA1" w:rsidRDefault="00270290" w:rsidP="00A07943">
      <w:pPr>
        <w:spacing w:before="100" w:beforeAutospacing="1" w:after="100" w:afterAutospacing="1" w:line="360" w:lineRule="auto"/>
        <w:contextualSpacing/>
        <w:rPr>
          <w:rFonts w:ascii="Arial" w:eastAsia="Times New Roman" w:hAnsi="Arial" w:cs="Arial"/>
          <w:sz w:val="24"/>
          <w:szCs w:val="24"/>
          <w:u w:val="single"/>
        </w:rPr>
      </w:pPr>
      <w:r w:rsidRPr="00227AA1">
        <w:rPr>
          <w:rFonts w:ascii="Arial" w:eastAsia="Times New Roman" w:hAnsi="Arial" w:cs="Arial"/>
          <w:sz w:val="24"/>
          <w:szCs w:val="24"/>
          <w:u w:val="single"/>
        </w:rPr>
        <w:t>Domestic surface samples</w:t>
      </w:r>
    </w:p>
    <w:p w:rsidR="00270290" w:rsidRPr="00270290" w:rsidRDefault="00227AA1" w:rsidP="00A07943">
      <w:pPr>
        <w:spacing w:before="100" w:beforeAutospacing="1" w:after="100" w:afterAutospacing="1" w:line="360" w:lineRule="auto"/>
        <w:contextualSpacing/>
        <w:rPr>
          <w:rFonts w:ascii="Arial" w:eastAsia="Times New Roman" w:hAnsi="Arial" w:cs="Arial"/>
          <w:sz w:val="24"/>
          <w:szCs w:val="24"/>
        </w:rPr>
      </w:pPr>
      <w:r w:rsidRPr="00227AA1">
        <w:rPr>
          <w:rFonts w:ascii="Arial" w:eastAsia="Times New Roman" w:hAnsi="Arial" w:cs="Arial"/>
          <w:sz w:val="24"/>
          <w:szCs w:val="24"/>
        </w:rPr>
        <w:t>Domestic surface swab samples were collected from food preparation and feeding-related surfaces and food storage</w:t>
      </w:r>
      <w:r w:rsidR="007F4BB2">
        <w:rPr>
          <w:rFonts w:ascii="Arial" w:eastAsia="Times New Roman" w:hAnsi="Arial" w:cs="Arial"/>
          <w:sz w:val="24"/>
          <w:szCs w:val="24"/>
        </w:rPr>
        <w:t xml:space="preserve"> areas</w:t>
      </w:r>
      <w:r w:rsidRPr="00227AA1">
        <w:rPr>
          <w:rFonts w:ascii="Arial" w:eastAsia="Times New Roman" w:hAnsi="Arial" w:cs="Arial"/>
          <w:sz w:val="24"/>
          <w:szCs w:val="24"/>
        </w:rPr>
        <w:t xml:space="preserve">. Each surface was swabbed using a sterile swab following standardized field protocols. After collection, the swab was immediately placed into a tube containing viral transport medium (VTM) to preserve microbial nucleic acids during transport. </w:t>
      </w:r>
    </w:p>
    <w:p w:rsidR="00636DEE" w:rsidRDefault="007F4BB2" w:rsidP="00A07943">
      <w:pPr>
        <w:spacing w:before="100" w:beforeAutospacing="1" w:after="100" w:afterAutospacing="1" w:line="360" w:lineRule="auto"/>
        <w:contextualSpacing/>
        <w:rPr>
          <w:rFonts w:ascii="Arial" w:hAnsi="Arial" w:cs="Arial"/>
          <w:b/>
          <w:sz w:val="24"/>
          <w:szCs w:val="24"/>
        </w:rPr>
      </w:pPr>
      <w:r>
        <w:rPr>
          <w:rFonts w:ascii="Arial" w:eastAsia="Times New Roman" w:hAnsi="Arial" w:cs="Arial"/>
          <w:sz w:val="24"/>
          <w:szCs w:val="24"/>
        </w:rPr>
        <w:br/>
      </w:r>
      <w:r w:rsidRPr="00227AA1">
        <w:rPr>
          <w:rFonts w:ascii="Arial" w:eastAsia="Times New Roman" w:hAnsi="Arial" w:cs="Arial"/>
          <w:sz w:val="24"/>
          <w:szCs w:val="24"/>
        </w:rPr>
        <w:t>Each sample was labelled according to the sampled surface and transported to the laboratory in an insulated cooler box with ice packs at approximately 4</w:t>
      </w:r>
      <w:r w:rsidR="00042B49">
        <w:rPr>
          <w:rFonts w:ascii="Arial" w:eastAsia="Times New Roman" w:hAnsi="Arial" w:cs="Arial"/>
          <w:sz w:val="24"/>
          <w:szCs w:val="24"/>
        </w:rPr>
        <w:t>-</w:t>
      </w:r>
      <w:r w:rsidRPr="00227AA1">
        <w:rPr>
          <w:rFonts w:ascii="Arial" w:eastAsia="Times New Roman" w:hAnsi="Arial" w:cs="Arial"/>
          <w:sz w:val="24"/>
          <w:szCs w:val="24"/>
        </w:rPr>
        <w:t>8 °C. Samples were processed within four hours of collection.</w:t>
      </w:r>
      <w:r>
        <w:rPr>
          <w:rFonts w:ascii="Arial" w:eastAsia="Times New Roman" w:hAnsi="Arial" w:cs="Arial"/>
          <w:sz w:val="24"/>
          <w:szCs w:val="24"/>
        </w:rPr>
        <w:br/>
      </w:r>
      <w:r w:rsidR="00227AA1">
        <w:rPr>
          <w:rFonts w:ascii="Arial" w:eastAsia="Times New Roman" w:hAnsi="Arial" w:cs="Arial"/>
          <w:sz w:val="24"/>
          <w:szCs w:val="24"/>
        </w:rPr>
        <w:br/>
      </w:r>
      <w:bookmarkStart w:id="0" w:name="_Hlk231593489"/>
    </w:p>
    <w:bookmarkEnd w:id="0"/>
    <w:p w:rsidR="00636DEE" w:rsidRDefault="00636DEE" w:rsidP="00A07943">
      <w:pPr>
        <w:spacing w:before="100" w:beforeAutospacing="1" w:after="100" w:afterAutospacing="1" w:line="360" w:lineRule="auto"/>
        <w:contextualSpacing/>
        <w:rPr>
          <w:rFonts w:ascii="Arial" w:hAnsi="Arial" w:cs="Arial"/>
          <w:b/>
          <w:sz w:val="24"/>
          <w:szCs w:val="24"/>
        </w:rPr>
      </w:pPr>
    </w:p>
    <w:p w:rsidR="00636DEE" w:rsidRPr="00A07943" w:rsidRDefault="00636DEE" w:rsidP="00A07943">
      <w:pPr>
        <w:spacing w:before="100" w:beforeAutospacing="1" w:after="100" w:afterAutospacing="1" w:line="360" w:lineRule="auto"/>
        <w:contextualSpacing/>
        <w:rPr>
          <w:rFonts w:ascii="Arial" w:hAnsi="Arial" w:cs="Arial"/>
          <w:b/>
          <w:sz w:val="24"/>
          <w:szCs w:val="24"/>
          <w:u w:val="single"/>
        </w:rPr>
      </w:pPr>
      <w:r w:rsidRPr="00A07943">
        <w:rPr>
          <w:rFonts w:ascii="Arial" w:hAnsi="Arial" w:cs="Arial"/>
          <w:b/>
          <w:sz w:val="24"/>
          <w:szCs w:val="24"/>
          <w:u w:val="single"/>
        </w:rPr>
        <w:lastRenderedPageBreak/>
        <w:t>Enumeration of aerobic plate count and total coliform count in food samples</w:t>
      </w:r>
    </w:p>
    <w:p w:rsidR="005013CE" w:rsidRDefault="005013CE" w:rsidP="00A07943">
      <w:pPr>
        <w:spacing w:before="100" w:beforeAutospacing="1" w:after="100" w:afterAutospacing="1" w:line="360" w:lineRule="auto"/>
        <w:contextualSpacing/>
        <w:rPr>
          <w:rFonts w:ascii="Arial" w:hAnsi="Arial" w:cs="Arial"/>
          <w:sz w:val="24"/>
          <w:szCs w:val="24"/>
        </w:rPr>
      </w:pPr>
      <w:r w:rsidRPr="000334FF">
        <w:rPr>
          <w:rFonts w:ascii="Arial" w:hAnsi="Arial" w:cs="Arial"/>
          <w:sz w:val="24"/>
          <w:szCs w:val="24"/>
        </w:rPr>
        <w:t xml:space="preserve">All food samples were tested for aerobic plate count (APC)  and total coliform count (TCC)  using standard microbiology methods described previously </w:t>
      </w:r>
      <w:r w:rsidRPr="000334FF">
        <w:rPr>
          <w:rFonts w:ascii="Arial" w:hAnsi="Arial" w:cs="Arial"/>
          <w:sz w:val="24"/>
          <w:szCs w:val="24"/>
        </w:rPr>
        <w:fldChar w:fldCharType="begin"/>
      </w:r>
      <w:r w:rsidR="0091366C">
        <w:rPr>
          <w:rFonts w:ascii="Arial" w:hAnsi="Arial" w:cs="Arial"/>
          <w:sz w:val="24"/>
          <w:szCs w:val="24"/>
        </w:rPr>
        <w:instrText xml:space="preserve"> ADDIN ZOTERO_ITEM CSL_CITATION {"citationID":"zv12PjjN","properties":{"unsorted":false,"formattedCitation":"[3,4]","plainCitation":"[3,4]","noteIndex":0},"citationItems":[{"id":463,"uris":["http://zotero.org/users/20120076/items/6VAA4UMS"],"itemData":{"id":463,"type":"book","publisher-place":"Silver Spring","title":"Bacteriological Analytical Manual, Aerobic Plate Count","author":[{"literal":"FDA"}],"issued":{"date-parts":[["2001"]]}}},{"id":472,"uris":["http://zotero.org/users/20120076/items/FNYUNBAZ"],"itemData":{"id":472,"type":"book","title":"Microbiology of Food and Animal Feeding Stuffs: Horizontal Method for the Enumeration of Coliforms: Colony-count Technique: International Organization for Standardization (ISO)","author":[{"literal":"ISO"}],"issued":{"date-parts":[["2006"]]}}}],"schema":"https://github.com/citation-style-language/schema/raw/master/csl-citation.json"} </w:instrText>
      </w:r>
      <w:r w:rsidRPr="000334FF">
        <w:rPr>
          <w:rFonts w:ascii="Arial" w:hAnsi="Arial" w:cs="Arial"/>
          <w:sz w:val="24"/>
          <w:szCs w:val="24"/>
        </w:rPr>
        <w:fldChar w:fldCharType="separate"/>
      </w:r>
      <w:r w:rsidR="0091366C" w:rsidRPr="0091366C">
        <w:rPr>
          <w:rFonts w:ascii="Arial" w:hAnsi="Arial" w:cs="Arial"/>
          <w:sz w:val="24"/>
        </w:rPr>
        <w:t>[3,4]</w:t>
      </w:r>
      <w:r w:rsidRPr="000334FF">
        <w:rPr>
          <w:rFonts w:ascii="Arial" w:hAnsi="Arial" w:cs="Arial"/>
          <w:sz w:val="24"/>
          <w:szCs w:val="24"/>
        </w:rPr>
        <w:fldChar w:fldCharType="end"/>
      </w:r>
      <w:r w:rsidRPr="000334FF">
        <w:rPr>
          <w:rFonts w:ascii="Arial" w:hAnsi="Arial" w:cs="Arial"/>
          <w:sz w:val="24"/>
          <w:szCs w:val="24"/>
        </w:rPr>
        <w:t>. Briefly, an aliquot of 25 g of solid or 25 ml of liquid food sample was mixed well with 225 ml of 0.1% peptone water and homogenized in a Stomacher 400 circulator (Seward Co. Ltd., West Sussex, UK) at 230 rpm for 1 minute. 1 ml of the suspension was transferred to a tube containing 9 ml of sterile diluents and mixed thoroughly to obtain 10</w:t>
      </w:r>
      <w:r w:rsidRPr="000334FF">
        <w:rPr>
          <w:rFonts w:ascii="Arial" w:hAnsi="Arial" w:cs="Arial"/>
          <w:sz w:val="24"/>
          <w:szCs w:val="24"/>
          <w:vertAlign w:val="superscript"/>
        </w:rPr>
        <w:t>-2</w:t>
      </w:r>
      <w:r w:rsidRPr="000334FF">
        <w:rPr>
          <w:rFonts w:ascii="Arial" w:hAnsi="Arial" w:cs="Arial"/>
          <w:sz w:val="24"/>
          <w:szCs w:val="24"/>
        </w:rPr>
        <w:t xml:space="preserve"> to 10</w:t>
      </w:r>
      <w:r w:rsidRPr="000334FF">
        <w:rPr>
          <w:rFonts w:ascii="Arial" w:hAnsi="Arial" w:cs="Arial"/>
          <w:sz w:val="24"/>
          <w:szCs w:val="24"/>
          <w:vertAlign w:val="superscript"/>
        </w:rPr>
        <w:t xml:space="preserve">-4 </w:t>
      </w:r>
      <w:r w:rsidRPr="000334FF">
        <w:rPr>
          <w:rFonts w:ascii="Arial" w:hAnsi="Arial" w:cs="Arial"/>
          <w:sz w:val="24"/>
          <w:szCs w:val="24"/>
        </w:rPr>
        <w:t>dilution. The diluted food samples were inoculated on standard plate count agar (</w:t>
      </w:r>
      <w:proofErr w:type="spellStart"/>
      <w:r w:rsidRPr="000334FF">
        <w:rPr>
          <w:rFonts w:ascii="Arial" w:hAnsi="Arial" w:cs="Arial"/>
          <w:sz w:val="24"/>
          <w:szCs w:val="24"/>
        </w:rPr>
        <w:t>Oxoid</w:t>
      </w:r>
      <w:proofErr w:type="spellEnd"/>
      <w:r w:rsidRPr="000334FF">
        <w:rPr>
          <w:rFonts w:ascii="Arial" w:hAnsi="Arial" w:cs="Arial"/>
          <w:sz w:val="24"/>
          <w:szCs w:val="24"/>
        </w:rPr>
        <w:t>, UK) and violet red bile lactose agar (</w:t>
      </w:r>
      <w:proofErr w:type="spellStart"/>
      <w:r w:rsidRPr="000334FF">
        <w:rPr>
          <w:rFonts w:ascii="Arial" w:hAnsi="Arial" w:cs="Arial"/>
          <w:sz w:val="24"/>
          <w:szCs w:val="24"/>
        </w:rPr>
        <w:t>Oxoid</w:t>
      </w:r>
      <w:proofErr w:type="spellEnd"/>
      <w:r w:rsidRPr="000334FF">
        <w:rPr>
          <w:rFonts w:ascii="Arial" w:hAnsi="Arial" w:cs="Arial"/>
          <w:sz w:val="24"/>
          <w:szCs w:val="24"/>
        </w:rPr>
        <w:t xml:space="preserve">, UK) plate to determine APC at 37 °C for 48 ± 2 hours and TCC at 44 °C for 18 to 24 hours </w:t>
      </w:r>
      <w:r w:rsidR="00593569">
        <w:rPr>
          <w:rFonts w:ascii="Arial" w:hAnsi="Arial" w:cs="Arial"/>
          <w:sz w:val="24"/>
          <w:szCs w:val="24"/>
        </w:rPr>
        <w:fldChar w:fldCharType="begin"/>
      </w:r>
      <w:r w:rsidR="0091366C">
        <w:rPr>
          <w:rFonts w:ascii="Arial" w:hAnsi="Arial" w:cs="Arial"/>
          <w:sz w:val="24"/>
          <w:szCs w:val="24"/>
        </w:rPr>
        <w:instrText xml:space="preserve"> ADDIN ZOTERO_ITEM CSL_CITATION {"citationID":"cyq6Z8Zi","properties":{"unsorted":false,"formattedCitation":"[4]","plainCitation":"[4]","noteIndex":0},"citationItems":[{"id":472,"uris":["http://zotero.org/users/20120076/items/FNYUNBAZ"],"itemData":{"id":472,"type":"book","title":"Microbiology of Food and Animal Feeding Stuffs: Horizontal Method for the Enumeration of Coliforms: Colony-count Technique: International Organization for Standardization (ISO)","author":[{"literal":"ISO"}],"issued":{"date-parts":[["2006"]]}}}],"schema":"https://github.com/citation-style-language/schema/raw/master/csl-citation.json"} </w:instrText>
      </w:r>
      <w:r w:rsidR="00593569">
        <w:rPr>
          <w:rFonts w:ascii="Arial" w:hAnsi="Arial" w:cs="Arial"/>
          <w:sz w:val="24"/>
          <w:szCs w:val="24"/>
        </w:rPr>
        <w:fldChar w:fldCharType="separate"/>
      </w:r>
      <w:r w:rsidR="0091366C" w:rsidRPr="0091366C">
        <w:rPr>
          <w:rFonts w:ascii="Arial" w:hAnsi="Arial" w:cs="Arial"/>
          <w:sz w:val="24"/>
        </w:rPr>
        <w:t>[4]</w:t>
      </w:r>
      <w:r w:rsidR="00593569">
        <w:rPr>
          <w:rFonts w:ascii="Arial" w:hAnsi="Arial" w:cs="Arial"/>
          <w:sz w:val="24"/>
          <w:szCs w:val="24"/>
        </w:rPr>
        <w:fldChar w:fldCharType="end"/>
      </w:r>
      <w:r w:rsidR="00593569">
        <w:rPr>
          <w:rFonts w:ascii="Arial" w:hAnsi="Arial" w:cs="Arial"/>
          <w:sz w:val="24"/>
          <w:szCs w:val="24"/>
        </w:rPr>
        <w:t xml:space="preserve"> </w:t>
      </w:r>
      <w:r w:rsidRPr="000334FF">
        <w:rPr>
          <w:rFonts w:ascii="Arial" w:hAnsi="Arial" w:cs="Arial"/>
          <w:sz w:val="24"/>
          <w:szCs w:val="24"/>
        </w:rPr>
        <w:t>incubation, respectively. Red-purple colonies on the VRBL culture plate were indicative of coliforms, which were confirmed by the formation of gas in the Durham tube in brilliant green lactose bile broth following incubation at 37º for 24 h. For both APC and TCC, the bacterial count was reported as colony forming unit (CFU) per wet gram of food sample. For samples with fewer than 25 colonies on the initial dilution (10</w:t>
      </w:r>
      <w:r w:rsidRPr="000334FF">
        <w:rPr>
          <w:rFonts w:ascii="Arial" w:hAnsi="Arial" w:cs="Arial"/>
          <w:sz w:val="24"/>
          <w:szCs w:val="24"/>
          <w:vertAlign w:val="superscript"/>
        </w:rPr>
        <w:t>-1</w:t>
      </w:r>
      <w:r w:rsidRPr="000334FF">
        <w:rPr>
          <w:rFonts w:ascii="Arial" w:hAnsi="Arial" w:cs="Arial"/>
          <w:sz w:val="24"/>
          <w:szCs w:val="24"/>
        </w:rPr>
        <w:t xml:space="preserve">) was reported as </w:t>
      </w:r>
      <w:r w:rsidRPr="000334FF">
        <w:rPr>
          <w:rFonts w:ascii="Arial" w:hAnsi="Arial" w:cs="Arial"/>
          <w:spacing w:val="-3"/>
          <w:sz w:val="24"/>
          <w:szCs w:val="24"/>
        </w:rPr>
        <w:t xml:space="preserve">APC &lt;250 CFU/g. We took </w:t>
      </w:r>
      <w:r w:rsidRPr="000334FF">
        <w:rPr>
          <w:rFonts w:ascii="Arial" w:hAnsi="Arial" w:cs="Arial"/>
          <w:i/>
          <w:sz w:val="24"/>
          <w:szCs w:val="24"/>
        </w:rPr>
        <w:t>E. coli</w:t>
      </w:r>
      <w:r w:rsidRPr="000334FF">
        <w:rPr>
          <w:rFonts w:ascii="Arial" w:hAnsi="Arial" w:cs="Arial"/>
          <w:sz w:val="24"/>
          <w:szCs w:val="24"/>
        </w:rPr>
        <w:t xml:space="preserve"> ATCC 25922 as positive and a blank standard plate count agar plate as a negative control for APC. We took </w:t>
      </w:r>
      <w:r w:rsidRPr="000334FF">
        <w:rPr>
          <w:rFonts w:ascii="Arial" w:hAnsi="Arial" w:cs="Arial"/>
          <w:i/>
          <w:sz w:val="24"/>
          <w:szCs w:val="24"/>
        </w:rPr>
        <w:t>E. coli</w:t>
      </w:r>
      <w:r w:rsidRPr="000334FF">
        <w:rPr>
          <w:rFonts w:ascii="Arial" w:hAnsi="Arial" w:cs="Arial"/>
          <w:sz w:val="24"/>
          <w:szCs w:val="24"/>
        </w:rPr>
        <w:t xml:space="preserve"> ATCC 25922 as positive and </w:t>
      </w:r>
      <w:r w:rsidRPr="000334FF">
        <w:rPr>
          <w:rFonts w:ascii="Arial" w:hAnsi="Arial" w:cs="Arial"/>
          <w:i/>
          <w:sz w:val="24"/>
          <w:szCs w:val="24"/>
        </w:rPr>
        <w:t>Enterococcus faecalis</w:t>
      </w:r>
      <w:r w:rsidRPr="000334FF">
        <w:rPr>
          <w:rFonts w:ascii="Arial" w:hAnsi="Arial" w:cs="Arial"/>
          <w:sz w:val="24"/>
          <w:szCs w:val="24"/>
        </w:rPr>
        <w:t xml:space="preserve"> ATCC 29212 as a negative control for TCC. </w:t>
      </w:r>
    </w:p>
    <w:p w:rsidR="00636DEE" w:rsidRDefault="00636DEE" w:rsidP="00A07943">
      <w:pPr>
        <w:spacing w:before="100" w:beforeAutospacing="1" w:after="100" w:afterAutospacing="1" w:line="360" w:lineRule="auto"/>
        <w:contextualSpacing/>
        <w:rPr>
          <w:rFonts w:ascii="Arial" w:hAnsi="Arial" w:cs="Arial"/>
          <w:sz w:val="24"/>
          <w:szCs w:val="24"/>
        </w:rPr>
      </w:pPr>
    </w:p>
    <w:p w:rsidR="00636DEE" w:rsidRPr="00A07943" w:rsidRDefault="00636DEE" w:rsidP="00A07943">
      <w:pPr>
        <w:spacing w:before="100" w:beforeAutospacing="1" w:after="100" w:afterAutospacing="1" w:line="360" w:lineRule="auto"/>
        <w:contextualSpacing/>
        <w:rPr>
          <w:rStyle w:val="Strong"/>
          <w:rFonts w:ascii="Arial" w:hAnsi="Arial" w:cs="Arial"/>
          <w:b w:val="0"/>
          <w:sz w:val="24"/>
          <w:szCs w:val="24"/>
          <w:u w:val="single"/>
        </w:rPr>
      </w:pPr>
      <w:r w:rsidRPr="00A07943">
        <w:rPr>
          <w:rFonts w:ascii="Arial" w:hAnsi="Arial" w:cs="Arial"/>
          <w:b/>
          <w:sz w:val="24"/>
          <w:szCs w:val="24"/>
          <w:u w:val="single"/>
        </w:rPr>
        <w:t>Enumeration of total coliforms and aerobic bacteria in drinking water</w:t>
      </w:r>
    </w:p>
    <w:p w:rsidR="005013CE" w:rsidRPr="000334FF" w:rsidRDefault="005013CE" w:rsidP="00A07943">
      <w:pPr>
        <w:spacing w:before="100" w:beforeAutospacing="1" w:after="100" w:afterAutospacing="1" w:line="360" w:lineRule="auto"/>
        <w:contextualSpacing/>
        <w:rPr>
          <w:rStyle w:val="Strong"/>
          <w:rFonts w:ascii="Arial" w:hAnsi="Arial" w:cs="Arial"/>
          <w:sz w:val="24"/>
          <w:szCs w:val="24"/>
        </w:rPr>
      </w:pPr>
      <w:r w:rsidRPr="000334FF">
        <w:rPr>
          <w:rFonts w:ascii="Arial" w:hAnsi="Arial" w:cs="Arial"/>
          <w:sz w:val="24"/>
          <w:szCs w:val="24"/>
        </w:rPr>
        <w:t xml:space="preserve">According to James and Natalie et al., protocols </w:t>
      </w:r>
      <w:r w:rsidRPr="000334FF">
        <w:rPr>
          <w:rFonts w:ascii="Arial" w:hAnsi="Arial" w:cs="Arial"/>
          <w:sz w:val="24"/>
          <w:szCs w:val="24"/>
        </w:rPr>
        <w:fldChar w:fldCharType="begin"/>
      </w:r>
      <w:r w:rsidR="0091366C">
        <w:rPr>
          <w:rFonts w:ascii="Arial" w:hAnsi="Arial" w:cs="Arial"/>
          <w:sz w:val="24"/>
          <w:szCs w:val="24"/>
        </w:rPr>
        <w:instrText xml:space="preserve"> ADDIN ZOTERO_ITEM CSL_CITATION {"citationID":"LvVMf7gG","properties":{"unsorted":false,"formattedCitation":"[5]","plainCitation":"[5]","noteIndex":0},"citationItems":[{"id":475,"uris":["http://zotero.org/users/20120076/items/Y4VEL6AU"],"itemData":{"id":475,"type":"book","edition":"10th","publisher":"Pearson Education","publisher-place":"Boston","title":"Microbiology: A Laboratory Manual","author":[{"family":"Cappuccino","given":"James G."},{"family":"Sherman","given":"Natalie"}],"issued":{"date-parts":[["2014"]]}}}],"schema":"https://github.com/citation-style-language/schema/raw/master/csl-citation.json"} </w:instrText>
      </w:r>
      <w:r w:rsidRPr="000334FF">
        <w:rPr>
          <w:rFonts w:ascii="Arial" w:hAnsi="Arial" w:cs="Arial"/>
          <w:sz w:val="24"/>
          <w:szCs w:val="24"/>
        </w:rPr>
        <w:fldChar w:fldCharType="separate"/>
      </w:r>
      <w:r w:rsidR="0091366C" w:rsidRPr="0091366C">
        <w:rPr>
          <w:rFonts w:ascii="Arial" w:hAnsi="Arial" w:cs="Arial"/>
          <w:sz w:val="24"/>
        </w:rPr>
        <w:t>[5]</w:t>
      </w:r>
      <w:r w:rsidRPr="000334FF">
        <w:rPr>
          <w:rFonts w:ascii="Arial" w:hAnsi="Arial" w:cs="Arial"/>
          <w:sz w:val="24"/>
          <w:szCs w:val="24"/>
        </w:rPr>
        <w:fldChar w:fldCharType="end"/>
      </w:r>
      <w:r w:rsidRPr="000334FF">
        <w:rPr>
          <w:rFonts w:ascii="Arial" w:hAnsi="Arial" w:cs="Arial"/>
          <w:sz w:val="24"/>
          <w:szCs w:val="24"/>
        </w:rPr>
        <w:t xml:space="preserve"> a total volume of 100 ml of water samples was drawn through a 0.22 </w:t>
      </w:r>
      <w:proofErr w:type="spellStart"/>
      <w:r w:rsidRPr="000334FF">
        <w:rPr>
          <w:rFonts w:ascii="Arial" w:hAnsi="Arial" w:cs="Arial"/>
          <w:sz w:val="24"/>
          <w:szCs w:val="24"/>
        </w:rPr>
        <w:t>μm</w:t>
      </w:r>
      <w:proofErr w:type="spellEnd"/>
      <w:r w:rsidRPr="000334FF">
        <w:rPr>
          <w:rFonts w:ascii="Arial" w:hAnsi="Arial" w:cs="Arial"/>
          <w:sz w:val="24"/>
          <w:szCs w:val="24"/>
        </w:rPr>
        <w:t xml:space="preserve"> pore-sized nitrocellulose filter using a vacuum pump after adequate sterilization of the filtration unit and the filtration materials. The filter paper was then aseptically transferred to the selective m-</w:t>
      </w:r>
      <w:proofErr w:type="spellStart"/>
      <w:r w:rsidRPr="000334FF">
        <w:rPr>
          <w:rFonts w:ascii="Arial" w:hAnsi="Arial" w:cs="Arial"/>
          <w:sz w:val="24"/>
          <w:szCs w:val="24"/>
        </w:rPr>
        <w:t>faecal</w:t>
      </w:r>
      <w:proofErr w:type="spellEnd"/>
      <w:r w:rsidRPr="000334FF">
        <w:rPr>
          <w:rFonts w:ascii="Arial" w:hAnsi="Arial" w:cs="Arial"/>
          <w:sz w:val="24"/>
          <w:szCs w:val="24"/>
        </w:rPr>
        <w:t xml:space="preserve"> coliform (</w:t>
      </w:r>
      <w:proofErr w:type="spellStart"/>
      <w:r w:rsidRPr="000334FF">
        <w:rPr>
          <w:rFonts w:ascii="Arial" w:hAnsi="Arial" w:cs="Arial"/>
          <w:sz w:val="24"/>
          <w:szCs w:val="24"/>
        </w:rPr>
        <w:t>mFC</w:t>
      </w:r>
      <w:proofErr w:type="spellEnd"/>
      <w:r w:rsidRPr="000334FF">
        <w:rPr>
          <w:rFonts w:ascii="Arial" w:hAnsi="Arial" w:cs="Arial"/>
          <w:sz w:val="24"/>
          <w:szCs w:val="24"/>
        </w:rPr>
        <w:t>) agar plate and incubated at 35±0.5°C for 24 hours. Following incubation, the characteristic blue colonies were counted, and results were presented as CFU per 100 ml of the samples. In cases where the number of characteristic blue colonies exceeded 200 CFU per filter paper, the test was repeated through appropriate dilution to achieve countable colony</w:t>
      </w:r>
      <w:r w:rsidRPr="000334FF">
        <w:rPr>
          <w:rFonts w:ascii="Arial" w:hAnsi="Arial" w:cs="Arial"/>
          <w:noProof/>
          <w:sz w:val="24"/>
          <w:szCs w:val="24"/>
        </w:rPr>
        <w:t xml:space="preserve">. The total aerobic bacterial count is a routinely employed microbiological test to assess the number of viable aerobic organisms from water samples. As per the previously established protocols (cite) following the drop plate </w:t>
      </w:r>
      <w:r w:rsidRPr="000334FF">
        <w:rPr>
          <w:rFonts w:ascii="Arial" w:hAnsi="Arial" w:cs="Arial"/>
          <w:noProof/>
          <w:sz w:val="24"/>
          <w:szCs w:val="24"/>
        </w:rPr>
        <w:lastRenderedPageBreak/>
        <w:t xml:space="preserve">technique, a total volume of 100 </w:t>
      </w:r>
      <w:proofErr w:type="spellStart"/>
      <w:r w:rsidRPr="000334FF">
        <w:rPr>
          <w:rFonts w:ascii="Arial" w:hAnsi="Arial" w:cs="Arial"/>
          <w:sz w:val="24"/>
          <w:szCs w:val="24"/>
        </w:rPr>
        <w:t>μl</w:t>
      </w:r>
      <w:proofErr w:type="spellEnd"/>
      <w:r w:rsidRPr="000334FF">
        <w:rPr>
          <w:rFonts w:ascii="Arial" w:hAnsi="Arial" w:cs="Arial"/>
          <w:sz w:val="24"/>
          <w:szCs w:val="24"/>
        </w:rPr>
        <w:t xml:space="preserve"> water sample was pipetted directly on the surface of the non-selective universal nutrient agar media after adequately homogenizing the samples. The plates were dried before the process, and following inoculation, they were incubated upside down at 37°C for 24 hours. Any characteristic colony was presented as a CFU per ml of the samples, targeting any non-fastidious aerobic organisms present.</w:t>
      </w:r>
      <w:r w:rsidRPr="000334FF">
        <w:rPr>
          <w:rFonts w:ascii="Arial" w:hAnsi="Arial" w:cs="Arial"/>
          <w:sz w:val="24"/>
          <w:szCs w:val="24"/>
        </w:rPr>
        <w:br/>
      </w:r>
      <w:r w:rsidRPr="00A07943">
        <w:rPr>
          <w:rFonts w:ascii="Arial" w:hAnsi="Arial" w:cs="Arial"/>
          <w:sz w:val="24"/>
          <w:szCs w:val="24"/>
          <w:u w:val="single"/>
        </w:rPr>
        <w:br/>
      </w:r>
      <w:r w:rsidRPr="00A07943">
        <w:rPr>
          <w:rStyle w:val="Strong"/>
          <w:rFonts w:ascii="Arial" w:hAnsi="Arial" w:cs="Arial"/>
          <w:sz w:val="24"/>
          <w:szCs w:val="24"/>
          <w:u w:val="single"/>
        </w:rPr>
        <w:t>Molecular detection of foodborne pathogens in food, water, and surface swab</w:t>
      </w:r>
    </w:p>
    <w:p w:rsidR="00A07943" w:rsidRDefault="005013CE" w:rsidP="00852431">
      <w:pPr>
        <w:spacing w:line="360" w:lineRule="auto"/>
        <w:rPr>
          <w:rFonts w:ascii="Arial" w:hAnsi="Arial" w:cs="Arial"/>
          <w:sz w:val="24"/>
          <w:szCs w:val="24"/>
        </w:rPr>
      </w:pPr>
      <w:r w:rsidRPr="000334FF">
        <w:rPr>
          <w:rFonts w:ascii="Arial" w:hAnsi="Arial" w:cs="Arial"/>
          <w:sz w:val="24"/>
          <w:szCs w:val="24"/>
        </w:rPr>
        <w:t xml:space="preserve">Real-time qPCR was performed to detect a panel of pathogens, including </w:t>
      </w:r>
      <w:r w:rsidRPr="000334FF">
        <w:rPr>
          <w:rFonts w:ascii="Arial" w:hAnsi="Arial" w:cs="Arial"/>
          <w:i/>
          <w:sz w:val="24"/>
          <w:szCs w:val="24"/>
        </w:rPr>
        <w:t>Salmonella</w:t>
      </w:r>
      <w:r w:rsidRPr="000334FF">
        <w:rPr>
          <w:rFonts w:ascii="Arial" w:hAnsi="Arial" w:cs="Arial"/>
          <w:sz w:val="24"/>
          <w:szCs w:val="24"/>
        </w:rPr>
        <w:t xml:space="preserve"> spp., </w:t>
      </w:r>
      <w:r w:rsidRPr="000334FF">
        <w:rPr>
          <w:rFonts w:ascii="Arial" w:hAnsi="Arial" w:cs="Arial"/>
          <w:i/>
          <w:sz w:val="24"/>
          <w:szCs w:val="24"/>
        </w:rPr>
        <w:t>Shigella</w:t>
      </w:r>
      <w:r w:rsidRPr="000334FF">
        <w:rPr>
          <w:rFonts w:ascii="Arial" w:hAnsi="Arial" w:cs="Arial"/>
          <w:sz w:val="24"/>
          <w:szCs w:val="24"/>
        </w:rPr>
        <w:t xml:space="preserve"> spp., </w:t>
      </w:r>
      <w:r w:rsidRPr="000334FF">
        <w:rPr>
          <w:rFonts w:ascii="Arial" w:hAnsi="Arial" w:cs="Arial"/>
          <w:i/>
          <w:sz w:val="24"/>
          <w:szCs w:val="24"/>
        </w:rPr>
        <w:t>Listeria monocytogenes</w:t>
      </w:r>
      <w:r w:rsidRPr="000334FF">
        <w:rPr>
          <w:rFonts w:ascii="Arial" w:hAnsi="Arial" w:cs="Arial"/>
          <w:sz w:val="24"/>
          <w:szCs w:val="24"/>
        </w:rPr>
        <w:t xml:space="preserve">, </w:t>
      </w:r>
      <w:r w:rsidRPr="000334FF">
        <w:rPr>
          <w:rFonts w:ascii="Arial" w:hAnsi="Arial" w:cs="Arial"/>
          <w:i/>
          <w:sz w:val="24"/>
          <w:szCs w:val="24"/>
        </w:rPr>
        <w:t>V</w:t>
      </w:r>
      <w:r w:rsidR="00042B49">
        <w:rPr>
          <w:rFonts w:ascii="Arial" w:hAnsi="Arial" w:cs="Arial"/>
          <w:i/>
          <w:sz w:val="24"/>
          <w:szCs w:val="24"/>
        </w:rPr>
        <w:t>ibrio</w:t>
      </w:r>
      <w:r w:rsidRPr="000334FF">
        <w:rPr>
          <w:rFonts w:ascii="Arial" w:hAnsi="Arial" w:cs="Arial"/>
          <w:i/>
          <w:sz w:val="24"/>
          <w:szCs w:val="24"/>
        </w:rPr>
        <w:t xml:space="preserve"> cholerae</w:t>
      </w:r>
      <w:r w:rsidRPr="000334FF">
        <w:rPr>
          <w:rFonts w:ascii="Arial" w:hAnsi="Arial" w:cs="Arial"/>
          <w:sz w:val="24"/>
          <w:szCs w:val="24"/>
        </w:rPr>
        <w:t xml:space="preserve">, </w:t>
      </w:r>
      <w:r w:rsidR="00042B49">
        <w:rPr>
          <w:rFonts w:ascii="Arial" w:hAnsi="Arial" w:cs="Arial"/>
          <w:i/>
          <w:sz w:val="24"/>
          <w:szCs w:val="24"/>
        </w:rPr>
        <w:t>Vibrio</w:t>
      </w:r>
      <w:r w:rsidRPr="000334FF">
        <w:rPr>
          <w:rFonts w:ascii="Arial" w:hAnsi="Arial" w:cs="Arial"/>
          <w:i/>
          <w:sz w:val="24"/>
          <w:szCs w:val="24"/>
        </w:rPr>
        <w:t xml:space="preserve"> parahaemolyticus</w:t>
      </w:r>
      <w:r w:rsidRPr="000334FF">
        <w:rPr>
          <w:rFonts w:ascii="Arial" w:hAnsi="Arial" w:cs="Arial"/>
          <w:sz w:val="24"/>
          <w:szCs w:val="24"/>
        </w:rPr>
        <w:t xml:space="preserve">, </w:t>
      </w:r>
      <w:r w:rsidRPr="000334FF">
        <w:rPr>
          <w:rFonts w:ascii="Arial" w:hAnsi="Arial" w:cs="Arial"/>
          <w:i/>
          <w:sz w:val="24"/>
          <w:szCs w:val="24"/>
        </w:rPr>
        <w:t>C. perfringens</w:t>
      </w:r>
      <w:r w:rsidRPr="000334FF">
        <w:rPr>
          <w:rFonts w:ascii="Arial" w:hAnsi="Arial" w:cs="Arial"/>
          <w:sz w:val="24"/>
          <w:szCs w:val="24"/>
        </w:rPr>
        <w:t xml:space="preserve">, </w:t>
      </w:r>
      <w:r w:rsidRPr="000334FF">
        <w:rPr>
          <w:rFonts w:ascii="Arial" w:hAnsi="Arial" w:cs="Arial"/>
          <w:i/>
          <w:sz w:val="24"/>
          <w:szCs w:val="24"/>
        </w:rPr>
        <w:t>S. aureus</w:t>
      </w:r>
      <w:r w:rsidRPr="000334FF">
        <w:rPr>
          <w:rFonts w:ascii="Arial" w:hAnsi="Arial" w:cs="Arial"/>
          <w:sz w:val="24"/>
          <w:szCs w:val="24"/>
        </w:rPr>
        <w:t xml:space="preserve">, </w:t>
      </w:r>
      <w:r w:rsidRPr="000334FF">
        <w:rPr>
          <w:rFonts w:ascii="Arial" w:hAnsi="Arial" w:cs="Arial"/>
          <w:i/>
          <w:sz w:val="24"/>
          <w:szCs w:val="24"/>
        </w:rPr>
        <w:t>B. cereus</w:t>
      </w:r>
      <w:r w:rsidRPr="000334FF">
        <w:rPr>
          <w:rFonts w:ascii="Arial" w:hAnsi="Arial" w:cs="Arial"/>
          <w:sz w:val="24"/>
          <w:szCs w:val="24"/>
        </w:rPr>
        <w:t xml:space="preserve">, </w:t>
      </w:r>
      <w:r w:rsidRPr="000334FF">
        <w:rPr>
          <w:rFonts w:ascii="Arial" w:hAnsi="Arial" w:cs="Arial"/>
          <w:i/>
          <w:sz w:val="24"/>
          <w:szCs w:val="24"/>
        </w:rPr>
        <w:t xml:space="preserve">C. </w:t>
      </w:r>
      <w:proofErr w:type="spellStart"/>
      <w:r w:rsidRPr="000334FF">
        <w:rPr>
          <w:rFonts w:ascii="Arial" w:hAnsi="Arial" w:cs="Arial"/>
          <w:i/>
          <w:sz w:val="24"/>
          <w:szCs w:val="24"/>
        </w:rPr>
        <w:t>jejuni</w:t>
      </w:r>
      <w:proofErr w:type="spellEnd"/>
      <w:r w:rsidRPr="000334FF">
        <w:rPr>
          <w:rFonts w:ascii="Arial" w:hAnsi="Arial" w:cs="Arial"/>
          <w:sz w:val="24"/>
          <w:szCs w:val="24"/>
        </w:rPr>
        <w:t xml:space="preserve">, </w:t>
      </w:r>
      <w:r w:rsidRPr="000334FF">
        <w:rPr>
          <w:rFonts w:ascii="Arial" w:hAnsi="Arial" w:cs="Arial"/>
          <w:i/>
          <w:sz w:val="24"/>
          <w:szCs w:val="24"/>
        </w:rPr>
        <w:t>E. coli</w:t>
      </w:r>
      <w:r w:rsidRPr="000334FF">
        <w:rPr>
          <w:rFonts w:ascii="Arial" w:hAnsi="Arial" w:cs="Arial"/>
          <w:sz w:val="24"/>
          <w:szCs w:val="24"/>
        </w:rPr>
        <w:t xml:space="preserve"> O157, rotavirus A, and norovirus (GI and GII). Before that total nucleic acid extraction was carried out using both manual and automated extraction methods depending on the type of samples. Water samples were subjected to nanoparticle entrapment by using </w:t>
      </w:r>
      <w:proofErr w:type="spellStart"/>
      <w:r w:rsidRPr="000334FF">
        <w:rPr>
          <w:rFonts w:ascii="Arial" w:hAnsi="Arial" w:cs="Arial"/>
          <w:sz w:val="24"/>
          <w:szCs w:val="24"/>
        </w:rPr>
        <w:t>Nanotrap</w:t>
      </w:r>
      <w:proofErr w:type="spellEnd"/>
      <w:r w:rsidRPr="000334FF">
        <w:rPr>
          <w:rFonts w:ascii="Arial" w:hAnsi="Arial" w:cs="Arial"/>
          <w:sz w:val="24"/>
          <w:szCs w:val="24"/>
        </w:rPr>
        <w:t xml:space="preserve">® Microbiome A Particles (Ceres </w:t>
      </w:r>
      <w:proofErr w:type="spellStart"/>
      <w:r w:rsidRPr="000334FF">
        <w:rPr>
          <w:rFonts w:ascii="Arial" w:hAnsi="Arial" w:cs="Arial"/>
          <w:sz w:val="24"/>
          <w:szCs w:val="24"/>
        </w:rPr>
        <w:t>Nanosciences</w:t>
      </w:r>
      <w:proofErr w:type="spellEnd"/>
      <w:r w:rsidRPr="000334FF">
        <w:rPr>
          <w:rFonts w:ascii="Arial" w:hAnsi="Arial" w:cs="Arial"/>
          <w:sz w:val="24"/>
          <w:szCs w:val="24"/>
        </w:rPr>
        <w:t xml:space="preserve">), followed by nucleic acid extraction with </w:t>
      </w:r>
      <w:proofErr w:type="spellStart"/>
      <w:r w:rsidRPr="000334FF">
        <w:rPr>
          <w:rFonts w:ascii="Arial" w:hAnsi="Arial" w:cs="Arial"/>
          <w:sz w:val="24"/>
          <w:szCs w:val="24"/>
        </w:rPr>
        <w:t>MagMAX</w:t>
      </w:r>
      <w:proofErr w:type="spellEnd"/>
      <w:r w:rsidRPr="000334FF">
        <w:rPr>
          <w:rFonts w:ascii="Arial" w:hAnsi="Arial" w:cs="Arial"/>
          <w:sz w:val="24"/>
          <w:szCs w:val="24"/>
        </w:rPr>
        <w:t xml:space="preserve"> Microbiome Ultra Nucleic Acid Isolation Kit (Thermo Fisher Scientific™) (Ceres </w:t>
      </w:r>
      <w:proofErr w:type="spellStart"/>
      <w:r w:rsidRPr="000334FF">
        <w:rPr>
          <w:rFonts w:ascii="Arial" w:hAnsi="Arial" w:cs="Arial"/>
          <w:sz w:val="24"/>
          <w:szCs w:val="24"/>
        </w:rPr>
        <w:t>Nanosciences</w:t>
      </w:r>
      <w:proofErr w:type="spellEnd"/>
      <w:r w:rsidRPr="000334FF">
        <w:rPr>
          <w:rFonts w:ascii="Arial" w:hAnsi="Arial" w:cs="Arial"/>
          <w:sz w:val="24"/>
          <w:szCs w:val="24"/>
        </w:rPr>
        <w:t xml:space="preserve">, 2023). After that, extracted nucleic acid was treated with </w:t>
      </w:r>
      <w:proofErr w:type="spellStart"/>
      <w:r w:rsidRPr="000334FF">
        <w:rPr>
          <w:rFonts w:ascii="Arial" w:hAnsi="Arial" w:cs="Arial"/>
          <w:sz w:val="24"/>
          <w:szCs w:val="24"/>
        </w:rPr>
        <w:t>OneStep</w:t>
      </w:r>
      <w:proofErr w:type="spellEnd"/>
      <w:r w:rsidRPr="000334FF">
        <w:rPr>
          <w:rFonts w:ascii="Arial" w:hAnsi="Arial" w:cs="Arial"/>
          <w:sz w:val="24"/>
          <w:szCs w:val="24"/>
        </w:rPr>
        <w:t>™ PCR Inhibitor Removal Kit (</w:t>
      </w:r>
      <w:proofErr w:type="spellStart"/>
      <w:r w:rsidRPr="000334FF">
        <w:rPr>
          <w:rFonts w:ascii="Arial" w:hAnsi="Arial" w:cs="Arial"/>
          <w:sz w:val="24"/>
          <w:szCs w:val="24"/>
        </w:rPr>
        <w:t>Zymo</w:t>
      </w:r>
      <w:proofErr w:type="spellEnd"/>
      <w:r w:rsidRPr="000334FF">
        <w:rPr>
          <w:rFonts w:ascii="Arial" w:hAnsi="Arial" w:cs="Arial"/>
          <w:sz w:val="24"/>
          <w:szCs w:val="24"/>
        </w:rPr>
        <w:t xml:space="preserve"> Research) to remove the presence of PCR inhibitors possibly present in drinking water </w:t>
      </w:r>
      <w:r w:rsidR="0091366C">
        <w:rPr>
          <w:rFonts w:ascii="Arial" w:hAnsi="Arial" w:cs="Arial"/>
          <w:sz w:val="24"/>
          <w:szCs w:val="24"/>
        </w:rPr>
        <w:t>.</w:t>
      </w:r>
      <w:r w:rsidRPr="000334FF">
        <w:rPr>
          <w:rFonts w:ascii="Arial" w:hAnsi="Arial" w:cs="Arial"/>
          <w:sz w:val="24"/>
          <w:szCs w:val="24"/>
        </w:rPr>
        <w:t xml:space="preserve">For processed food and domestic surfaces swab, nucleic acid extraction was performed using BIOBASE Nucleic Acid Extraction Kit in Automatic Nucleic Acid Extraction system BK-HS96 (BIOBASE) according to the manufacturer's instructions. For each PCR reaction, 4×TaqPath™ 1-Step Multiplex Master Mix with the specific concentration of primers and probes (as given in Table S1), along with 5 µL of extracted nucleic acid as a template, was used according to the procedures described previously </w:t>
      </w:r>
      <w:r w:rsidRPr="000334FF">
        <w:rPr>
          <w:rFonts w:ascii="Arial" w:hAnsi="Arial" w:cs="Arial"/>
          <w:sz w:val="24"/>
          <w:szCs w:val="24"/>
        </w:rPr>
        <w:fldChar w:fldCharType="begin"/>
      </w:r>
      <w:r w:rsidR="0091366C">
        <w:rPr>
          <w:rFonts w:ascii="Arial" w:hAnsi="Arial" w:cs="Arial"/>
          <w:sz w:val="24"/>
          <w:szCs w:val="24"/>
        </w:rPr>
        <w:instrText xml:space="preserve"> ADDIN ZOTERO_ITEM CSL_CITATION {"citationID":"y3tBzjbl","properties":{"unsorted":false,"formattedCitation":"[6\\uc0\\u8211{}12]","plainCitation":"[6–12]","noteIndex":0},"citationItems":[{"id":465,"uris":["http://zotero.org/users/20120076/items/J2VJV5Q2"],"itemData":{"id":465,"type":"article-journal","container-title":"European Food Research and Technology","DOI":"10.1007/s00217-012-1665-3","ISSN":"1438-2377, 1438-2385","issue":"4","journalAbbreviation":"Eur Food Res Technol","language":"en","license":"http://www.springer.com/tdm","page":"571-580","source":"DOI.org (Crossref)","title":"Development of a multiplex real-time PCR method for simultaneous detection of Salmonella enterica, Shigella flexneri and Listeria monocytogenes in processed food samples","URL":"http://link.springer.com/10.1007/s00217-012-1665-3","volume":"234","author":[{"family":"Garrido","given":"Alejandro"},{"family":"Chapela","given":"María-José"},{"family":"Román","given":"Belén"},{"family":"Ferreira","given":"Martiña"},{"family":"Lago","given":"Jorge"},{"family":"Vieites","given":"Juan M."},{"family":"Cabado","given":"Ana G."}],"accessed":{"date-parts":[["2026",6,23]]},"issued":{"date-parts":[["2012",4]]}}},{"id":466,"uris":["http://zotero.org/users/20120076/items/FJKR9MGX"],"itemData":{"id":466,"type":"article-journal","abstract":"Abstract\n            \n              Rotavirus A (RVA) is the primary cause of acute dehydrating diarrhea in human and numerous animal species. Animal-to-human interspecies transmission is one of the evolutionary mechanisms driving rotavirus strain diversity in humans. We screened fresh feces from 416 bats (201\n              Pteropus medius\n              , 165\n              Rousettus leschenaultii\n              and 50\n              Taphozous melanopogon\n              ) for RVA using rRT-PCR. We detected a prevalence of 7% (95% CI 3.5–10.8) and 2% (95% CI 0.4–5.2) in\n              P. medius\n              and\n              R. leschenaultii\n              , respectively. We did not detect RVA in the insectivorous bat (\n              T. melanopogon\n              ). We identified RVA strains similar to the human strains of G1 and G8 based on sequence-based genotyping, which underscores the importance of including wildlife species in surveillance for zoonotic pathogens to understand pathogen transmission and evolution better.","container-title":"EcoHealth","DOI":"10.1007/s10393-020-01488-7","ISSN":"1612-9202, 1612-9210","issue":"3","journalAbbreviation":"EcoHealth","language":"en","page":"398-405","source":"DOI.org (Crossref)","title":"Epidemiology and Molecular Characterization of Rotavirus A in Fruit Bats in Bangladesh","URL":"https://link.springer.com/10.1007/s10393-020-01488-7","volume":"17","author":[{"family":"Islam","given":"Ariful"},{"family":"Hossain","given":"Mohammad Enayet"},{"family":"Rostal","given":"Melinda K."},{"family":"Ferdous","given":"Jinnat"},{"family":"Islam","given":"Ausraful"},{"family":"Hasan","given":"Rashedul"},{"family":"Miah","given":"Mojnu"},{"family":"Rahman","given":"Mustafizur"},{"family":"Rahman","given":"Mohammed Ziaur"},{"family":"Daszak","given":"Peter"},{"family":"Epstein","given":"Jonathan H."}],"accessed":{"date-parts":[["2026",6,23]]},"issued":{"date-parts":[["2020",9]]}}},{"id":468,"uris":["http://zotero.org/users/20120076/items/R2BTUE5B"],"itemData":{"id":468,"type":"article-journal","container-title":"European Food Research and Technology","DOI":"10.1007/s00217-016-2771-4","ISSN":"1438-2377, 1438-2385","issue":"3","journalAbbreviation":"Eur Food Res Technol","language":"en","page":"521-530","source":"DOI.org (Crossref)","title":"Detection of DNA from Escherichia coli, Clostridium perfringens, Staphylococcus aureus and Bacillus cereus after simplified enrichment using a novel multiplex real-time PCR system","URL":"http://link.springer.com/10.1007/s00217-016-2771-4","volume":"243","author":[{"family":"Köppel","given":"René"},{"family":"Tolido","given":"Ingrid"},{"family":"Marti","given":"Gabriela"},{"family":"Peier","given":"Martin"}],"accessed":{"date-parts":[["2026",6,23]]},"issued":{"date-parts":[["2017",3]]}}},{"id":469,"uris":["http://zotero.org/users/20120076/items/G3V7V9RR"],"itemData":{"id":469,"type":"article-journal","container-title":"Journal of Food Protection","DOI":"10.4315/0362-028X.JFP-17-419","ISSN":"0362028X","issue":"5","journalAbbreviation":"Journal of Food Protection","language":"en","page":"719-728","source":"DOI.org (Crossref)","title":"Prevalence of Human Noroviruses in Commercial Food Establishment Bathrooms","URL":"https://linkinghub.elsevier.com/retrieve/pii/S0362028X22085684","volume":"81","author":[{"family":"Leone","given":"Cortney M."},{"family":"Dharmasena","given":"Muthu"},{"family":"Tang","given":"Chaoyi"},{"family":"Dicaprio","given":"Erin"},{"family":"Ma","given":"Yuanmei"},{"family":"Araud","given":"Elbashir"},{"family":"Bolinger","given":"Hannah"},{"family":"Rupprom","given":"Kitwadee"},{"family":"Yeargin","given":"Thomas"},{"family":"Li","given":"Jianrong"},{"family":"Schaffner","given":"Donald"},{"family":"Jiang","given":"Xiuping"},{"family":"Sharp","given":"Julia"},{"family":"Vinjé","given":"Jan"},{"family":"Fraser","given":"Angela"}],"accessed":{"date-parts":[["2026",6,23]]},"issued":{"date-parts":[["2018",5]]}}},{"id":470,"uris":["http://zotero.org/users/20120076/items/B9XAR8L7"],"itemData":{"id":470,"type":"article-journal","container-title":"BMC Microbiology","DOI":"10.1186/s12866-017-1123-2","ISSN":"1471-2180","issue":"1","journalAbbreviation":"BMC Microbiol","language":"en","page":"215","source":"DOI.org (Crossref)","title":"Multiplex real-time PCR assay for detection of Escherichia coli O157:H7 and screening for non-O157 Shiga toxin-producing E. coli","title-short":"Multiplex real-time PCR assay for detection of Escherichia coli O157","URL":"https://bmcmicrobiol.biomedcentral.com/articles/10.1186/s12866-017-1123-2","volume":"17","author":[{"family":"Li","given":"Baoguang"},{"family":"Liu","given":"Huanli"},{"family":"Wang","given":"Weimin"}],"accessed":{"date-parts":[["2026",6,23]]},"issued":{"date-parts":[["2017",12]]}}},{"id":473,"uris":["http://zotero.org/users/20120076/items/QCT6ECVD"],"itemData":{"id":473,"type":"article-journal","container-title":"Osong Public Health and Research Perspectives","DOI":"10.1016/j.phrp.2013.04.004","ISSN":"22109099","issue":"3","journalAbbreviation":"Osong Public Health and Research Perspectives","language":"en","license":"http://www.elsevier.com/tdm/userlicense/1.0/","page":"133-139","source":"DOI.org (Crossref)","title":"Multiplex Real-time Polymerase Chain Reaction Assays for Simultaneous Detection of Vibrio cholerae, Vibrio parahaemolyticus, and Vibrio vulnificus","URL":"http://linkinghub.elsevier.com/retrieve/pii/S2210909913000398","volume":"4","author":[{"family":"Park","given":"Jie Yeun"},{"family":"Jeon","given":"Semi"},{"family":"Kim","given":"Jun Young"},{"family":"Park","given":"Misun"},{"family":"Kim","given":"Seonghan"}],"accessed":{"date-parts":[["2026",6,23]]},"issued":{"date-parts":[["2013",6]]}}},{"id":474,"uris":["http://zotero.org/users/20120076/items/S87V4P6L"],"itemData":{"id":474,"type":"article-journal","container-title":"FEMS Immunology &amp; Medical Microbiology","DOI":"10.1016/S0928-8244(03)00168-8","ISSN":"09288244, 1574695X","issue":"3","language":"en","page":"265-271","source":"DOI.org (Crossref)","title":"Application of real-time PCR for quantitative detection of &lt;i&gt;Campylobacter jejuni&lt;/i&gt; in poultry, milk and environmental water","URL":"https://academic.oup.com/femspd/article-lookup/doi/10.1016/S0928-8244(03)00168-8","volume":"38","author":[{"family":"Yang","given":"Chengbo"},{"family":"Jiang","given":"Yuan"},{"family":"Huang","given":"Kehe"},{"family":"Zhu","given":"Changqing"},{"family":"Yin","given":"Yulong"}],"accessed":{"date-parts":[["2026",6,23]]},"issued":{"date-parts":[["2003",10]]}}}],"schema":"https://github.com/citation-style-language/schema/raw/master/csl-citation.json"} </w:instrText>
      </w:r>
      <w:r w:rsidRPr="000334FF">
        <w:rPr>
          <w:rFonts w:ascii="Arial" w:hAnsi="Arial" w:cs="Arial"/>
          <w:sz w:val="24"/>
          <w:szCs w:val="24"/>
        </w:rPr>
        <w:fldChar w:fldCharType="separate"/>
      </w:r>
      <w:r w:rsidR="0091366C" w:rsidRPr="0091366C">
        <w:rPr>
          <w:rFonts w:ascii="Arial" w:hAnsi="Arial" w:cs="Arial"/>
          <w:sz w:val="24"/>
          <w:szCs w:val="24"/>
        </w:rPr>
        <w:t>[6–12]</w:t>
      </w:r>
      <w:r w:rsidRPr="000334FF">
        <w:rPr>
          <w:rFonts w:ascii="Arial" w:hAnsi="Arial" w:cs="Arial"/>
          <w:sz w:val="24"/>
          <w:szCs w:val="24"/>
        </w:rPr>
        <w:fldChar w:fldCharType="end"/>
      </w:r>
      <w:r w:rsidRPr="000334FF">
        <w:rPr>
          <w:rFonts w:ascii="Arial" w:hAnsi="Arial" w:cs="Arial"/>
          <w:sz w:val="24"/>
          <w:szCs w:val="24"/>
          <w:lang w:val="fr-FR"/>
        </w:rPr>
        <w:t xml:space="preserve">. </w:t>
      </w:r>
      <w:r w:rsidRPr="000334FF">
        <w:rPr>
          <w:rFonts w:ascii="Arial" w:hAnsi="Arial" w:cs="Arial"/>
          <w:sz w:val="24"/>
          <w:szCs w:val="24"/>
        </w:rPr>
        <w:t>The CFX Opus 96 qPCR Detection System (Bio-Rad, Hercules, California, USA) was used with the following thermal cycling program: 2 minutes at 95 °C for polymerase activation, followed by 4</w:t>
      </w:r>
      <w:bookmarkStart w:id="1" w:name="_GoBack"/>
      <w:bookmarkEnd w:id="1"/>
      <w:r w:rsidRPr="000334FF">
        <w:rPr>
          <w:rFonts w:ascii="Arial" w:hAnsi="Arial" w:cs="Arial"/>
          <w:sz w:val="24"/>
          <w:szCs w:val="24"/>
        </w:rPr>
        <w:t>0-45 cycles of 15 seconds at 95 °C for denaturation, and 1 minute at the specified temperatures for annealing/extension (Table S1). For norovirus and rotavirus A detection, an additional uracil N-glycosylase incubation step at 25 °C for 2 minutes and a reverse transcription step at 53 °C for 10 minutes was conducted prior to the polymerase activation. Rotavirus is a double-</w:t>
      </w:r>
      <w:r w:rsidRPr="000334FF">
        <w:rPr>
          <w:rFonts w:ascii="Arial" w:hAnsi="Arial" w:cs="Arial"/>
          <w:sz w:val="24"/>
          <w:szCs w:val="24"/>
        </w:rPr>
        <w:lastRenderedPageBreak/>
        <w:t>stranded RNA virus, nucleic acid was subjected to a denaturation step before performing the qPCR assay. Moreover, standard curves were generated using the cycle threshold (CT) values obtained from the qPCR to calculate the copy number of the target gene. However, in the case of norovirus, copy number measurement was not possible due to the unavailability of the quantitative standard with known gene copy numb</w:t>
      </w:r>
      <w:bookmarkStart w:id="2" w:name="_Hlk175588730"/>
      <w:r w:rsidR="00A07943">
        <w:rPr>
          <w:rFonts w:ascii="Arial" w:hAnsi="Arial" w:cs="Arial"/>
          <w:sz w:val="24"/>
          <w:szCs w:val="24"/>
        </w:rPr>
        <w:t>er.</w:t>
      </w:r>
      <w:r w:rsidR="00A07943" w:rsidRPr="00A07943">
        <w:rPr>
          <w:rFonts w:ascii="Arial" w:hAnsi="Arial" w:cs="Arial"/>
          <w:sz w:val="24"/>
          <w:szCs w:val="24"/>
        </w:rPr>
        <w:t xml:space="preserve"> </w:t>
      </w:r>
      <w:bookmarkEnd w:id="2"/>
      <w:r w:rsidR="00A07943">
        <w:rPr>
          <w:rFonts w:ascii="Arial" w:hAnsi="Arial" w:cs="Arial"/>
          <w:sz w:val="24"/>
          <w:szCs w:val="24"/>
        </w:rPr>
        <w:br/>
      </w:r>
      <w:r w:rsidR="00A07943" w:rsidRPr="00852431">
        <w:rPr>
          <w:rFonts w:ascii="Arial" w:hAnsi="Arial" w:cs="Arial"/>
          <w:b/>
          <w:sz w:val="24"/>
          <w:szCs w:val="24"/>
        </w:rPr>
        <w:t>Table S1:</w:t>
      </w:r>
      <w:r w:rsidR="00A07943">
        <w:rPr>
          <w:rFonts w:ascii="Arial" w:hAnsi="Arial" w:cs="Arial"/>
          <w:sz w:val="24"/>
          <w:szCs w:val="24"/>
        </w:rPr>
        <w:t xml:space="preserve"> Primers and Probes used in qPCR</w:t>
      </w:r>
    </w:p>
    <w:tbl>
      <w:tblPr>
        <w:tblW w:w="0" w:type="auto"/>
        <w:jc w:val="center"/>
        <w:tblBorders>
          <w:top w:val="single" w:sz="4" w:space="0" w:color="auto"/>
          <w:bottom w:val="single" w:sz="4" w:space="0" w:color="auto"/>
        </w:tblBorders>
        <w:tblLayout w:type="fixed"/>
        <w:tblLook w:val="0600" w:firstRow="0" w:lastRow="0" w:firstColumn="0" w:lastColumn="0" w:noHBand="1" w:noVBand="1"/>
      </w:tblPr>
      <w:tblGrid>
        <w:gridCol w:w="1454"/>
        <w:gridCol w:w="1890"/>
        <w:gridCol w:w="3889"/>
        <w:gridCol w:w="1151"/>
        <w:gridCol w:w="1184"/>
      </w:tblGrid>
      <w:tr w:rsidR="00A07943" w:rsidRPr="00A07943" w:rsidTr="00852431">
        <w:trPr>
          <w:trHeight w:val="683"/>
          <w:jc w:val="center"/>
        </w:trPr>
        <w:tc>
          <w:tcPr>
            <w:tcW w:w="1454" w:type="dxa"/>
            <w:tcBorders>
              <w:top w:val="single" w:sz="4" w:space="0" w:color="auto"/>
              <w:left w:val="nil"/>
              <w:bottom w:val="single" w:sz="4" w:space="0" w:color="auto"/>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bookmarkStart w:id="3" w:name="_Hlk177731122"/>
            <w:r w:rsidRPr="00A07943">
              <w:rPr>
                <w:rFonts w:ascii="Arial" w:eastAsia="Open Sans" w:hAnsi="Arial" w:cs="Arial"/>
                <w:b/>
                <w:sz w:val="20"/>
                <w:szCs w:val="20"/>
              </w:rPr>
              <w:t>Target (Gene)</w:t>
            </w:r>
          </w:p>
        </w:tc>
        <w:tc>
          <w:tcPr>
            <w:tcW w:w="1890" w:type="dxa"/>
            <w:tcBorders>
              <w:top w:val="single" w:sz="4" w:space="0" w:color="auto"/>
              <w:left w:val="nil"/>
              <w:bottom w:val="single" w:sz="4" w:space="0" w:color="auto"/>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Primer-Probe</w:t>
            </w:r>
          </w:p>
        </w:tc>
        <w:tc>
          <w:tcPr>
            <w:tcW w:w="3889" w:type="dxa"/>
            <w:tcBorders>
              <w:top w:val="single" w:sz="4" w:space="0" w:color="auto"/>
              <w:left w:val="nil"/>
              <w:bottom w:val="single" w:sz="4" w:space="0" w:color="auto"/>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Sequence</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(5’-3’)</w:t>
            </w:r>
          </w:p>
        </w:tc>
        <w:tc>
          <w:tcPr>
            <w:tcW w:w="1151" w:type="dxa"/>
            <w:tcBorders>
              <w:top w:val="single" w:sz="4" w:space="0" w:color="auto"/>
              <w:left w:val="nil"/>
              <w:bottom w:val="single" w:sz="4" w:space="0" w:color="auto"/>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Final Conc(</w:t>
            </w:r>
            <w:proofErr w:type="spellStart"/>
            <w:r w:rsidRPr="00A07943">
              <w:rPr>
                <w:rFonts w:ascii="Arial" w:eastAsia="Open Sans" w:hAnsi="Arial" w:cs="Arial"/>
                <w:b/>
                <w:sz w:val="20"/>
                <w:szCs w:val="20"/>
              </w:rPr>
              <w:t>nM</w:t>
            </w:r>
            <w:proofErr w:type="spellEnd"/>
            <w:r w:rsidRPr="00A07943">
              <w:rPr>
                <w:rFonts w:ascii="Arial" w:eastAsia="Open Sans" w:hAnsi="Arial" w:cs="Arial"/>
                <w:b/>
                <w:sz w:val="20"/>
                <w:szCs w:val="20"/>
              </w:rPr>
              <w:t>)</w:t>
            </w:r>
          </w:p>
        </w:tc>
        <w:tc>
          <w:tcPr>
            <w:tcW w:w="1184" w:type="dxa"/>
            <w:tcBorders>
              <w:top w:val="single" w:sz="4" w:space="0" w:color="auto"/>
              <w:left w:val="nil"/>
              <w:bottom w:val="single" w:sz="4" w:space="0" w:color="auto"/>
              <w:right w:val="nil"/>
            </w:tcBorders>
            <w:vAlign w:val="center"/>
            <w:hideMark/>
          </w:tcPr>
          <w:p w:rsidR="00A07943" w:rsidRPr="00A07943" w:rsidRDefault="00A07943">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Annealing/</w:t>
            </w:r>
          </w:p>
          <w:p w:rsidR="00A07943" w:rsidRPr="00A07943" w:rsidRDefault="00A07943">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Extension</w:t>
            </w:r>
            <w:r w:rsidRPr="00A07943">
              <w:rPr>
                <w:rFonts w:ascii="Arial" w:eastAsia="Open Sans" w:hAnsi="Arial" w:cs="Arial"/>
                <w:b/>
                <w:sz w:val="20"/>
                <w:szCs w:val="20"/>
              </w:rPr>
              <w:br/>
              <w:t>Temp</w:t>
            </w:r>
          </w:p>
        </w:tc>
      </w:tr>
      <w:tr w:rsidR="00A07943" w:rsidRPr="00A07943" w:rsidTr="00852431">
        <w:trPr>
          <w:trHeight w:val="296"/>
          <w:jc w:val="center"/>
        </w:trPr>
        <w:tc>
          <w:tcPr>
            <w:tcW w:w="1454" w:type="dxa"/>
            <w:vMerge w:val="restart"/>
            <w:tcBorders>
              <w:top w:val="single" w:sz="4" w:space="0" w:color="auto"/>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i/>
                <w:sz w:val="20"/>
                <w:szCs w:val="20"/>
              </w:rPr>
              <w:t>E. coli</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w:t>
            </w:r>
            <w:r w:rsidRPr="00A07943">
              <w:rPr>
                <w:rFonts w:ascii="Arial" w:eastAsia="Open Sans" w:hAnsi="Arial" w:cs="Arial"/>
                <w:b/>
                <w:i/>
                <w:sz w:val="20"/>
                <w:szCs w:val="20"/>
              </w:rPr>
              <w:t>Z3276</w:t>
            </w:r>
            <w:r w:rsidRPr="00A07943">
              <w:rPr>
                <w:rFonts w:ascii="Arial" w:eastAsia="Open Sans" w:hAnsi="Arial" w:cs="Arial"/>
                <w:b/>
                <w:sz w:val="20"/>
                <w:szCs w:val="20"/>
              </w:rPr>
              <w:t>)</w:t>
            </w:r>
          </w:p>
        </w:tc>
        <w:tc>
          <w:tcPr>
            <w:tcW w:w="1890" w:type="dxa"/>
            <w:tcBorders>
              <w:top w:val="single" w:sz="4" w:space="0" w:color="auto"/>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single" w:sz="4" w:space="0" w:color="auto"/>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TATTCCGCGATGCTTGTTTTT</w:t>
            </w:r>
          </w:p>
        </w:tc>
        <w:tc>
          <w:tcPr>
            <w:tcW w:w="1151" w:type="dxa"/>
            <w:tcBorders>
              <w:top w:val="single" w:sz="4" w:space="0" w:color="auto"/>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rPr>
            </w:pPr>
            <w:r w:rsidRPr="00A07943">
              <w:rPr>
                <w:rFonts w:ascii="Arial" w:hAnsi="Arial" w:cs="Arial"/>
                <w:sz w:val="20"/>
                <w:szCs w:val="20"/>
                <w:shd w:val="clear" w:color="auto" w:fill="FFFFFF"/>
              </w:rPr>
              <w:t>200</w:t>
            </w:r>
          </w:p>
        </w:tc>
        <w:tc>
          <w:tcPr>
            <w:tcW w:w="1184" w:type="dxa"/>
            <w:vMerge w:val="restart"/>
            <w:tcBorders>
              <w:top w:val="single" w:sz="4" w:space="0" w:color="auto"/>
              <w:left w:val="nil"/>
              <w:bottom w:val="nil"/>
              <w:right w:val="nil"/>
            </w:tcBorders>
            <w:vAlign w:val="center"/>
            <w:hideMark/>
          </w:tcPr>
          <w:p w:rsidR="00A07943" w:rsidRPr="00A07943" w:rsidRDefault="00A07943">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 xml:space="preserve">60 </w:t>
            </w:r>
            <w:r w:rsidRPr="00A07943">
              <w:rPr>
                <w:rFonts w:ascii="Arial" w:hAnsi="Arial" w:cs="Arial"/>
                <w:sz w:val="20"/>
                <w:szCs w:val="20"/>
                <w:shd w:val="clear" w:color="auto" w:fill="FFFFFF"/>
                <w:vertAlign w:val="superscript"/>
              </w:rPr>
              <w:t>°</w:t>
            </w:r>
            <w:r w:rsidRPr="00A07943">
              <w:rPr>
                <w:rFonts w:ascii="Arial" w:hAnsi="Arial" w:cs="Arial"/>
                <w:sz w:val="20"/>
                <w:szCs w:val="20"/>
                <w:shd w:val="clear" w:color="auto" w:fill="FFFFFF"/>
              </w:rPr>
              <w:t>C</w:t>
            </w:r>
          </w:p>
        </w:tc>
      </w:tr>
      <w:tr w:rsidR="00A07943" w:rsidRPr="00A07943" w:rsidTr="00A07943">
        <w:trPr>
          <w:trHeight w:val="565"/>
          <w:jc w:val="center"/>
        </w:trPr>
        <w:tc>
          <w:tcPr>
            <w:tcW w:w="1454" w:type="dxa"/>
            <w:vMerge/>
            <w:tcBorders>
              <w:top w:val="single" w:sz="4" w:space="0" w:color="auto"/>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ATTATCTCACCAGCAAACTGGCGG</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rPr>
            </w:pPr>
            <w:r w:rsidRPr="00A07943">
              <w:rPr>
                <w:rFonts w:ascii="Arial" w:hAnsi="Arial" w:cs="Arial"/>
                <w:sz w:val="20"/>
                <w:szCs w:val="20"/>
                <w:shd w:val="clear" w:color="auto" w:fill="FFFFFF"/>
              </w:rPr>
              <w:t>200</w:t>
            </w:r>
          </w:p>
        </w:tc>
        <w:tc>
          <w:tcPr>
            <w:tcW w:w="1184" w:type="dxa"/>
            <w:vMerge/>
            <w:tcBorders>
              <w:top w:val="single" w:sz="4" w:space="0" w:color="auto"/>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494"/>
          <w:jc w:val="center"/>
        </w:trPr>
        <w:tc>
          <w:tcPr>
            <w:tcW w:w="1454" w:type="dxa"/>
            <w:vMerge/>
            <w:tcBorders>
              <w:top w:val="single" w:sz="4" w:space="0" w:color="auto"/>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(FAM)</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CCCGCAAATCTTTCC</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80</w:t>
            </w:r>
          </w:p>
        </w:tc>
        <w:tc>
          <w:tcPr>
            <w:tcW w:w="1184" w:type="dxa"/>
            <w:vMerge/>
            <w:tcBorders>
              <w:top w:val="single" w:sz="4" w:space="0" w:color="auto"/>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i/>
                <w:sz w:val="20"/>
                <w:szCs w:val="20"/>
              </w:rPr>
              <w:t>E. coli</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w:t>
            </w:r>
            <w:r w:rsidRPr="00A07943">
              <w:rPr>
                <w:rFonts w:ascii="Arial" w:eastAsia="Open Sans" w:hAnsi="Arial" w:cs="Arial"/>
                <w:b/>
                <w:i/>
                <w:sz w:val="20"/>
                <w:szCs w:val="20"/>
              </w:rPr>
              <w:t>stx1</w:t>
            </w:r>
            <w:r w:rsidRPr="00A07943">
              <w:rPr>
                <w:rFonts w:ascii="Arial" w:eastAsia="Open Sans" w:hAnsi="Arial" w:cs="Arial"/>
                <w:b/>
                <w:sz w:val="20"/>
                <w:szCs w:val="20"/>
              </w:rPr>
              <w:t>)</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GGATTTCGTACAACACTGGATGAT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rPr>
            </w:pPr>
            <w:r w:rsidRPr="00A07943">
              <w:rPr>
                <w:rFonts w:ascii="Arial" w:hAnsi="Arial" w:cs="Arial"/>
                <w:sz w:val="20"/>
                <w:szCs w:val="20"/>
                <w:shd w:val="clear" w:color="auto" w:fill="FFFFFF"/>
              </w:rPr>
              <w:t>200</w:t>
            </w:r>
          </w:p>
        </w:tc>
        <w:tc>
          <w:tcPr>
            <w:tcW w:w="1184" w:type="dxa"/>
            <w:vMerge/>
            <w:tcBorders>
              <w:top w:val="single" w:sz="4" w:space="0" w:color="auto"/>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ATCCACATCTTCAGCAGTCATTACA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rPr>
            </w:pPr>
            <w:r w:rsidRPr="00A07943">
              <w:rPr>
                <w:rFonts w:ascii="Arial" w:hAnsi="Arial" w:cs="Arial"/>
                <w:sz w:val="20"/>
                <w:szCs w:val="20"/>
                <w:shd w:val="clear" w:color="auto" w:fill="FFFFFF"/>
              </w:rPr>
              <w:t>200</w:t>
            </w:r>
          </w:p>
        </w:tc>
        <w:tc>
          <w:tcPr>
            <w:tcW w:w="1184" w:type="dxa"/>
            <w:vMerge/>
            <w:tcBorders>
              <w:top w:val="single" w:sz="4" w:space="0" w:color="auto"/>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 (TAMRA)</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CAGTGGGCGTTCTT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120</w:t>
            </w:r>
          </w:p>
        </w:tc>
        <w:tc>
          <w:tcPr>
            <w:tcW w:w="1184" w:type="dxa"/>
            <w:vMerge/>
            <w:tcBorders>
              <w:top w:val="single" w:sz="4" w:space="0" w:color="auto"/>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i/>
                <w:sz w:val="20"/>
                <w:szCs w:val="20"/>
              </w:rPr>
              <w:t>E. coli</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w:t>
            </w:r>
            <w:r w:rsidRPr="00A07943">
              <w:rPr>
                <w:rFonts w:ascii="Arial" w:eastAsia="Open Sans" w:hAnsi="Arial" w:cs="Arial"/>
                <w:b/>
                <w:i/>
                <w:sz w:val="20"/>
                <w:szCs w:val="20"/>
              </w:rPr>
              <w:t>stx2</w:t>
            </w:r>
            <w:r w:rsidRPr="00A07943">
              <w:rPr>
                <w:rFonts w:ascii="Arial" w:eastAsia="Open Sans" w:hAnsi="Arial" w:cs="Arial"/>
                <w:b/>
                <w:sz w:val="20"/>
                <w:szCs w:val="20"/>
              </w:rPr>
              <w:t>)</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GGGCAGTTATTTTGCTGTGGAT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rPr>
            </w:pPr>
            <w:r w:rsidRPr="00A07943">
              <w:rPr>
                <w:rFonts w:ascii="Arial" w:hAnsi="Arial" w:cs="Arial"/>
                <w:sz w:val="20"/>
                <w:szCs w:val="20"/>
                <w:shd w:val="clear" w:color="auto" w:fill="FFFFFF"/>
              </w:rPr>
              <w:t>200</w:t>
            </w:r>
          </w:p>
        </w:tc>
        <w:tc>
          <w:tcPr>
            <w:tcW w:w="1184" w:type="dxa"/>
            <w:vMerge/>
            <w:tcBorders>
              <w:top w:val="single" w:sz="4" w:space="0" w:color="auto"/>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GGTCAAAACGCGCCTGAT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rPr>
            </w:pPr>
            <w:r w:rsidRPr="00A07943">
              <w:rPr>
                <w:rFonts w:ascii="Arial" w:hAnsi="Arial" w:cs="Arial"/>
                <w:sz w:val="20"/>
                <w:szCs w:val="20"/>
                <w:shd w:val="clear" w:color="auto" w:fill="FFFFFF"/>
              </w:rPr>
              <w:t>200</w:t>
            </w:r>
          </w:p>
        </w:tc>
        <w:tc>
          <w:tcPr>
            <w:tcW w:w="1184" w:type="dxa"/>
            <w:vMerge/>
            <w:tcBorders>
              <w:top w:val="single" w:sz="4" w:space="0" w:color="auto"/>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(JOE)</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ACGAGGGCTTGATGTC</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180</w:t>
            </w:r>
          </w:p>
        </w:tc>
        <w:tc>
          <w:tcPr>
            <w:tcW w:w="1184" w:type="dxa"/>
            <w:vMerge/>
            <w:tcBorders>
              <w:top w:val="single" w:sz="4" w:space="0" w:color="auto"/>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i/>
                <w:sz w:val="20"/>
                <w:szCs w:val="20"/>
              </w:rPr>
              <w:t>Salmonella</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w:t>
            </w:r>
            <w:proofErr w:type="spellStart"/>
            <w:r w:rsidRPr="00A07943">
              <w:rPr>
                <w:rFonts w:ascii="Arial" w:eastAsia="Open Sans" w:hAnsi="Arial" w:cs="Arial"/>
                <w:b/>
                <w:i/>
                <w:sz w:val="20"/>
                <w:szCs w:val="20"/>
              </w:rPr>
              <w:t>invA</w:t>
            </w:r>
            <w:proofErr w:type="spellEnd"/>
            <w:r w:rsidRPr="00A07943">
              <w:rPr>
                <w:rFonts w:ascii="Arial" w:eastAsia="Open Sans" w:hAnsi="Arial" w:cs="Arial"/>
                <w:b/>
                <w:sz w:val="20"/>
                <w:szCs w:val="20"/>
              </w:rPr>
              <w:t>)</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AACGTGTTTCCGTGCGTAAT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225</w:t>
            </w:r>
          </w:p>
        </w:tc>
        <w:tc>
          <w:tcPr>
            <w:tcW w:w="1184" w:type="dxa"/>
            <w:vMerge w:val="restart"/>
            <w:tcBorders>
              <w:top w:val="nil"/>
              <w:left w:val="nil"/>
              <w:bottom w:val="nil"/>
              <w:right w:val="nil"/>
            </w:tcBorders>
            <w:vAlign w:val="center"/>
            <w:hideMark/>
          </w:tcPr>
          <w:p w:rsidR="00A07943" w:rsidRPr="00A07943" w:rsidRDefault="00A07943">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 xml:space="preserve">63 </w:t>
            </w:r>
            <w:r w:rsidRPr="00A07943">
              <w:rPr>
                <w:rFonts w:ascii="Arial" w:hAnsi="Arial" w:cs="Arial"/>
                <w:sz w:val="20"/>
                <w:szCs w:val="20"/>
                <w:shd w:val="clear" w:color="auto" w:fill="FFFFFF"/>
                <w:vertAlign w:val="superscript"/>
              </w:rPr>
              <w:t>°</w:t>
            </w:r>
            <w:r w:rsidRPr="00A07943">
              <w:rPr>
                <w:rFonts w:ascii="Arial" w:hAnsi="Arial" w:cs="Arial"/>
                <w:sz w:val="20"/>
                <w:szCs w:val="20"/>
                <w:shd w:val="clear" w:color="auto" w:fill="FFFFFF"/>
              </w:rPr>
              <w:t>C</w:t>
            </w: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TCCATCAAATTAGCGGAGGC</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225</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(FAM)</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TGGAAGCGCTCGCATTGTGG</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20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i/>
                <w:sz w:val="20"/>
                <w:szCs w:val="20"/>
              </w:rPr>
              <w:t>Shigella</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w:t>
            </w:r>
            <w:proofErr w:type="spellStart"/>
            <w:r w:rsidRPr="00A07943">
              <w:rPr>
                <w:rFonts w:ascii="Arial" w:eastAsia="Open Sans" w:hAnsi="Arial" w:cs="Arial"/>
                <w:b/>
                <w:i/>
                <w:sz w:val="20"/>
                <w:szCs w:val="20"/>
              </w:rPr>
              <w:t>ipaH</w:t>
            </w:r>
            <w:proofErr w:type="spellEnd"/>
            <w:r w:rsidRPr="00A07943">
              <w:rPr>
                <w:rFonts w:ascii="Arial" w:eastAsia="Open Sans" w:hAnsi="Arial" w:cs="Arial"/>
                <w:b/>
                <w:sz w:val="20"/>
                <w:szCs w:val="20"/>
              </w:rPr>
              <w:t>)</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CTTGACCGCCTTTCCGATA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125</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AGCGAAAGACTGCTGTCGAAG</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125</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(Cy5)</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AACAGGTCGCTGCATGGCTGGAA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45</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val="restart"/>
            <w:tcBorders>
              <w:top w:val="nil"/>
              <w:left w:val="nil"/>
              <w:bottom w:val="nil"/>
              <w:right w:val="nil"/>
            </w:tcBorders>
            <w:tcMar>
              <w:top w:w="0" w:type="dxa"/>
              <w:left w:w="100" w:type="dxa"/>
              <w:bottom w:w="0" w:type="dxa"/>
              <w:right w:w="100" w:type="dxa"/>
            </w:tcMar>
            <w:vAlign w:val="center"/>
          </w:tcPr>
          <w:p w:rsidR="00A07943" w:rsidRPr="00A07943" w:rsidRDefault="00A07943" w:rsidP="00852431">
            <w:pPr>
              <w:spacing w:after="0" w:line="240" w:lineRule="auto"/>
              <w:contextualSpacing/>
              <w:rPr>
                <w:rFonts w:ascii="Arial" w:eastAsia="Open Sans" w:hAnsi="Arial" w:cs="Arial"/>
                <w:b/>
                <w:i/>
                <w:sz w:val="20"/>
                <w:szCs w:val="20"/>
              </w:rPr>
            </w:pPr>
            <w:r w:rsidRPr="00A07943">
              <w:rPr>
                <w:rFonts w:ascii="Arial" w:eastAsia="Open Sans" w:hAnsi="Arial" w:cs="Arial"/>
                <w:b/>
                <w:i/>
                <w:sz w:val="20"/>
                <w:szCs w:val="20"/>
              </w:rPr>
              <w:t>L. monocytogenes</w:t>
            </w:r>
          </w:p>
          <w:p w:rsidR="00A07943" w:rsidRPr="00A07943" w:rsidRDefault="00A07943" w:rsidP="00852431">
            <w:pPr>
              <w:spacing w:after="0" w:line="240" w:lineRule="auto"/>
              <w:contextualSpacing/>
              <w:rPr>
                <w:rFonts w:ascii="Arial" w:eastAsia="Open Sans" w:hAnsi="Arial" w:cs="Arial"/>
                <w:b/>
                <w:i/>
                <w:sz w:val="20"/>
                <w:szCs w:val="20"/>
              </w:rPr>
            </w:pPr>
            <w:r w:rsidRPr="00A07943">
              <w:rPr>
                <w:rFonts w:ascii="Arial" w:eastAsia="Open Sans" w:hAnsi="Arial" w:cs="Arial"/>
                <w:b/>
                <w:sz w:val="20"/>
                <w:szCs w:val="20"/>
              </w:rPr>
              <w:t>(</w:t>
            </w:r>
            <w:proofErr w:type="spellStart"/>
            <w:r w:rsidRPr="00A07943">
              <w:rPr>
                <w:rFonts w:ascii="Arial" w:eastAsia="Open Sans" w:hAnsi="Arial" w:cs="Arial"/>
                <w:b/>
                <w:i/>
                <w:sz w:val="20"/>
                <w:szCs w:val="20"/>
              </w:rPr>
              <w:t>hlyA</w:t>
            </w:r>
            <w:proofErr w:type="spellEnd"/>
            <w:r w:rsidRPr="00A07943">
              <w:rPr>
                <w:rFonts w:ascii="Arial" w:eastAsia="Open Sans" w:hAnsi="Arial" w:cs="Arial"/>
                <w:b/>
                <w:sz w:val="20"/>
                <w:szCs w:val="20"/>
              </w:rPr>
              <w:t>)</w:t>
            </w:r>
          </w:p>
          <w:p w:rsidR="00A07943" w:rsidRPr="00A07943" w:rsidRDefault="00A07943" w:rsidP="00852431">
            <w:pPr>
              <w:spacing w:after="0" w:line="240" w:lineRule="auto"/>
              <w:contextualSpacing/>
              <w:rPr>
                <w:rFonts w:ascii="Arial" w:eastAsia="Open Sans" w:hAnsi="Arial" w:cs="Arial"/>
                <w:b/>
                <w:i/>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ACTTCGGCGCAATCAGTGA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420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i/>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TTGCAACTGCTCTTTAGTAACAGCTT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420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i/>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(Cy3)</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TGAACCTACAAGACCTTCCAGATTTTTCGGC</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320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83"/>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i/>
                <w:sz w:val="20"/>
                <w:szCs w:val="20"/>
              </w:rPr>
              <w:t>C. perfringens</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w:t>
            </w:r>
            <w:proofErr w:type="spellStart"/>
            <w:r w:rsidRPr="00A07943">
              <w:rPr>
                <w:rFonts w:ascii="Arial" w:eastAsia="Open Sans" w:hAnsi="Arial" w:cs="Arial"/>
                <w:b/>
                <w:i/>
                <w:sz w:val="20"/>
                <w:szCs w:val="20"/>
              </w:rPr>
              <w:t>cpa</w:t>
            </w:r>
            <w:proofErr w:type="spellEnd"/>
            <w:r w:rsidRPr="00A07943">
              <w:rPr>
                <w:rFonts w:ascii="Arial" w:eastAsia="Open Sans" w:hAnsi="Arial" w:cs="Arial"/>
                <w:b/>
                <w:sz w:val="20"/>
                <w:szCs w:val="20"/>
              </w:rPr>
              <w:t>)</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GCTAATGTTACTGCCGTTGA</w:t>
            </w:r>
          </w:p>
        </w:tc>
        <w:tc>
          <w:tcPr>
            <w:tcW w:w="1151" w:type="dxa"/>
            <w:tcBorders>
              <w:top w:val="nil"/>
              <w:left w:val="nil"/>
              <w:bottom w:val="nil"/>
              <w:right w:val="nil"/>
            </w:tcBorders>
            <w:vAlign w:val="center"/>
          </w:tcPr>
          <w:p w:rsidR="00A07943" w:rsidRPr="00A07943" w:rsidRDefault="00A07943" w:rsidP="00852431">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200</w:t>
            </w:r>
          </w:p>
          <w:p w:rsidR="00A07943" w:rsidRPr="00A07943" w:rsidRDefault="00A07943" w:rsidP="00852431">
            <w:pPr>
              <w:spacing w:after="0" w:line="240" w:lineRule="auto"/>
              <w:contextualSpacing/>
              <w:rPr>
                <w:rFonts w:ascii="Arial" w:hAnsi="Arial" w:cs="Arial"/>
                <w:sz w:val="20"/>
                <w:szCs w:val="20"/>
                <w:shd w:val="clear" w:color="auto" w:fill="FFFFFF"/>
              </w:rPr>
            </w:pPr>
          </w:p>
        </w:tc>
        <w:tc>
          <w:tcPr>
            <w:tcW w:w="1184" w:type="dxa"/>
            <w:vMerge w:val="restart"/>
            <w:tcBorders>
              <w:top w:val="nil"/>
              <w:left w:val="nil"/>
              <w:bottom w:val="nil"/>
              <w:right w:val="nil"/>
            </w:tcBorders>
            <w:vAlign w:val="center"/>
            <w:hideMark/>
          </w:tcPr>
          <w:p w:rsidR="00A07943" w:rsidRPr="00A07943" w:rsidRDefault="00A07943">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 xml:space="preserve">63 </w:t>
            </w:r>
            <w:r w:rsidRPr="00A07943">
              <w:rPr>
                <w:rFonts w:ascii="Arial" w:hAnsi="Arial" w:cs="Arial"/>
                <w:sz w:val="20"/>
                <w:szCs w:val="20"/>
                <w:shd w:val="clear" w:color="auto" w:fill="FFFFFF"/>
                <w:vertAlign w:val="superscript"/>
              </w:rPr>
              <w:t>°</w:t>
            </w:r>
            <w:r w:rsidRPr="00A07943">
              <w:rPr>
                <w:rFonts w:ascii="Arial" w:hAnsi="Arial" w:cs="Arial"/>
                <w:sz w:val="20"/>
                <w:szCs w:val="20"/>
                <w:shd w:val="clear" w:color="auto" w:fill="FFFFFF"/>
              </w:rPr>
              <w:t>C</w:t>
            </w: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CCTCATTAGTTTTGCAACC</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200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(JOE)</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GCGCAGGACATGTTAAGTTTG</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80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30"/>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i/>
                <w:sz w:val="20"/>
                <w:szCs w:val="20"/>
              </w:rPr>
            </w:pPr>
            <w:r w:rsidRPr="00A07943">
              <w:rPr>
                <w:rFonts w:ascii="Arial" w:eastAsia="Open Sans" w:hAnsi="Arial" w:cs="Arial"/>
                <w:b/>
                <w:i/>
                <w:sz w:val="20"/>
                <w:szCs w:val="20"/>
              </w:rPr>
              <w:t>S. aureus (Elongation factor Tu)</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CGTGTTGAACGTGGTCAAATCA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400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i/>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CACCTTCGTCTTTTGATAATACG</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400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423"/>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i/>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(ROX)</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TCACGAGCAACACCACG</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80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i/>
                <w:sz w:val="20"/>
                <w:szCs w:val="20"/>
              </w:rPr>
            </w:pPr>
            <w:r w:rsidRPr="00A07943">
              <w:rPr>
                <w:rFonts w:ascii="Arial" w:eastAsia="Open Sans" w:hAnsi="Arial" w:cs="Arial"/>
                <w:b/>
                <w:i/>
                <w:sz w:val="20"/>
                <w:szCs w:val="20"/>
              </w:rPr>
              <w:t>S. aureus</w:t>
            </w:r>
          </w:p>
          <w:p w:rsidR="00A07943" w:rsidRPr="00A07943" w:rsidRDefault="00A07943" w:rsidP="00852431">
            <w:pPr>
              <w:spacing w:after="0" w:line="240" w:lineRule="auto"/>
              <w:contextualSpacing/>
              <w:rPr>
                <w:rFonts w:ascii="Arial" w:eastAsia="Open Sans" w:hAnsi="Arial" w:cs="Arial"/>
                <w:b/>
                <w:i/>
                <w:sz w:val="20"/>
                <w:szCs w:val="20"/>
              </w:rPr>
            </w:pPr>
            <w:r w:rsidRPr="00A07943">
              <w:rPr>
                <w:rFonts w:ascii="Arial" w:eastAsia="Open Sans" w:hAnsi="Arial" w:cs="Arial"/>
                <w:b/>
                <w:i/>
                <w:sz w:val="20"/>
                <w:szCs w:val="20"/>
              </w:rPr>
              <w:t>(nuclease)</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GTTGCTTAGTGTTAACTTTAGTTGTA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200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i/>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AATGTCGCAGGTTCTTTATGTAATTT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200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741"/>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i/>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(ROX)</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AAGTCTAAGTAGCTCAGCAAA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20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i/>
                <w:sz w:val="20"/>
                <w:szCs w:val="20"/>
              </w:rPr>
            </w:pPr>
            <w:r w:rsidRPr="00A07943">
              <w:rPr>
                <w:rFonts w:ascii="Arial" w:eastAsia="Open Sans" w:hAnsi="Arial" w:cs="Arial"/>
                <w:b/>
                <w:i/>
                <w:sz w:val="20"/>
                <w:szCs w:val="20"/>
              </w:rPr>
              <w:t>B. cereus</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w:t>
            </w:r>
            <w:proofErr w:type="spellStart"/>
            <w:r w:rsidRPr="00A07943">
              <w:rPr>
                <w:rFonts w:ascii="Arial" w:eastAsia="Open Sans" w:hAnsi="Arial" w:cs="Arial"/>
                <w:b/>
                <w:i/>
                <w:sz w:val="20"/>
                <w:szCs w:val="20"/>
              </w:rPr>
              <w:t>motB</w:t>
            </w:r>
            <w:proofErr w:type="spellEnd"/>
            <w:r w:rsidRPr="00A07943">
              <w:rPr>
                <w:rFonts w:ascii="Arial" w:eastAsia="Open Sans" w:hAnsi="Arial" w:cs="Arial"/>
                <w:b/>
                <w:sz w:val="20"/>
                <w:szCs w:val="20"/>
              </w:rPr>
              <w:t>)</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CGCCTCGTTGGATGACG</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300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GATATACATTCACTTGACTAATACCG</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300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645"/>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(Cy5a)</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TTCAAGCATCTTTGACAATTTTACTGCAT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80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(Cy5b)</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TTCAAGCATCTTYGATAATTTTACTGTAT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80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i/>
                <w:sz w:val="20"/>
                <w:szCs w:val="20"/>
              </w:rPr>
            </w:pPr>
            <w:r w:rsidRPr="00A07943">
              <w:rPr>
                <w:rFonts w:ascii="Arial" w:eastAsia="Open Sans" w:hAnsi="Arial" w:cs="Arial"/>
                <w:b/>
                <w:i/>
                <w:sz w:val="20"/>
                <w:szCs w:val="20"/>
              </w:rPr>
              <w:t>V. cholerae</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w:t>
            </w:r>
            <w:proofErr w:type="spellStart"/>
            <w:r w:rsidRPr="00A07943">
              <w:rPr>
                <w:rFonts w:ascii="Arial" w:eastAsia="Open Sans" w:hAnsi="Arial" w:cs="Arial"/>
                <w:b/>
                <w:i/>
                <w:sz w:val="20"/>
                <w:szCs w:val="20"/>
              </w:rPr>
              <w:t>hlyA</w:t>
            </w:r>
            <w:proofErr w:type="spellEnd"/>
            <w:r w:rsidRPr="00A07943">
              <w:rPr>
                <w:rFonts w:ascii="Arial" w:eastAsia="Open Sans" w:hAnsi="Arial" w:cs="Arial"/>
                <w:b/>
                <w:sz w:val="20"/>
                <w:szCs w:val="20"/>
              </w:rPr>
              <w:t>)</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GCGTTGGGAGTGGCGTAA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90</w:t>
            </w:r>
          </w:p>
        </w:tc>
        <w:tc>
          <w:tcPr>
            <w:tcW w:w="1184" w:type="dxa"/>
            <w:vMerge w:val="restart"/>
            <w:tcBorders>
              <w:top w:val="nil"/>
              <w:left w:val="nil"/>
              <w:bottom w:val="nil"/>
              <w:right w:val="nil"/>
            </w:tcBorders>
            <w:vAlign w:val="center"/>
            <w:hideMark/>
          </w:tcPr>
          <w:p w:rsidR="00A07943" w:rsidRPr="00A07943" w:rsidRDefault="00A07943">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 xml:space="preserve">60 </w:t>
            </w:r>
            <w:r w:rsidRPr="00A07943">
              <w:rPr>
                <w:rFonts w:ascii="Arial" w:hAnsi="Arial" w:cs="Arial"/>
                <w:sz w:val="20"/>
                <w:szCs w:val="20"/>
                <w:shd w:val="clear" w:color="auto" w:fill="FFFFFF"/>
                <w:vertAlign w:val="superscript"/>
              </w:rPr>
              <w:t>°</w:t>
            </w:r>
            <w:r w:rsidRPr="00A07943">
              <w:rPr>
                <w:rFonts w:ascii="Arial" w:hAnsi="Arial" w:cs="Arial"/>
                <w:sz w:val="20"/>
                <w:szCs w:val="20"/>
                <w:shd w:val="clear" w:color="auto" w:fill="FFFFFF"/>
              </w:rPr>
              <w:t>C</w:t>
            </w: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GGACTCGCCGCTGTAGACA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90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63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(FAM)</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AGCACAGATGAATTGACCAMG</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200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i/>
                <w:sz w:val="20"/>
                <w:szCs w:val="20"/>
              </w:rPr>
              <w:t>V. parahaemolyticus</w:t>
            </w:r>
            <w:r w:rsidRPr="00A07943">
              <w:rPr>
                <w:rFonts w:ascii="Arial" w:eastAsia="Open Sans" w:hAnsi="Arial" w:cs="Arial"/>
                <w:b/>
                <w:sz w:val="20"/>
                <w:szCs w:val="20"/>
              </w:rPr>
              <w:t xml:space="preserve"> (</w:t>
            </w:r>
            <w:proofErr w:type="spellStart"/>
            <w:r w:rsidRPr="00A07943">
              <w:rPr>
                <w:rFonts w:ascii="Arial" w:eastAsia="Open Sans" w:hAnsi="Arial" w:cs="Arial"/>
                <w:b/>
                <w:i/>
                <w:sz w:val="20"/>
                <w:szCs w:val="20"/>
              </w:rPr>
              <w:t>tlh</w:t>
            </w:r>
            <w:proofErr w:type="spellEnd"/>
            <w:r w:rsidRPr="00A07943">
              <w:rPr>
                <w:rFonts w:ascii="Arial" w:eastAsia="Open Sans" w:hAnsi="Arial" w:cs="Arial"/>
                <w:b/>
                <w:sz w:val="20"/>
                <w:szCs w:val="20"/>
              </w:rPr>
              <w:t>)</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AACCGTGGCGTTCCAGAA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90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601"/>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CCGTCAAACGAATCAGTGCTT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90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83"/>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(VIC)</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TGAAAGCGGATTATGC</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200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i/>
                <w:sz w:val="20"/>
                <w:szCs w:val="20"/>
              </w:rPr>
            </w:pPr>
            <w:r w:rsidRPr="00A07943">
              <w:rPr>
                <w:rFonts w:ascii="Arial" w:eastAsia="Open Sans" w:hAnsi="Arial" w:cs="Arial"/>
                <w:b/>
                <w:i/>
                <w:sz w:val="20"/>
                <w:szCs w:val="20"/>
              </w:rPr>
              <w:t xml:space="preserve">C. </w:t>
            </w:r>
            <w:proofErr w:type="spellStart"/>
            <w:r w:rsidRPr="00A07943">
              <w:rPr>
                <w:rFonts w:ascii="Arial" w:eastAsia="Open Sans" w:hAnsi="Arial" w:cs="Arial"/>
                <w:b/>
                <w:i/>
                <w:sz w:val="20"/>
                <w:szCs w:val="20"/>
              </w:rPr>
              <w:t>jejuni</w:t>
            </w:r>
            <w:proofErr w:type="spellEnd"/>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w:t>
            </w:r>
            <w:r w:rsidRPr="00A07943">
              <w:rPr>
                <w:rFonts w:ascii="Arial" w:eastAsia="Open Sans" w:hAnsi="Arial" w:cs="Arial"/>
                <w:b/>
                <w:i/>
                <w:sz w:val="20"/>
                <w:szCs w:val="20"/>
              </w:rPr>
              <w:t>VS1</w:t>
            </w:r>
            <w:r w:rsidRPr="00A07943">
              <w:rPr>
                <w:rFonts w:ascii="Arial" w:eastAsia="Open Sans" w:hAnsi="Arial" w:cs="Arial"/>
                <w:b/>
                <w:sz w:val="20"/>
                <w:szCs w:val="20"/>
              </w:rPr>
              <w:t>)</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GAATGAAATTTTAGAATGGGG</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400</w:t>
            </w:r>
          </w:p>
        </w:tc>
        <w:tc>
          <w:tcPr>
            <w:tcW w:w="1184" w:type="dxa"/>
            <w:vMerge w:val="restart"/>
            <w:tcBorders>
              <w:top w:val="nil"/>
              <w:left w:val="nil"/>
              <w:bottom w:val="nil"/>
              <w:right w:val="nil"/>
            </w:tcBorders>
            <w:vAlign w:val="center"/>
            <w:hideMark/>
          </w:tcPr>
          <w:p w:rsidR="00A07943" w:rsidRPr="00A07943" w:rsidRDefault="00A07943">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 xml:space="preserve">56 </w:t>
            </w:r>
            <w:r w:rsidRPr="00A07943">
              <w:rPr>
                <w:rFonts w:ascii="Arial" w:hAnsi="Arial" w:cs="Arial"/>
                <w:sz w:val="20"/>
                <w:szCs w:val="20"/>
                <w:shd w:val="clear" w:color="auto" w:fill="FFFFFF"/>
                <w:vertAlign w:val="superscript"/>
              </w:rPr>
              <w:t>°</w:t>
            </w:r>
            <w:r w:rsidRPr="00A07943">
              <w:rPr>
                <w:rFonts w:ascii="Arial" w:hAnsi="Arial" w:cs="Arial"/>
                <w:sz w:val="20"/>
                <w:szCs w:val="20"/>
                <w:shd w:val="clear" w:color="auto" w:fill="FFFFFF"/>
              </w:rPr>
              <w:t>C</w:t>
            </w: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GATATGTATGATTTTATCCTGC</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400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(FAM)</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TTTAACTTGGCTAAAGGCTAAGGCT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100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Rotavirus A</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w:t>
            </w:r>
            <w:r w:rsidRPr="00A07943">
              <w:rPr>
                <w:rFonts w:ascii="Arial" w:eastAsia="Open Sans" w:hAnsi="Arial" w:cs="Arial"/>
                <w:b/>
                <w:i/>
                <w:sz w:val="20"/>
                <w:szCs w:val="20"/>
              </w:rPr>
              <w:t>JVK:NSP3</w:t>
            </w:r>
            <w:r w:rsidRPr="00A07943">
              <w:rPr>
                <w:rFonts w:ascii="Arial" w:eastAsia="Open Sans" w:hAnsi="Arial" w:cs="Arial"/>
                <w:b/>
                <w:sz w:val="20"/>
                <w:szCs w:val="20"/>
              </w:rPr>
              <w:t>)</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Forward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CAGTGGTTGATGCTCAAGATGGA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200</w:t>
            </w:r>
          </w:p>
        </w:tc>
        <w:tc>
          <w:tcPr>
            <w:tcW w:w="1184" w:type="dxa"/>
            <w:vMerge w:val="restart"/>
            <w:tcBorders>
              <w:top w:val="nil"/>
              <w:left w:val="nil"/>
              <w:bottom w:val="nil"/>
              <w:right w:val="nil"/>
            </w:tcBorders>
            <w:vAlign w:val="center"/>
            <w:hideMark/>
          </w:tcPr>
          <w:p w:rsidR="00A07943" w:rsidRPr="00A07943" w:rsidRDefault="00A07943">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 xml:space="preserve">55 </w:t>
            </w:r>
            <w:r w:rsidRPr="00A07943">
              <w:rPr>
                <w:rFonts w:ascii="Arial" w:hAnsi="Arial" w:cs="Arial"/>
                <w:sz w:val="20"/>
                <w:szCs w:val="20"/>
                <w:shd w:val="clear" w:color="auto" w:fill="FFFFFF"/>
                <w:vertAlign w:val="superscript"/>
              </w:rPr>
              <w:t>°</w:t>
            </w:r>
            <w:r w:rsidRPr="00A07943">
              <w:rPr>
                <w:rFonts w:ascii="Arial" w:hAnsi="Arial" w:cs="Arial"/>
                <w:sz w:val="20"/>
                <w:szCs w:val="20"/>
                <w:shd w:val="clear" w:color="auto" w:fill="FFFFFF"/>
              </w:rPr>
              <w:t>C</w:t>
            </w: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Reverse Primer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TCATTGTAATCATATTGAATACCCA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200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7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Probe</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(FAM)</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ACAACTGCAGCTTCAAAAGAAGWGT</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100</w:t>
            </w:r>
          </w:p>
        </w:tc>
        <w:tc>
          <w:tcPr>
            <w:tcW w:w="1184" w:type="dxa"/>
            <w:vMerge/>
            <w:tcBorders>
              <w:top w:val="nil"/>
              <w:left w:val="nil"/>
              <w:bottom w:val="nil"/>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352"/>
          <w:jc w:val="center"/>
        </w:trPr>
        <w:tc>
          <w:tcPr>
            <w:tcW w:w="1454" w:type="dxa"/>
            <w:vMerge w:val="restart"/>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Noro virus</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(GI)</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Cog1F</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CGYTGGATGCGITTYCATGA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500</w:t>
            </w:r>
          </w:p>
        </w:tc>
        <w:tc>
          <w:tcPr>
            <w:tcW w:w="1184" w:type="dxa"/>
            <w:vMerge w:val="restart"/>
            <w:tcBorders>
              <w:top w:val="nil"/>
              <w:left w:val="nil"/>
              <w:bottom w:val="single" w:sz="4" w:space="0" w:color="auto"/>
              <w:right w:val="nil"/>
            </w:tcBorders>
            <w:vAlign w:val="center"/>
            <w:hideMark/>
          </w:tcPr>
          <w:p w:rsidR="00A07943" w:rsidRPr="00A07943" w:rsidRDefault="00A07943">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 xml:space="preserve">60 </w:t>
            </w:r>
            <w:r w:rsidRPr="00A07943">
              <w:rPr>
                <w:rFonts w:ascii="Arial" w:hAnsi="Arial" w:cs="Arial"/>
                <w:sz w:val="20"/>
                <w:szCs w:val="20"/>
                <w:shd w:val="clear" w:color="auto" w:fill="FFFFFF"/>
                <w:vertAlign w:val="superscript"/>
              </w:rPr>
              <w:t>°</w:t>
            </w:r>
            <w:r w:rsidRPr="00A07943">
              <w:rPr>
                <w:rFonts w:ascii="Arial" w:hAnsi="Arial" w:cs="Arial"/>
                <w:sz w:val="20"/>
                <w:szCs w:val="20"/>
                <w:shd w:val="clear" w:color="auto" w:fill="FFFFFF"/>
              </w:rPr>
              <w:t>C</w:t>
            </w:r>
          </w:p>
        </w:tc>
      </w:tr>
      <w:tr w:rsidR="00A07943" w:rsidRPr="00A07943" w:rsidTr="00A07943">
        <w:trPr>
          <w:trHeight w:val="317"/>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Cog1R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CTTAGACGCCATCATCATTYAC</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500</w:t>
            </w:r>
          </w:p>
        </w:tc>
        <w:tc>
          <w:tcPr>
            <w:tcW w:w="1184" w:type="dxa"/>
            <w:vMerge/>
            <w:tcBorders>
              <w:top w:val="nil"/>
              <w:left w:val="nil"/>
              <w:bottom w:val="single" w:sz="4" w:space="0" w:color="auto"/>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512"/>
          <w:jc w:val="center"/>
        </w:trPr>
        <w:tc>
          <w:tcPr>
            <w:tcW w:w="1454" w:type="dxa"/>
            <w:vMerge/>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Ring 1E (FAM)</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TGGACAGGRGAYCGC</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250</w:t>
            </w:r>
          </w:p>
        </w:tc>
        <w:tc>
          <w:tcPr>
            <w:tcW w:w="1184" w:type="dxa"/>
            <w:vMerge/>
            <w:tcBorders>
              <w:top w:val="nil"/>
              <w:left w:val="nil"/>
              <w:bottom w:val="single" w:sz="4" w:space="0" w:color="auto"/>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290"/>
          <w:jc w:val="center"/>
        </w:trPr>
        <w:tc>
          <w:tcPr>
            <w:tcW w:w="1454" w:type="dxa"/>
            <w:vMerge w:val="restart"/>
            <w:tcBorders>
              <w:top w:val="nil"/>
              <w:left w:val="nil"/>
              <w:bottom w:val="single" w:sz="4" w:space="0" w:color="auto"/>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Noro virus</w:t>
            </w:r>
          </w:p>
          <w:p w:rsidR="00A07943" w:rsidRPr="00A07943" w:rsidRDefault="00A07943" w:rsidP="00852431">
            <w:pPr>
              <w:spacing w:after="0" w:line="240" w:lineRule="auto"/>
              <w:contextualSpacing/>
              <w:rPr>
                <w:rFonts w:ascii="Arial" w:eastAsia="Open Sans" w:hAnsi="Arial" w:cs="Arial"/>
                <w:b/>
                <w:sz w:val="20"/>
                <w:szCs w:val="20"/>
              </w:rPr>
            </w:pPr>
            <w:r w:rsidRPr="00A07943">
              <w:rPr>
                <w:rFonts w:ascii="Arial" w:eastAsia="Open Sans" w:hAnsi="Arial" w:cs="Arial"/>
                <w:b/>
                <w:sz w:val="20"/>
                <w:szCs w:val="20"/>
              </w:rPr>
              <w:t>(GII)</w:t>
            </w: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Cog2F</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CARGARBCNATGTTYAGRTGGATGAG</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hAnsi="Arial" w:cs="Arial"/>
                <w:sz w:val="20"/>
                <w:szCs w:val="20"/>
                <w:shd w:val="clear" w:color="auto" w:fill="FFFFFF"/>
              </w:rPr>
            </w:pPr>
            <w:r w:rsidRPr="00A07943">
              <w:rPr>
                <w:rFonts w:ascii="Arial" w:hAnsi="Arial" w:cs="Arial"/>
                <w:sz w:val="20"/>
                <w:szCs w:val="20"/>
                <w:shd w:val="clear" w:color="auto" w:fill="FFFFFF"/>
              </w:rPr>
              <w:t>500</w:t>
            </w:r>
          </w:p>
        </w:tc>
        <w:tc>
          <w:tcPr>
            <w:tcW w:w="1184" w:type="dxa"/>
            <w:vMerge/>
            <w:tcBorders>
              <w:top w:val="nil"/>
              <w:left w:val="nil"/>
              <w:bottom w:val="single" w:sz="4" w:space="0" w:color="auto"/>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317"/>
          <w:jc w:val="center"/>
        </w:trPr>
        <w:tc>
          <w:tcPr>
            <w:tcW w:w="1454" w:type="dxa"/>
            <w:vMerge/>
            <w:tcBorders>
              <w:top w:val="nil"/>
              <w:left w:val="nil"/>
              <w:bottom w:val="single" w:sz="4" w:space="0" w:color="auto"/>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Cog2R</w:t>
            </w:r>
          </w:p>
        </w:tc>
        <w:tc>
          <w:tcPr>
            <w:tcW w:w="3889" w:type="dxa"/>
            <w:tcBorders>
              <w:top w:val="nil"/>
              <w:left w:val="nil"/>
              <w:bottom w:val="nil"/>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TCGACGCCATCTTCATTCACA</w:t>
            </w:r>
          </w:p>
        </w:tc>
        <w:tc>
          <w:tcPr>
            <w:tcW w:w="1151" w:type="dxa"/>
            <w:tcBorders>
              <w:top w:val="nil"/>
              <w:left w:val="nil"/>
              <w:bottom w:val="nil"/>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500</w:t>
            </w:r>
          </w:p>
        </w:tc>
        <w:tc>
          <w:tcPr>
            <w:tcW w:w="1184" w:type="dxa"/>
            <w:vMerge/>
            <w:tcBorders>
              <w:top w:val="nil"/>
              <w:left w:val="nil"/>
              <w:bottom w:val="single" w:sz="4" w:space="0" w:color="auto"/>
              <w:right w:val="nil"/>
            </w:tcBorders>
            <w:vAlign w:val="center"/>
            <w:hideMark/>
          </w:tcPr>
          <w:p w:rsidR="00A07943" w:rsidRPr="00A07943" w:rsidRDefault="00A07943">
            <w:pPr>
              <w:spacing w:after="0"/>
              <w:rPr>
                <w:rFonts w:ascii="Arial" w:hAnsi="Arial" w:cs="Arial"/>
                <w:sz w:val="20"/>
                <w:szCs w:val="20"/>
                <w:shd w:val="clear" w:color="auto" w:fill="FFFFFF"/>
              </w:rPr>
            </w:pPr>
          </w:p>
        </w:tc>
      </w:tr>
      <w:tr w:rsidR="00A07943" w:rsidRPr="00A07943" w:rsidTr="00A07943">
        <w:trPr>
          <w:trHeight w:val="334"/>
          <w:jc w:val="center"/>
        </w:trPr>
        <w:tc>
          <w:tcPr>
            <w:tcW w:w="1454" w:type="dxa"/>
            <w:vMerge/>
            <w:tcBorders>
              <w:top w:val="nil"/>
              <w:left w:val="nil"/>
              <w:bottom w:val="single" w:sz="4" w:space="0" w:color="auto"/>
              <w:right w:val="nil"/>
            </w:tcBorders>
            <w:vAlign w:val="center"/>
            <w:hideMark/>
          </w:tcPr>
          <w:p w:rsidR="00A07943" w:rsidRPr="00A07943" w:rsidRDefault="00A07943" w:rsidP="00852431">
            <w:pPr>
              <w:spacing w:after="0" w:line="240" w:lineRule="auto"/>
              <w:contextualSpacing/>
              <w:rPr>
                <w:rFonts w:ascii="Arial" w:eastAsia="Open Sans" w:hAnsi="Arial" w:cs="Arial"/>
                <w:b/>
                <w:sz w:val="20"/>
                <w:szCs w:val="20"/>
              </w:rPr>
            </w:pPr>
          </w:p>
        </w:tc>
        <w:tc>
          <w:tcPr>
            <w:tcW w:w="1890" w:type="dxa"/>
            <w:tcBorders>
              <w:top w:val="nil"/>
              <w:left w:val="nil"/>
              <w:bottom w:val="single" w:sz="4" w:space="0" w:color="auto"/>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Ring 2</w:t>
            </w:r>
          </w:p>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(Cy5)</w:t>
            </w:r>
          </w:p>
        </w:tc>
        <w:tc>
          <w:tcPr>
            <w:tcW w:w="3889" w:type="dxa"/>
            <w:tcBorders>
              <w:top w:val="nil"/>
              <w:left w:val="nil"/>
              <w:bottom w:val="single" w:sz="4" w:space="0" w:color="auto"/>
              <w:right w:val="nil"/>
            </w:tcBorders>
            <w:tcMar>
              <w:top w:w="0" w:type="dxa"/>
              <w:left w:w="100" w:type="dxa"/>
              <w:bottom w:w="0" w:type="dxa"/>
              <w:right w:w="100" w:type="dxa"/>
            </w:tcMar>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TGGGAGGGCGATCGCAATCT</w:t>
            </w:r>
          </w:p>
        </w:tc>
        <w:tc>
          <w:tcPr>
            <w:tcW w:w="1151" w:type="dxa"/>
            <w:tcBorders>
              <w:top w:val="nil"/>
              <w:left w:val="nil"/>
              <w:bottom w:val="single" w:sz="4" w:space="0" w:color="auto"/>
              <w:right w:val="nil"/>
            </w:tcBorders>
            <w:vAlign w:val="center"/>
            <w:hideMark/>
          </w:tcPr>
          <w:p w:rsidR="00A07943" w:rsidRPr="00A07943" w:rsidRDefault="00A07943" w:rsidP="00852431">
            <w:pPr>
              <w:spacing w:after="0" w:line="240" w:lineRule="auto"/>
              <w:contextualSpacing/>
              <w:rPr>
                <w:rFonts w:ascii="Arial" w:eastAsia="Open Sans" w:hAnsi="Arial" w:cs="Arial"/>
                <w:sz w:val="20"/>
                <w:szCs w:val="20"/>
              </w:rPr>
            </w:pPr>
            <w:r w:rsidRPr="00A07943">
              <w:rPr>
                <w:rFonts w:ascii="Arial" w:eastAsia="Open Sans" w:hAnsi="Arial" w:cs="Arial"/>
                <w:sz w:val="20"/>
                <w:szCs w:val="20"/>
              </w:rPr>
              <w:t>250</w:t>
            </w:r>
          </w:p>
        </w:tc>
        <w:tc>
          <w:tcPr>
            <w:tcW w:w="1184" w:type="dxa"/>
            <w:vMerge/>
            <w:tcBorders>
              <w:top w:val="nil"/>
              <w:left w:val="nil"/>
              <w:bottom w:val="single" w:sz="4" w:space="0" w:color="auto"/>
              <w:right w:val="nil"/>
            </w:tcBorders>
            <w:vAlign w:val="center"/>
            <w:hideMark/>
          </w:tcPr>
          <w:p w:rsidR="00A07943" w:rsidRPr="00A07943" w:rsidRDefault="00A07943">
            <w:pPr>
              <w:spacing w:after="0"/>
              <w:rPr>
                <w:rFonts w:ascii="Arial" w:hAnsi="Arial" w:cs="Arial"/>
                <w:sz w:val="20"/>
                <w:szCs w:val="20"/>
                <w:shd w:val="clear" w:color="auto" w:fill="FFFFFF"/>
              </w:rPr>
            </w:pPr>
          </w:p>
        </w:tc>
      </w:tr>
    </w:tbl>
    <w:bookmarkEnd w:id="3"/>
    <w:p w:rsidR="00A07943" w:rsidRDefault="00A07943" w:rsidP="00A07943">
      <w:pPr>
        <w:spacing w:after="0" w:line="360" w:lineRule="auto"/>
        <w:rPr>
          <w:rFonts w:ascii="Arial" w:hAnsi="Arial" w:cs="Arial"/>
          <w:b/>
          <w:sz w:val="24"/>
          <w:szCs w:val="24"/>
        </w:rPr>
      </w:pPr>
      <w:r>
        <w:rPr>
          <w:rFonts w:ascii="Arial" w:hAnsi="Arial" w:cs="Arial"/>
          <w:sz w:val="24"/>
          <w:szCs w:val="24"/>
        </w:rPr>
        <w:br/>
      </w:r>
    </w:p>
    <w:p w:rsidR="00A07943" w:rsidRDefault="00A07943" w:rsidP="00A07943">
      <w:r>
        <w:br w:type="page"/>
      </w:r>
    </w:p>
    <w:p w:rsidR="00636DEE" w:rsidRPr="00852431" w:rsidRDefault="00A07943" w:rsidP="00A07943">
      <w:pPr>
        <w:spacing w:after="0" w:line="360" w:lineRule="auto"/>
        <w:contextualSpacing/>
        <w:rPr>
          <w:rFonts w:ascii="Arial" w:hAnsi="Arial" w:cs="Arial"/>
          <w:sz w:val="24"/>
          <w:szCs w:val="24"/>
        </w:rPr>
      </w:pPr>
      <w:r w:rsidRPr="00852431">
        <w:rPr>
          <w:rFonts w:ascii="Arial" w:hAnsi="Arial" w:cs="Arial"/>
          <w:b/>
          <w:sz w:val="24"/>
          <w:szCs w:val="24"/>
        </w:rPr>
        <w:lastRenderedPageBreak/>
        <w:t xml:space="preserve">Supplementary information 2:  </w:t>
      </w:r>
      <w:r w:rsidR="00C03C35" w:rsidRPr="00852431">
        <w:rPr>
          <w:rFonts w:ascii="Arial" w:hAnsi="Arial" w:cs="Arial"/>
          <w:b/>
          <w:sz w:val="24"/>
          <w:szCs w:val="24"/>
        </w:rPr>
        <w:t>APC and TCC results in food and drinking water s</w:t>
      </w:r>
      <w:r w:rsidR="00636DEE" w:rsidRPr="00852431">
        <w:rPr>
          <w:rFonts w:ascii="Arial" w:hAnsi="Arial" w:cs="Arial"/>
          <w:b/>
          <w:sz w:val="24"/>
          <w:szCs w:val="24"/>
        </w:rPr>
        <w:t>amples</w:t>
      </w:r>
    </w:p>
    <w:p w:rsidR="00636DEE" w:rsidRPr="00852431" w:rsidRDefault="00636DEE" w:rsidP="00852431">
      <w:pPr>
        <w:pStyle w:val="isselectedend"/>
        <w:spacing w:line="360" w:lineRule="auto"/>
        <w:contextualSpacing/>
        <w:rPr>
          <w:rFonts w:ascii="Arial" w:hAnsi="Arial" w:cs="Arial"/>
        </w:rPr>
      </w:pPr>
      <w:r w:rsidRPr="00852431">
        <w:rPr>
          <w:rFonts w:ascii="Arial" w:hAnsi="Arial" w:cs="Arial"/>
        </w:rPr>
        <w:t xml:space="preserve">In food samples, the geometric mean TCC and APC were 9.00 × 10 CFU/g and 3.80 × 10⁴ CFU/g, respectively (Table </w:t>
      </w:r>
      <w:r w:rsidR="00160687" w:rsidRPr="00852431">
        <w:rPr>
          <w:rFonts w:ascii="Arial" w:hAnsi="Arial" w:cs="Arial"/>
        </w:rPr>
        <w:t>S2</w:t>
      </w:r>
      <w:r w:rsidRPr="00852431">
        <w:rPr>
          <w:rFonts w:ascii="Arial" w:hAnsi="Arial" w:cs="Arial"/>
        </w:rPr>
        <w:t>). Stored and reheated foods showed higher contamination than freshly cooked foods, with median log APC values of 5.27 and 4.78, respectively. Median log TCC was highest in stored foods (1.84), while cooked and reheated foods showed similar values (1.60). Snacks had the lowest contamination levels (median log TCC: 1.00; median log APC: 4.04) (Figure 2).</w:t>
      </w:r>
      <w:r w:rsidR="00852431">
        <w:rPr>
          <w:rFonts w:ascii="Arial" w:hAnsi="Arial" w:cs="Arial"/>
        </w:rPr>
        <w:t xml:space="preserve"> </w:t>
      </w:r>
      <w:r w:rsidRPr="00852431">
        <w:rPr>
          <w:rFonts w:ascii="Arial" w:hAnsi="Arial" w:cs="Arial"/>
        </w:rPr>
        <w:t>Drinking water samples also showed substantial contamination, with geometric mean TCC and APC values of 3.16 × 10² CFU/m</w:t>
      </w:r>
      <w:r w:rsidR="00852431">
        <w:rPr>
          <w:rFonts w:ascii="Arial" w:hAnsi="Arial" w:cs="Arial"/>
        </w:rPr>
        <w:t>l</w:t>
      </w:r>
      <w:r w:rsidRPr="00852431">
        <w:rPr>
          <w:rFonts w:ascii="Arial" w:hAnsi="Arial" w:cs="Arial"/>
        </w:rPr>
        <w:t xml:space="preserve"> and 1.99 × 10³ CFU/m</w:t>
      </w:r>
      <w:r w:rsidR="00852431">
        <w:rPr>
          <w:rFonts w:ascii="Arial" w:hAnsi="Arial" w:cs="Arial"/>
        </w:rPr>
        <w:t>l</w:t>
      </w:r>
      <w:r w:rsidRPr="00852431">
        <w:rPr>
          <w:rFonts w:ascii="Arial" w:hAnsi="Arial" w:cs="Arial"/>
        </w:rPr>
        <w:t xml:space="preserve">, respectively (Table </w:t>
      </w:r>
      <w:r w:rsidR="00160687" w:rsidRPr="00852431">
        <w:rPr>
          <w:rFonts w:ascii="Arial" w:hAnsi="Arial" w:cs="Arial"/>
        </w:rPr>
        <w:t>S2</w:t>
      </w:r>
      <w:r w:rsidRPr="00852431">
        <w:rPr>
          <w:rFonts w:ascii="Arial" w:hAnsi="Arial" w:cs="Arial"/>
        </w:rPr>
        <w:t>).</w:t>
      </w:r>
      <w:r w:rsidR="00375D42">
        <w:rPr>
          <w:rFonts w:ascii="Arial" w:hAnsi="Arial" w:cs="Arial"/>
          <w:sz w:val="22"/>
          <w:szCs w:val="22"/>
        </w:rPr>
        <w:br/>
      </w:r>
    </w:p>
    <w:p w:rsidR="00C116AE" w:rsidRPr="00C116AE" w:rsidRDefault="00375D42" w:rsidP="00C116AE">
      <w:pPr>
        <w:spacing w:before="100" w:beforeAutospacing="1" w:after="100" w:afterAutospacing="1" w:line="360" w:lineRule="auto"/>
        <w:contextualSpacing/>
        <w:rPr>
          <w:rFonts w:ascii="Arial" w:eastAsia="Times New Roman" w:hAnsi="Arial" w:cs="Arial"/>
          <w:b/>
        </w:rPr>
      </w:pPr>
      <w:r>
        <w:rPr>
          <w:rFonts w:ascii="Arial" w:eastAsia="Times New Roman" w:hAnsi="Arial" w:cs="Arial"/>
          <w:b/>
          <w:noProof/>
        </w:rPr>
        <w:drawing>
          <wp:inline distT="0" distB="0" distL="0" distR="0" wp14:anchorId="04CE34AE">
            <wp:extent cx="5801796" cy="3867864"/>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6911" cy="3884607"/>
                    </a:xfrm>
                    <a:prstGeom prst="rect">
                      <a:avLst/>
                    </a:prstGeom>
                    <a:noFill/>
                  </pic:spPr>
                </pic:pic>
              </a:graphicData>
            </a:graphic>
          </wp:inline>
        </w:drawing>
      </w:r>
      <w:r>
        <w:rPr>
          <w:rFonts w:ascii="Arial" w:eastAsia="Times New Roman" w:hAnsi="Arial" w:cs="Arial"/>
          <w:b/>
        </w:rPr>
        <w:br/>
      </w:r>
      <w:r w:rsidRPr="00852431">
        <w:rPr>
          <w:rFonts w:ascii="Arial" w:eastAsia="Times New Roman" w:hAnsi="Arial" w:cs="Arial"/>
          <w:b/>
          <w:sz w:val="24"/>
          <w:szCs w:val="24"/>
        </w:rPr>
        <w:t xml:space="preserve">Figure S1: </w:t>
      </w:r>
      <w:r w:rsidRPr="00852431">
        <w:rPr>
          <w:rFonts w:ascii="Arial" w:eastAsia="Times New Roman" w:hAnsi="Arial" w:cs="Arial"/>
          <w:sz w:val="24"/>
          <w:szCs w:val="24"/>
        </w:rPr>
        <w:t>Box plots showing the distribution of total coliform and aerobic plate counts (log CFU) across different child weaning food types collected from households in an urban informal settlement in Dhaka, Bangladesh</w:t>
      </w:r>
      <w:r w:rsidRPr="00375D42">
        <w:rPr>
          <w:rFonts w:ascii="Arial" w:eastAsia="Times New Roman" w:hAnsi="Arial" w:cs="Arial"/>
          <w:b/>
        </w:rPr>
        <w:br/>
      </w:r>
      <w:r>
        <w:rPr>
          <w:rFonts w:ascii="Arial" w:eastAsia="Times New Roman" w:hAnsi="Arial" w:cs="Arial"/>
          <w:b/>
        </w:rPr>
        <w:br/>
      </w:r>
      <w:r w:rsidR="00C116AE" w:rsidRPr="00852431">
        <w:rPr>
          <w:rFonts w:ascii="Arial" w:eastAsia="Times New Roman" w:hAnsi="Arial" w:cs="Arial"/>
          <w:b/>
          <w:sz w:val="24"/>
          <w:szCs w:val="24"/>
        </w:rPr>
        <w:lastRenderedPageBreak/>
        <w:t xml:space="preserve">Table S2: </w:t>
      </w:r>
      <w:r w:rsidR="00C116AE" w:rsidRPr="00852431">
        <w:rPr>
          <w:rFonts w:ascii="Arial" w:eastAsia="Times New Roman" w:hAnsi="Arial" w:cs="Arial"/>
          <w:sz w:val="24"/>
          <w:szCs w:val="24"/>
        </w:rPr>
        <w:t>Quantification of positive total coliform contamination and aerobic plate count (geometric mean value) in collected food, drinking water samples</w:t>
      </w:r>
      <w:r w:rsidR="00C116AE" w:rsidRPr="00C116AE">
        <w:rPr>
          <w:rFonts w:ascii="Arial" w:eastAsia="Times New Roman" w:hAnsi="Arial" w:cs="Arial"/>
        </w:rPr>
        <w:t xml:space="preserve"> </w:t>
      </w:r>
      <w:r w:rsidR="00C116AE" w:rsidRPr="00C116AE">
        <w:rPr>
          <w:rFonts w:ascii="Arial" w:eastAsia="Times New Roman" w:hAnsi="Arial" w:cs="Arial"/>
        </w:rPr>
        <w:br/>
      </w:r>
    </w:p>
    <w:tbl>
      <w:tblPr>
        <w:tblW w:w="9450" w:type="dxa"/>
        <w:tblLook w:val="04A0" w:firstRow="1" w:lastRow="0" w:firstColumn="1" w:lastColumn="0" w:noHBand="0" w:noVBand="1"/>
      </w:tblPr>
      <w:tblGrid>
        <w:gridCol w:w="3618"/>
        <w:gridCol w:w="1231"/>
        <w:gridCol w:w="2020"/>
        <w:gridCol w:w="1383"/>
        <w:gridCol w:w="1198"/>
      </w:tblGrid>
      <w:tr w:rsidR="0091366C" w:rsidRPr="00C116AE" w:rsidTr="00083647">
        <w:trPr>
          <w:trHeight w:val="242"/>
        </w:trPr>
        <w:tc>
          <w:tcPr>
            <w:tcW w:w="3960" w:type="dxa"/>
            <w:vMerge w:val="restart"/>
            <w:tcBorders>
              <w:top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r w:rsidRPr="00C116AE">
              <w:rPr>
                <w:rFonts w:ascii="Arial" w:eastAsia="Times New Roman" w:hAnsi="Arial" w:cs="Arial"/>
              </w:rPr>
              <w:t>Sample Type</w:t>
            </w:r>
          </w:p>
        </w:tc>
        <w:tc>
          <w:tcPr>
            <w:tcW w:w="2751" w:type="dxa"/>
            <w:gridSpan w:val="2"/>
            <w:tcBorders>
              <w:top w:val="single" w:sz="4" w:space="0" w:color="auto"/>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r w:rsidRPr="00C116AE">
              <w:rPr>
                <w:rFonts w:ascii="Arial" w:eastAsia="Times New Roman" w:hAnsi="Arial" w:cs="Arial"/>
              </w:rPr>
              <w:t>TCC</w:t>
            </w:r>
          </w:p>
        </w:tc>
        <w:tc>
          <w:tcPr>
            <w:tcW w:w="2739" w:type="dxa"/>
            <w:gridSpan w:val="2"/>
            <w:tcBorders>
              <w:top w:val="single" w:sz="4" w:space="0" w:color="auto"/>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r w:rsidRPr="00C116AE">
              <w:rPr>
                <w:rFonts w:ascii="Arial" w:eastAsia="Times New Roman" w:hAnsi="Arial" w:cs="Arial"/>
              </w:rPr>
              <w:t>APC</w:t>
            </w:r>
          </w:p>
        </w:tc>
      </w:tr>
      <w:tr w:rsidR="0091366C" w:rsidRPr="00C116AE" w:rsidTr="00083647">
        <w:trPr>
          <w:trHeight w:val="233"/>
        </w:trPr>
        <w:tc>
          <w:tcPr>
            <w:tcW w:w="3960" w:type="dxa"/>
            <w:vMerge/>
            <w:tcBorders>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p>
        </w:tc>
        <w:tc>
          <w:tcPr>
            <w:tcW w:w="478" w:type="dxa"/>
            <w:tcBorders>
              <w:top w:val="single" w:sz="4" w:space="0" w:color="auto"/>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r w:rsidRPr="00C116AE">
              <w:rPr>
                <w:rFonts w:ascii="Arial" w:eastAsia="Times New Roman" w:hAnsi="Arial" w:cs="Arial"/>
              </w:rPr>
              <w:t>Geometric Mean</w:t>
            </w:r>
          </w:p>
        </w:tc>
        <w:tc>
          <w:tcPr>
            <w:tcW w:w="2273" w:type="dxa"/>
            <w:tcBorders>
              <w:top w:val="single" w:sz="4" w:space="0" w:color="auto"/>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p>
        </w:tc>
        <w:tc>
          <w:tcPr>
            <w:tcW w:w="1404" w:type="dxa"/>
            <w:tcBorders>
              <w:top w:val="single" w:sz="4" w:space="0" w:color="auto"/>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r w:rsidRPr="00C116AE">
              <w:rPr>
                <w:rFonts w:ascii="Arial" w:eastAsia="Times New Roman" w:hAnsi="Arial" w:cs="Arial"/>
              </w:rPr>
              <w:t>Geometric Mean</w:t>
            </w:r>
          </w:p>
        </w:tc>
        <w:tc>
          <w:tcPr>
            <w:tcW w:w="1335" w:type="dxa"/>
            <w:tcBorders>
              <w:top w:val="single" w:sz="4" w:space="0" w:color="auto"/>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p>
        </w:tc>
      </w:tr>
      <w:tr w:rsidR="0091366C" w:rsidRPr="00C116AE" w:rsidTr="00083647">
        <w:trPr>
          <w:trHeight w:val="323"/>
        </w:trPr>
        <w:tc>
          <w:tcPr>
            <w:tcW w:w="3960" w:type="dxa"/>
            <w:tcBorders>
              <w:top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r w:rsidRPr="00C116AE">
              <w:rPr>
                <w:rFonts w:ascii="Arial" w:eastAsia="Times New Roman" w:hAnsi="Arial" w:cs="Arial"/>
              </w:rPr>
              <w:t>Food (CFU/g)</w:t>
            </w:r>
          </w:p>
        </w:tc>
        <w:tc>
          <w:tcPr>
            <w:tcW w:w="478" w:type="dxa"/>
            <w:tcBorders>
              <w:top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r w:rsidRPr="00C116AE">
              <w:rPr>
                <w:rFonts w:ascii="Arial" w:eastAsia="Times New Roman" w:hAnsi="Arial" w:cs="Arial"/>
              </w:rPr>
              <w:t>9.00 × 10</w:t>
            </w:r>
          </w:p>
        </w:tc>
        <w:tc>
          <w:tcPr>
            <w:tcW w:w="2273" w:type="dxa"/>
            <w:tcBorders>
              <w:top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p>
        </w:tc>
        <w:tc>
          <w:tcPr>
            <w:tcW w:w="1404" w:type="dxa"/>
            <w:tcBorders>
              <w:top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r w:rsidRPr="00C116AE">
              <w:rPr>
                <w:rFonts w:ascii="Arial" w:eastAsia="Times New Roman" w:hAnsi="Arial" w:cs="Arial"/>
              </w:rPr>
              <w:t>3.80 × 10</w:t>
            </w:r>
            <w:r w:rsidRPr="00852431">
              <w:rPr>
                <w:rFonts w:ascii="Arial" w:eastAsia="Times New Roman" w:hAnsi="Arial" w:cs="Arial"/>
                <w:vertAlign w:val="superscript"/>
              </w:rPr>
              <w:t>4</w:t>
            </w:r>
          </w:p>
        </w:tc>
        <w:tc>
          <w:tcPr>
            <w:tcW w:w="1335" w:type="dxa"/>
            <w:tcBorders>
              <w:top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p>
        </w:tc>
      </w:tr>
      <w:tr w:rsidR="0091366C" w:rsidRPr="00C116AE" w:rsidTr="00083647">
        <w:trPr>
          <w:trHeight w:val="837"/>
        </w:trPr>
        <w:tc>
          <w:tcPr>
            <w:tcW w:w="3960" w:type="dxa"/>
            <w:tcBorders>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r w:rsidRPr="00C116AE">
              <w:rPr>
                <w:rFonts w:ascii="Arial" w:eastAsia="Times New Roman" w:hAnsi="Arial" w:cs="Arial"/>
              </w:rPr>
              <w:t>Drinking Water (CFU/mL)</w:t>
            </w:r>
          </w:p>
        </w:tc>
        <w:tc>
          <w:tcPr>
            <w:tcW w:w="478" w:type="dxa"/>
            <w:tcBorders>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r w:rsidRPr="00C116AE">
              <w:rPr>
                <w:rFonts w:ascii="Arial" w:eastAsia="Times New Roman" w:hAnsi="Arial" w:cs="Arial"/>
              </w:rPr>
              <w:t>3.16 × 10</w:t>
            </w:r>
            <w:r w:rsidRPr="00852431">
              <w:rPr>
                <w:rFonts w:ascii="Arial" w:eastAsia="Times New Roman" w:hAnsi="Arial" w:cs="Arial"/>
                <w:vertAlign w:val="superscript"/>
              </w:rPr>
              <w:t>2</w:t>
            </w:r>
          </w:p>
        </w:tc>
        <w:tc>
          <w:tcPr>
            <w:tcW w:w="2273" w:type="dxa"/>
            <w:tcBorders>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p>
        </w:tc>
        <w:tc>
          <w:tcPr>
            <w:tcW w:w="1404" w:type="dxa"/>
            <w:tcBorders>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r w:rsidRPr="00C116AE">
              <w:rPr>
                <w:rFonts w:ascii="Arial" w:eastAsia="Times New Roman" w:hAnsi="Arial" w:cs="Arial"/>
              </w:rPr>
              <w:t>1.99 × 10</w:t>
            </w:r>
            <w:r w:rsidRPr="00852431">
              <w:rPr>
                <w:rFonts w:ascii="Arial" w:eastAsia="Times New Roman" w:hAnsi="Arial" w:cs="Arial"/>
                <w:vertAlign w:val="superscript"/>
              </w:rPr>
              <w:t>3</w:t>
            </w:r>
          </w:p>
        </w:tc>
        <w:tc>
          <w:tcPr>
            <w:tcW w:w="1335" w:type="dxa"/>
            <w:tcBorders>
              <w:bottom w:val="single" w:sz="4" w:space="0" w:color="auto"/>
            </w:tcBorders>
            <w:vAlign w:val="center"/>
          </w:tcPr>
          <w:p w:rsidR="0091366C" w:rsidRPr="00C116AE" w:rsidRDefault="0091366C" w:rsidP="00083647">
            <w:pPr>
              <w:spacing w:before="100" w:beforeAutospacing="1" w:after="100" w:afterAutospacing="1" w:line="360" w:lineRule="auto"/>
              <w:contextualSpacing/>
              <w:rPr>
                <w:rFonts w:ascii="Arial" w:eastAsia="Times New Roman" w:hAnsi="Arial" w:cs="Arial"/>
              </w:rPr>
            </w:pPr>
          </w:p>
        </w:tc>
      </w:tr>
    </w:tbl>
    <w:p w:rsidR="0091366C" w:rsidRPr="0091366C" w:rsidRDefault="0091366C">
      <w:pPr>
        <w:rPr>
          <w:rFonts w:ascii="Arial" w:hAnsi="Arial" w:cs="Arial"/>
          <w:b/>
        </w:rPr>
      </w:pPr>
    </w:p>
    <w:p w:rsidR="0091366C" w:rsidRPr="0091366C" w:rsidRDefault="0091366C" w:rsidP="0091366C">
      <w:pPr>
        <w:pStyle w:val="Bibliography"/>
        <w:rPr>
          <w:rFonts w:ascii="Arial" w:hAnsi="Arial" w:cs="Arial"/>
          <w:b/>
        </w:rPr>
      </w:pPr>
      <w:r w:rsidRPr="0091366C">
        <w:rPr>
          <w:rFonts w:ascii="Arial" w:hAnsi="Arial" w:cs="Arial"/>
          <w:b/>
        </w:rPr>
        <w:t>References</w:t>
      </w:r>
    </w:p>
    <w:p w:rsidR="0091366C" w:rsidRPr="0091366C" w:rsidRDefault="0091366C" w:rsidP="0091366C">
      <w:pPr>
        <w:pStyle w:val="Bibliography"/>
      </w:pPr>
      <w:r w:rsidRPr="0091366C">
        <w:fldChar w:fldCharType="begin"/>
      </w:r>
      <w:r>
        <w:instrText xml:space="preserve"> ADDIN ZOTERO_BIBL {"uncited":[],"omitted":[],"custom":[]} CSL_BIBLIOGRAPHY </w:instrText>
      </w:r>
      <w:r w:rsidRPr="0091366C">
        <w:fldChar w:fldCharType="separate"/>
      </w:r>
      <w:r w:rsidRPr="0091366C">
        <w:t>1.</w:t>
      </w:r>
      <w:r w:rsidRPr="0091366C">
        <w:tab/>
        <w:t xml:space="preserve">Baird, R., Eaton, A. &amp; Rice, E. </w:t>
      </w:r>
      <w:r w:rsidRPr="0091366C">
        <w:rPr>
          <w:i/>
          <w:iCs/>
        </w:rPr>
        <w:t>Standard Methods for the Examination of Water and Wastewater</w:t>
      </w:r>
      <w:r w:rsidRPr="0091366C">
        <w:t>. (American Public Health Association, Washington, DC, 2017).</w:t>
      </w:r>
    </w:p>
    <w:p w:rsidR="0091366C" w:rsidRPr="0091366C" w:rsidRDefault="0091366C" w:rsidP="0091366C">
      <w:pPr>
        <w:pStyle w:val="Bibliography"/>
      </w:pPr>
      <w:r w:rsidRPr="0091366C">
        <w:t>2.</w:t>
      </w:r>
      <w:r w:rsidRPr="0091366C">
        <w:tab/>
        <w:t xml:space="preserve">Rice, E. W., Baird, R. B. &amp; Eaton, A. D. </w:t>
      </w:r>
      <w:r w:rsidRPr="0091366C">
        <w:rPr>
          <w:i/>
          <w:iCs/>
        </w:rPr>
        <w:t>Standard Methods for the Examination of Water and Wastewater (23rd Ed.). - Google Search</w:t>
      </w:r>
      <w:r w:rsidRPr="0091366C">
        <w:t>. (American Public Health Association, Washington, DC, 2017).</w:t>
      </w:r>
    </w:p>
    <w:p w:rsidR="0091366C" w:rsidRPr="0091366C" w:rsidRDefault="0091366C" w:rsidP="0091366C">
      <w:pPr>
        <w:pStyle w:val="Bibliography"/>
      </w:pPr>
      <w:r w:rsidRPr="0091366C">
        <w:t>3.</w:t>
      </w:r>
      <w:r w:rsidRPr="0091366C">
        <w:tab/>
        <w:t xml:space="preserve">FDA. </w:t>
      </w:r>
      <w:r w:rsidRPr="0091366C">
        <w:rPr>
          <w:i/>
          <w:iCs/>
        </w:rPr>
        <w:t>Bacteriological Analytical Manual, Aerobic Plate Count</w:t>
      </w:r>
      <w:r w:rsidRPr="0091366C">
        <w:t>. (Silver Spring, 2001).</w:t>
      </w:r>
    </w:p>
    <w:p w:rsidR="0091366C" w:rsidRPr="0091366C" w:rsidRDefault="0091366C" w:rsidP="0091366C">
      <w:pPr>
        <w:pStyle w:val="Bibliography"/>
      </w:pPr>
      <w:r w:rsidRPr="0091366C">
        <w:t>4.</w:t>
      </w:r>
      <w:r w:rsidRPr="0091366C">
        <w:tab/>
        <w:t xml:space="preserve">ISO. </w:t>
      </w:r>
      <w:r w:rsidRPr="0091366C">
        <w:rPr>
          <w:i/>
          <w:iCs/>
        </w:rPr>
        <w:t>Microbiology of Food and Animal Feeding Stuffs: Horizontal Method for the Enumeration of Coliforms: Colony-Count Technique: International Organization for Standardization (ISO)</w:t>
      </w:r>
      <w:r w:rsidRPr="0091366C">
        <w:t>. (2006).</w:t>
      </w:r>
    </w:p>
    <w:p w:rsidR="0091366C" w:rsidRPr="0091366C" w:rsidRDefault="0091366C" w:rsidP="0091366C">
      <w:pPr>
        <w:pStyle w:val="Bibliography"/>
      </w:pPr>
      <w:r w:rsidRPr="0091366C">
        <w:t>5.</w:t>
      </w:r>
      <w:r w:rsidRPr="0091366C">
        <w:tab/>
        <w:t xml:space="preserve">Cappuccino, J. G. &amp; Sherman, N. </w:t>
      </w:r>
      <w:r w:rsidRPr="0091366C">
        <w:rPr>
          <w:i/>
          <w:iCs/>
        </w:rPr>
        <w:t>Microbiology: A Laboratory Manual</w:t>
      </w:r>
      <w:r w:rsidRPr="0091366C">
        <w:t>. (Pearson Education, Boston, 2014).</w:t>
      </w:r>
    </w:p>
    <w:p w:rsidR="0091366C" w:rsidRPr="0091366C" w:rsidRDefault="0091366C" w:rsidP="0091366C">
      <w:pPr>
        <w:pStyle w:val="Bibliography"/>
      </w:pPr>
      <w:r w:rsidRPr="0091366C">
        <w:t>6.</w:t>
      </w:r>
      <w:r w:rsidRPr="0091366C">
        <w:tab/>
        <w:t xml:space="preserve">Garrido, A. </w:t>
      </w:r>
      <w:r w:rsidRPr="0091366C">
        <w:rPr>
          <w:i/>
          <w:iCs/>
        </w:rPr>
        <w:t>et al.</w:t>
      </w:r>
      <w:r w:rsidRPr="0091366C">
        <w:t xml:space="preserve"> Development of a multiplex real-time PCR method for simultaneous detection of Salmonella enterica, Shigella </w:t>
      </w:r>
      <w:proofErr w:type="spellStart"/>
      <w:r w:rsidRPr="0091366C">
        <w:t>flexneri</w:t>
      </w:r>
      <w:proofErr w:type="spellEnd"/>
      <w:r w:rsidRPr="0091366C">
        <w:t xml:space="preserve"> and Listeria monocytogenes in processed food samples. </w:t>
      </w:r>
      <w:r w:rsidRPr="0091366C">
        <w:rPr>
          <w:i/>
          <w:iCs/>
        </w:rPr>
        <w:t>Eur. Food Res. Technol.</w:t>
      </w:r>
      <w:r w:rsidRPr="0091366C">
        <w:t xml:space="preserve"> </w:t>
      </w:r>
      <w:r w:rsidRPr="0091366C">
        <w:rPr>
          <w:b/>
          <w:bCs/>
        </w:rPr>
        <w:t>234</w:t>
      </w:r>
      <w:r w:rsidRPr="0091366C">
        <w:t>, 571–580 (2012).</w:t>
      </w:r>
    </w:p>
    <w:p w:rsidR="0091366C" w:rsidRPr="0091366C" w:rsidRDefault="0091366C" w:rsidP="0091366C">
      <w:pPr>
        <w:pStyle w:val="Bibliography"/>
      </w:pPr>
      <w:r w:rsidRPr="0091366C">
        <w:t>7.</w:t>
      </w:r>
      <w:r w:rsidRPr="0091366C">
        <w:tab/>
        <w:t xml:space="preserve">Islam, A. </w:t>
      </w:r>
      <w:r w:rsidRPr="0091366C">
        <w:rPr>
          <w:i/>
          <w:iCs/>
        </w:rPr>
        <w:t>et al.</w:t>
      </w:r>
      <w:r w:rsidRPr="0091366C">
        <w:t xml:space="preserve"> Epidemiology and Molecular Characterization of Rotavirus A in Fruit Bats in Bangladesh. </w:t>
      </w:r>
      <w:proofErr w:type="spellStart"/>
      <w:r w:rsidRPr="0091366C">
        <w:rPr>
          <w:i/>
          <w:iCs/>
        </w:rPr>
        <w:t>EcoHealth</w:t>
      </w:r>
      <w:proofErr w:type="spellEnd"/>
      <w:r w:rsidRPr="0091366C">
        <w:t xml:space="preserve"> </w:t>
      </w:r>
      <w:r w:rsidRPr="0091366C">
        <w:rPr>
          <w:b/>
          <w:bCs/>
        </w:rPr>
        <w:t>17</w:t>
      </w:r>
      <w:r w:rsidRPr="0091366C">
        <w:t>, 398–405 (2020).</w:t>
      </w:r>
    </w:p>
    <w:p w:rsidR="0091366C" w:rsidRPr="0091366C" w:rsidRDefault="0091366C" w:rsidP="0091366C">
      <w:pPr>
        <w:pStyle w:val="Bibliography"/>
      </w:pPr>
      <w:r w:rsidRPr="0091366C">
        <w:lastRenderedPageBreak/>
        <w:t>8.</w:t>
      </w:r>
      <w:r w:rsidRPr="0091366C">
        <w:tab/>
      </w:r>
      <w:proofErr w:type="spellStart"/>
      <w:r w:rsidRPr="0091366C">
        <w:t>Köppel</w:t>
      </w:r>
      <w:proofErr w:type="spellEnd"/>
      <w:r w:rsidRPr="0091366C">
        <w:t xml:space="preserve">, R., </w:t>
      </w:r>
      <w:proofErr w:type="spellStart"/>
      <w:r w:rsidRPr="0091366C">
        <w:t>Tolido</w:t>
      </w:r>
      <w:proofErr w:type="spellEnd"/>
      <w:r w:rsidRPr="0091366C">
        <w:t xml:space="preserve">, I., Marti, G. &amp; </w:t>
      </w:r>
      <w:proofErr w:type="spellStart"/>
      <w:r w:rsidRPr="0091366C">
        <w:t>Peier</w:t>
      </w:r>
      <w:proofErr w:type="spellEnd"/>
      <w:r w:rsidRPr="0091366C">
        <w:t xml:space="preserve">, M. Detection of DNA from Escherichia coli, Clostridium perfringens, Staphylococcus aureus and Bacillus cereus after simplified enrichment using a novel multiplex real-time PCR system. </w:t>
      </w:r>
      <w:r w:rsidRPr="0091366C">
        <w:rPr>
          <w:i/>
          <w:iCs/>
        </w:rPr>
        <w:t>Eur. Food Res. Technol.</w:t>
      </w:r>
      <w:r w:rsidRPr="0091366C">
        <w:t xml:space="preserve"> </w:t>
      </w:r>
      <w:r w:rsidRPr="0091366C">
        <w:rPr>
          <w:b/>
          <w:bCs/>
        </w:rPr>
        <w:t>243</w:t>
      </w:r>
      <w:r w:rsidRPr="0091366C">
        <w:t>, 521–530 (2017).</w:t>
      </w:r>
    </w:p>
    <w:p w:rsidR="0091366C" w:rsidRPr="0091366C" w:rsidRDefault="0091366C" w:rsidP="0091366C">
      <w:pPr>
        <w:pStyle w:val="Bibliography"/>
      </w:pPr>
      <w:r w:rsidRPr="0091366C">
        <w:t>9.</w:t>
      </w:r>
      <w:r w:rsidRPr="0091366C">
        <w:tab/>
        <w:t xml:space="preserve">Leone, C. M. </w:t>
      </w:r>
      <w:r w:rsidRPr="0091366C">
        <w:rPr>
          <w:i/>
          <w:iCs/>
        </w:rPr>
        <w:t>et al.</w:t>
      </w:r>
      <w:r w:rsidRPr="0091366C">
        <w:t xml:space="preserve"> Prevalence of Human Noroviruses in Commercial Food Establishment Bathrooms. </w:t>
      </w:r>
      <w:r w:rsidRPr="0091366C">
        <w:rPr>
          <w:i/>
          <w:iCs/>
        </w:rPr>
        <w:t>J. Food Prot.</w:t>
      </w:r>
      <w:r w:rsidRPr="0091366C">
        <w:t xml:space="preserve"> </w:t>
      </w:r>
      <w:r w:rsidRPr="0091366C">
        <w:rPr>
          <w:b/>
          <w:bCs/>
        </w:rPr>
        <w:t>81</w:t>
      </w:r>
      <w:r w:rsidRPr="0091366C">
        <w:t>, 719–728 (2018).</w:t>
      </w:r>
    </w:p>
    <w:p w:rsidR="0091366C" w:rsidRPr="0091366C" w:rsidRDefault="0091366C" w:rsidP="0091366C">
      <w:pPr>
        <w:pStyle w:val="Bibliography"/>
      </w:pPr>
      <w:r w:rsidRPr="0091366C">
        <w:t>10.</w:t>
      </w:r>
      <w:r w:rsidRPr="0091366C">
        <w:tab/>
        <w:t xml:space="preserve">Li, B., Liu, H. &amp; Wang, W. Multiplex real-time PCR assay for detection of Escherichia coli O157:H7 and screening for non-O157 Shiga toxin-producing E. coli. </w:t>
      </w:r>
      <w:r w:rsidRPr="0091366C">
        <w:rPr>
          <w:i/>
          <w:iCs/>
        </w:rPr>
        <w:t>BMC Microbiol.</w:t>
      </w:r>
      <w:r w:rsidRPr="0091366C">
        <w:t xml:space="preserve"> </w:t>
      </w:r>
      <w:r w:rsidRPr="0091366C">
        <w:rPr>
          <w:b/>
          <w:bCs/>
        </w:rPr>
        <w:t>17</w:t>
      </w:r>
      <w:r w:rsidRPr="0091366C">
        <w:t>, 215 (2017).</w:t>
      </w:r>
    </w:p>
    <w:p w:rsidR="0091366C" w:rsidRPr="0091366C" w:rsidRDefault="0091366C" w:rsidP="0091366C">
      <w:pPr>
        <w:pStyle w:val="Bibliography"/>
      </w:pPr>
      <w:r w:rsidRPr="0091366C">
        <w:t>11.</w:t>
      </w:r>
      <w:r w:rsidRPr="0091366C">
        <w:tab/>
        <w:t xml:space="preserve">Park, J. Y., Jeon, S., Kim, J. Y., Park, M. &amp; Kim, S. Multiplex Real-time Polymerase Chain Reaction Assays for Simultaneous Detection of Vibrio cholerae, Vibrio parahaemolyticus, and Vibrio vulnificus. </w:t>
      </w:r>
      <w:proofErr w:type="spellStart"/>
      <w:r w:rsidRPr="0091366C">
        <w:rPr>
          <w:i/>
          <w:iCs/>
        </w:rPr>
        <w:t>Osong</w:t>
      </w:r>
      <w:proofErr w:type="spellEnd"/>
      <w:r w:rsidRPr="0091366C">
        <w:rPr>
          <w:i/>
          <w:iCs/>
        </w:rPr>
        <w:t xml:space="preserve"> Public Health Res. </w:t>
      </w:r>
      <w:proofErr w:type="spellStart"/>
      <w:r w:rsidRPr="0091366C">
        <w:rPr>
          <w:i/>
          <w:iCs/>
        </w:rPr>
        <w:t>Perspect</w:t>
      </w:r>
      <w:proofErr w:type="spellEnd"/>
      <w:r w:rsidRPr="0091366C">
        <w:rPr>
          <w:i/>
          <w:iCs/>
        </w:rPr>
        <w:t>.</w:t>
      </w:r>
      <w:r w:rsidRPr="0091366C">
        <w:t xml:space="preserve"> </w:t>
      </w:r>
      <w:r w:rsidRPr="0091366C">
        <w:rPr>
          <w:b/>
          <w:bCs/>
        </w:rPr>
        <w:t>4</w:t>
      </w:r>
      <w:r w:rsidRPr="0091366C">
        <w:t>, 133–139 (2013).</w:t>
      </w:r>
    </w:p>
    <w:p w:rsidR="0091366C" w:rsidRPr="0091366C" w:rsidRDefault="0091366C" w:rsidP="0091366C">
      <w:pPr>
        <w:pStyle w:val="Bibliography"/>
      </w:pPr>
      <w:r w:rsidRPr="0091366C">
        <w:t>12.</w:t>
      </w:r>
      <w:r w:rsidRPr="0091366C">
        <w:tab/>
        <w:t xml:space="preserve">Yang, C., Jiang, Y., Huang, K., Zhu, C. &amp; Yin, Y. Application of real-time PCR for quantitative detection of </w:t>
      </w:r>
      <w:r w:rsidRPr="0091366C">
        <w:rPr>
          <w:i/>
          <w:iCs/>
        </w:rPr>
        <w:t xml:space="preserve">Campylobacter </w:t>
      </w:r>
      <w:proofErr w:type="spellStart"/>
      <w:r w:rsidRPr="0091366C">
        <w:rPr>
          <w:i/>
          <w:iCs/>
        </w:rPr>
        <w:t>jejuni</w:t>
      </w:r>
      <w:proofErr w:type="spellEnd"/>
      <w:r w:rsidRPr="0091366C">
        <w:t xml:space="preserve"> in poultry, milk and environmental water. </w:t>
      </w:r>
      <w:r w:rsidRPr="0091366C">
        <w:rPr>
          <w:i/>
          <w:iCs/>
        </w:rPr>
        <w:t>FEMS Immunol. Med. Microbiol.</w:t>
      </w:r>
      <w:r w:rsidRPr="0091366C">
        <w:t xml:space="preserve"> </w:t>
      </w:r>
      <w:r w:rsidRPr="0091366C">
        <w:rPr>
          <w:b/>
          <w:bCs/>
        </w:rPr>
        <w:t>38</w:t>
      </w:r>
      <w:r w:rsidRPr="0091366C">
        <w:t>, 265–271 (2003).</w:t>
      </w:r>
    </w:p>
    <w:p w:rsidR="0091366C" w:rsidRDefault="0091366C">
      <w:r w:rsidRPr="0091366C">
        <w:rPr>
          <w:rFonts w:ascii="Arial" w:hAnsi="Arial" w:cs="Arial"/>
        </w:rPr>
        <w:fldChar w:fldCharType="end"/>
      </w:r>
    </w:p>
    <w:p w:rsidR="0091366C" w:rsidRDefault="0091366C"/>
    <w:p w:rsidR="0091366C" w:rsidRDefault="0091366C"/>
    <w:p w:rsidR="00C116AE" w:rsidRPr="004B104E" w:rsidRDefault="00C116AE" w:rsidP="00C116AE">
      <w:pPr>
        <w:spacing w:before="100" w:beforeAutospacing="1" w:after="100" w:afterAutospacing="1" w:line="360" w:lineRule="auto"/>
        <w:contextualSpacing/>
        <w:rPr>
          <w:rFonts w:cs="Arial"/>
          <w:b/>
        </w:rPr>
        <w:sectPr w:rsidR="00C116AE" w:rsidRPr="004B104E" w:rsidSect="002639AA">
          <w:footerReference w:type="default" r:id="rId8"/>
          <w:pgSz w:w="12240" w:h="15840"/>
          <w:pgMar w:top="1440" w:right="1440" w:bottom="1440" w:left="1440" w:header="720" w:footer="720" w:gutter="0"/>
          <w:lnNumType w:countBy="1" w:restart="continuous"/>
          <w:cols w:space="720"/>
          <w:docGrid w:linePitch="360"/>
        </w:sectPr>
      </w:pPr>
    </w:p>
    <w:p w:rsidR="00593569" w:rsidRDefault="00593569" w:rsidP="00593569">
      <w:pPr>
        <w:rPr>
          <w:b/>
        </w:rPr>
      </w:pPr>
    </w:p>
    <w:sectPr w:rsidR="005935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04E" w:rsidRDefault="0074304E">
      <w:pPr>
        <w:spacing w:after="0" w:line="240" w:lineRule="auto"/>
      </w:pPr>
      <w:r>
        <w:separator/>
      </w:r>
    </w:p>
  </w:endnote>
  <w:endnote w:type="continuationSeparator" w:id="0">
    <w:p w:rsidR="0074304E" w:rsidRDefault="00743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6273923"/>
      <w:docPartObj>
        <w:docPartGallery w:val="Page Numbers (Bottom of Page)"/>
        <w:docPartUnique/>
      </w:docPartObj>
    </w:sdtPr>
    <w:sdtEndPr>
      <w:rPr>
        <w:noProof/>
      </w:rPr>
    </w:sdtEndPr>
    <w:sdtContent>
      <w:p w:rsidR="00837F5B" w:rsidRDefault="000D305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837F5B" w:rsidRDefault="00743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04E" w:rsidRDefault="0074304E">
      <w:pPr>
        <w:spacing w:after="0" w:line="240" w:lineRule="auto"/>
      </w:pPr>
      <w:r>
        <w:separator/>
      </w:r>
    </w:p>
  </w:footnote>
  <w:footnote w:type="continuationSeparator" w:id="0">
    <w:p w:rsidR="0074304E" w:rsidRDefault="007430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D3"/>
    <w:rsid w:val="000334FF"/>
    <w:rsid w:val="00034B11"/>
    <w:rsid w:val="00042B49"/>
    <w:rsid w:val="000673C5"/>
    <w:rsid w:val="000D3059"/>
    <w:rsid w:val="00160687"/>
    <w:rsid w:val="00227AA1"/>
    <w:rsid w:val="00270290"/>
    <w:rsid w:val="00375D42"/>
    <w:rsid w:val="003917C9"/>
    <w:rsid w:val="00412455"/>
    <w:rsid w:val="00494EF0"/>
    <w:rsid w:val="005013CE"/>
    <w:rsid w:val="00574A26"/>
    <w:rsid w:val="00593569"/>
    <w:rsid w:val="005C7774"/>
    <w:rsid w:val="00636DEE"/>
    <w:rsid w:val="0074304E"/>
    <w:rsid w:val="007F4BB2"/>
    <w:rsid w:val="00852431"/>
    <w:rsid w:val="008C554D"/>
    <w:rsid w:val="0091366C"/>
    <w:rsid w:val="00A07943"/>
    <w:rsid w:val="00B34DD3"/>
    <w:rsid w:val="00C03C35"/>
    <w:rsid w:val="00C116AE"/>
    <w:rsid w:val="00C6436B"/>
    <w:rsid w:val="00D74A7E"/>
    <w:rsid w:val="00F7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02C53"/>
  <w15:docId w15:val="{43493222-A451-493A-B282-FAE15235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66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5013CE"/>
    <w:pPr>
      <w:keepNext/>
      <w:spacing w:before="240" w:after="60" w:line="240" w:lineRule="auto"/>
      <w:outlineLvl w:val="2"/>
    </w:pPr>
    <w:rPr>
      <w:rFonts w:ascii="Arial" w:eastAsiaTheme="majorEastAsia" w:hAnsi="Arial" w:cstheme="majorBidi"/>
      <w:b/>
      <w:bCs/>
      <w:sz w:val="26"/>
      <w:szCs w:val="26"/>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4DD3"/>
    <w:rPr>
      <w:sz w:val="16"/>
      <w:szCs w:val="16"/>
    </w:rPr>
  </w:style>
  <w:style w:type="paragraph" w:styleId="BalloonText">
    <w:name w:val="Balloon Text"/>
    <w:basedOn w:val="Normal"/>
    <w:link w:val="BalloonTextChar"/>
    <w:uiPriority w:val="99"/>
    <w:semiHidden/>
    <w:unhideWhenUsed/>
    <w:rsid w:val="00B34D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DD3"/>
    <w:rPr>
      <w:rFonts w:ascii="Tahoma" w:hAnsi="Tahoma" w:cs="Tahoma"/>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customStyle="1" w:styleId="Heading3Char">
    <w:name w:val="Heading 3 Char"/>
    <w:basedOn w:val="DefaultParagraphFont"/>
    <w:link w:val="Heading3"/>
    <w:uiPriority w:val="9"/>
    <w:rsid w:val="005013CE"/>
    <w:rPr>
      <w:rFonts w:ascii="Arial" w:eastAsiaTheme="majorEastAsia" w:hAnsi="Arial" w:cstheme="majorBidi"/>
      <w:b/>
      <w:bCs/>
      <w:sz w:val="26"/>
      <w:szCs w:val="26"/>
      <w:lang w:val="en-GB"/>
    </w:rPr>
  </w:style>
  <w:style w:type="character" w:styleId="Strong">
    <w:name w:val="Strong"/>
    <w:basedOn w:val="DefaultParagraphFont"/>
    <w:uiPriority w:val="22"/>
    <w:qFormat/>
    <w:rsid w:val="005013CE"/>
    <w:rPr>
      <w:b/>
      <w:bCs/>
    </w:rPr>
  </w:style>
  <w:style w:type="paragraph" w:customStyle="1" w:styleId="isselectedend">
    <w:name w:val="isselectedend"/>
    <w:basedOn w:val="Normal"/>
    <w:rsid w:val="00636DE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36DE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116AE"/>
    <w:pPr>
      <w:tabs>
        <w:tab w:val="center" w:pos="4513"/>
        <w:tab w:val="right" w:pos="9026"/>
      </w:tabs>
      <w:spacing w:after="0" w:line="240" w:lineRule="auto"/>
    </w:pPr>
    <w:rPr>
      <w:rFonts w:ascii="Arial" w:eastAsiaTheme="minorEastAsia" w:hAnsi="Arial" w:cs="Times New Roman"/>
      <w:sz w:val="24"/>
      <w:szCs w:val="24"/>
      <w:lang w:val="en-GB"/>
    </w:rPr>
  </w:style>
  <w:style w:type="character" w:customStyle="1" w:styleId="FooterChar">
    <w:name w:val="Footer Char"/>
    <w:basedOn w:val="DefaultParagraphFont"/>
    <w:link w:val="Footer"/>
    <w:uiPriority w:val="99"/>
    <w:rsid w:val="00C116AE"/>
    <w:rPr>
      <w:rFonts w:ascii="Arial" w:eastAsiaTheme="minorEastAsia" w:hAnsi="Arial" w:cs="Times New Roman"/>
      <w:sz w:val="24"/>
      <w:szCs w:val="24"/>
      <w:lang w:val="en-GB"/>
    </w:rPr>
  </w:style>
  <w:style w:type="character" w:styleId="LineNumber">
    <w:name w:val="line number"/>
    <w:basedOn w:val="DefaultParagraphFont"/>
    <w:uiPriority w:val="99"/>
    <w:semiHidden/>
    <w:unhideWhenUsed/>
    <w:rsid w:val="00C116AE"/>
  </w:style>
  <w:style w:type="character" w:customStyle="1" w:styleId="Heading1Char">
    <w:name w:val="Heading 1 Char"/>
    <w:basedOn w:val="DefaultParagraphFont"/>
    <w:link w:val="Heading1"/>
    <w:uiPriority w:val="9"/>
    <w:rsid w:val="0091366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91366C"/>
    <w:pPr>
      <w:tabs>
        <w:tab w:val="left" w:pos="384"/>
      </w:tabs>
      <w:spacing w:after="0"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321041">
      <w:bodyDiv w:val="1"/>
      <w:marLeft w:val="0"/>
      <w:marRight w:val="0"/>
      <w:marTop w:val="0"/>
      <w:marBottom w:val="0"/>
      <w:divBdr>
        <w:top w:val="none" w:sz="0" w:space="0" w:color="auto"/>
        <w:left w:val="none" w:sz="0" w:space="0" w:color="auto"/>
        <w:bottom w:val="none" w:sz="0" w:space="0" w:color="auto"/>
        <w:right w:val="none" w:sz="0" w:space="0" w:color="auto"/>
      </w:divBdr>
    </w:div>
    <w:div w:id="500855076">
      <w:bodyDiv w:val="1"/>
      <w:marLeft w:val="0"/>
      <w:marRight w:val="0"/>
      <w:marTop w:val="0"/>
      <w:marBottom w:val="0"/>
      <w:divBdr>
        <w:top w:val="none" w:sz="0" w:space="0" w:color="auto"/>
        <w:left w:val="none" w:sz="0" w:space="0" w:color="auto"/>
        <w:bottom w:val="none" w:sz="0" w:space="0" w:color="auto"/>
        <w:right w:val="none" w:sz="0" w:space="0" w:color="auto"/>
      </w:divBdr>
    </w:div>
    <w:div w:id="664479465">
      <w:bodyDiv w:val="1"/>
      <w:marLeft w:val="0"/>
      <w:marRight w:val="0"/>
      <w:marTop w:val="0"/>
      <w:marBottom w:val="0"/>
      <w:divBdr>
        <w:top w:val="none" w:sz="0" w:space="0" w:color="auto"/>
        <w:left w:val="none" w:sz="0" w:space="0" w:color="auto"/>
        <w:bottom w:val="none" w:sz="0" w:space="0" w:color="auto"/>
        <w:right w:val="none" w:sz="0" w:space="0" w:color="auto"/>
      </w:divBdr>
    </w:div>
    <w:div w:id="1495875834">
      <w:bodyDiv w:val="1"/>
      <w:marLeft w:val="0"/>
      <w:marRight w:val="0"/>
      <w:marTop w:val="0"/>
      <w:marBottom w:val="0"/>
      <w:divBdr>
        <w:top w:val="none" w:sz="0" w:space="0" w:color="auto"/>
        <w:left w:val="none" w:sz="0" w:space="0" w:color="auto"/>
        <w:bottom w:val="none" w:sz="0" w:space="0" w:color="auto"/>
        <w:right w:val="none" w:sz="0" w:space="0" w:color="auto"/>
      </w:divBdr>
    </w:div>
    <w:div w:id="156640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C1712-ED05-443E-80B3-B0DB4961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10</Pages>
  <Words>3745</Words>
  <Characters>21347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Sanjida Alam</dc:creator>
  <cp:lastModifiedBy>Sanjida Alam</cp:lastModifiedBy>
  <cp:revision>4</cp:revision>
  <dcterms:created xsi:type="dcterms:W3CDTF">2026-06-08T09:04:00Z</dcterms:created>
  <dcterms:modified xsi:type="dcterms:W3CDTF">2026-07-21T03:24:00Z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id="22PMN4rg"/&gt;&lt;style id="http://www.zotero.org/styles/scientific-reports"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