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60732" w14:textId="77777777" w:rsidR="00602486" w:rsidRPr="00602486" w:rsidRDefault="00602486" w:rsidP="00602486">
      <w:pPr>
        <w:pStyle w:val="a8"/>
        <w:spacing w:after="240" w:line="480" w:lineRule="auto"/>
        <w:jc w:val="both"/>
        <w:rPr>
          <w:rFonts w:ascii="Times New Roman" w:hAnsi="Times New Roman" w:cs="Times New Roman"/>
          <w:sz w:val="44"/>
          <w:szCs w:val="44"/>
        </w:rPr>
      </w:pPr>
      <w:bookmarkStart w:id="0" w:name="OLE_LINK1"/>
      <w:r w:rsidRPr="00602486">
        <w:rPr>
          <w:rFonts w:ascii="Times New Roman" w:hAnsi="Times New Roman" w:cs="Times New Roman"/>
          <w:sz w:val="44"/>
          <w:szCs w:val="44"/>
          <w:lang w:bidi="ar"/>
        </w:rPr>
        <w:t>Supporting Information</w:t>
      </w:r>
    </w:p>
    <w:p w14:paraId="0618899E" w14:textId="77777777" w:rsidR="00602486" w:rsidRPr="00880CD5" w:rsidRDefault="00602486" w:rsidP="00602486">
      <w:pPr>
        <w:pStyle w:val="BGKeywords"/>
      </w:pPr>
      <w:bookmarkStart w:id="1" w:name="_Hlk229486041"/>
      <w:bookmarkStart w:id="2" w:name="OLE_LINK3"/>
      <w:bookmarkEnd w:id="0"/>
      <w:bookmarkEnd w:id="1"/>
      <w:r w:rsidRPr="00880CD5">
        <w:rPr>
          <w:b/>
          <w:bCs/>
        </w:rPr>
        <w:t>Encoding Intermittent Parathyroid Hormone Signals in Stem Cell Exosomes Enables Targeted Repair of Osteoporotic Bone Defects</w:t>
      </w:r>
    </w:p>
    <w:p w14:paraId="76643887" w14:textId="77777777" w:rsidR="00602486" w:rsidRPr="00880CD5" w:rsidRDefault="00602486" w:rsidP="00602486">
      <w:pPr>
        <w:pStyle w:val="BGKeywords"/>
        <w:rPr>
          <w:i/>
        </w:rPr>
      </w:pPr>
      <w:r w:rsidRPr="00880CD5">
        <w:rPr>
          <w:i/>
        </w:rPr>
        <w:t>Jiaqi Fang</w:t>
      </w:r>
      <w:r w:rsidRPr="009D0CF7">
        <w:rPr>
          <w:i/>
          <w:vertAlign w:val="superscript"/>
        </w:rPr>
        <w:t>1†</w:t>
      </w:r>
      <w:r w:rsidRPr="00880CD5">
        <w:rPr>
          <w:i/>
        </w:rPr>
        <w:t>, Yiqing Wu</w:t>
      </w:r>
      <w:r w:rsidRPr="009D0CF7">
        <w:rPr>
          <w:i/>
          <w:vertAlign w:val="superscript"/>
        </w:rPr>
        <w:t>2†</w:t>
      </w:r>
      <w:r w:rsidRPr="00880CD5">
        <w:rPr>
          <w:i/>
        </w:rPr>
        <w:t xml:space="preserve">, </w:t>
      </w:r>
      <w:proofErr w:type="spellStart"/>
      <w:r w:rsidRPr="00880CD5">
        <w:rPr>
          <w:i/>
        </w:rPr>
        <w:t>Xuehan</w:t>
      </w:r>
      <w:proofErr w:type="spellEnd"/>
      <w:r w:rsidRPr="00880CD5">
        <w:rPr>
          <w:i/>
        </w:rPr>
        <w:t xml:space="preserve"> Jin</w:t>
      </w:r>
      <w:r w:rsidRPr="009D0CF7">
        <w:rPr>
          <w:i/>
          <w:vertAlign w:val="superscript"/>
        </w:rPr>
        <w:t>1†</w:t>
      </w:r>
      <w:r w:rsidRPr="00880CD5">
        <w:rPr>
          <w:i/>
        </w:rPr>
        <w:t xml:space="preserve">, </w:t>
      </w:r>
      <w:proofErr w:type="spellStart"/>
      <w:r w:rsidRPr="00880CD5">
        <w:rPr>
          <w:i/>
        </w:rPr>
        <w:t>Xinhui</w:t>
      </w:r>
      <w:proofErr w:type="spellEnd"/>
      <w:r w:rsidRPr="00880CD5">
        <w:rPr>
          <w:i/>
        </w:rPr>
        <w:t xml:space="preserve"> Wu</w:t>
      </w:r>
      <w:r w:rsidRPr="009D0CF7">
        <w:rPr>
          <w:i/>
          <w:vertAlign w:val="superscript"/>
        </w:rPr>
        <w:t>1†</w:t>
      </w:r>
      <w:r w:rsidRPr="00880CD5">
        <w:rPr>
          <w:i/>
        </w:rPr>
        <w:t>, Bo Xu</w:t>
      </w:r>
      <w:r w:rsidRPr="009D0CF7">
        <w:rPr>
          <w:i/>
          <w:vertAlign w:val="superscript"/>
        </w:rPr>
        <w:t>3</w:t>
      </w:r>
      <w:r w:rsidRPr="00880CD5">
        <w:rPr>
          <w:i/>
        </w:rPr>
        <w:t xml:space="preserve">, </w:t>
      </w:r>
      <w:proofErr w:type="spellStart"/>
      <w:r w:rsidRPr="00880CD5">
        <w:rPr>
          <w:i/>
        </w:rPr>
        <w:t>Junkuan</w:t>
      </w:r>
      <w:proofErr w:type="spellEnd"/>
      <w:r w:rsidRPr="00880CD5">
        <w:rPr>
          <w:i/>
        </w:rPr>
        <w:t xml:space="preserve"> Shan</w:t>
      </w:r>
      <w:r w:rsidRPr="009D0CF7">
        <w:rPr>
          <w:i/>
          <w:vertAlign w:val="superscript"/>
        </w:rPr>
        <w:t>1</w:t>
      </w:r>
      <w:r w:rsidRPr="00880CD5">
        <w:rPr>
          <w:i/>
        </w:rPr>
        <w:t>, Liping Nan</w:t>
      </w:r>
      <w:r w:rsidRPr="009D0CF7">
        <w:rPr>
          <w:i/>
          <w:vertAlign w:val="superscript"/>
        </w:rPr>
        <w:t>1</w:t>
      </w:r>
      <w:r w:rsidRPr="00880CD5">
        <w:rPr>
          <w:i/>
        </w:rPr>
        <w:t xml:space="preserve">, </w:t>
      </w:r>
      <w:proofErr w:type="spellStart"/>
      <w:r w:rsidRPr="00880CD5">
        <w:rPr>
          <w:i/>
        </w:rPr>
        <w:t>Shuhao</w:t>
      </w:r>
      <w:proofErr w:type="spellEnd"/>
      <w:r w:rsidRPr="00880CD5">
        <w:rPr>
          <w:i/>
        </w:rPr>
        <w:t xml:space="preserve"> Liu</w:t>
      </w:r>
      <w:r w:rsidRPr="009D0CF7">
        <w:rPr>
          <w:i/>
          <w:vertAlign w:val="superscript"/>
        </w:rPr>
        <w:t>1</w:t>
      </w:r>
      <w:r w:rsidRPr="00880CD5">
        <w:rPr>
          <w:i/>
        </w:rPr>
        <w:t>, Wei Nie</w:t>
      </w:r>
      <w:r w:rsidRPr="009D0CF7">
        <w:rPr>
          <w:i/>
          <w:vertAlign w:val="superscript"/>
        </w:rPr>
        <w:t>1</w:t>
      </w:r>
      <w:r w:rsidRPr="00880CD5">
        <w:rPr>
          <w:i/>
        </w:rPr>
        <w:t xml:space="preserve">, </w:t>
      </w:r>
      <w:proofErr w:type="spellStart"/>
      <w:r w:rsidRPr="00880CD5">
        <w:rPr>
          <w:i/>
        </w:rPr>
        <w:t>Junjian</w:t>
      </w:r>
      <w:proofErr w:type="spellEnd"/>
      <w:r w:rsidRPr="00880CD5">
        <w:rPr>
          <w:i/>
        </w:rPr>
        <w:t xml:space="preserve"> Liu</w:t>
      </w:r>
      <w:r w:rsidRPr="009D0CF7">
        <w:rPr>
          <w:i/>
          <w:vertAlign w:val="superscript"/>
        </w:rPr>
        <w:t>1*</w:t>
      </w:r>
      <w:r w:rsidRPr="00880CD5">
        <w:rPr>
          <w:i/>
        </w:rPr>
        <w:t xml:space="preserve">, </w:t>
      </w:r>
      <w:proofErr w:type="spellStart"/>
      <w:r w:rsidRPr="00880CD5">
        <w:rPr>
          <w:i/>
        </w:rPr>
        <w:t>Jinghuan</w:t>
      </w:r>
      <w:proofErr w:type="spellEnd"/>
      <w:r w:rsidRPr="00880CD5">
        <w:rPr>
          <w:i/>
        </w:rPr>
        <w:t xml:space="preserve"> Huang</w:t>
      </w:r>
      <w:r w:rsidRPr="009D0CF7">
        <w:rPr>
          <w:i/>
          <w:vertAlign w:val="superscript"/>
        </w:rPr>
        <w:t>4*</w:t>
      </w:r>
      <w:r w:rsidRPr="00880CD5">
        <w:rPr>
          <w:i/>
        </w:rPr>
        <w:t>, Yuan Yuan</w:t>
      </w:r>
      <w:r w:rsidRPr="009D0CF7">
        <w:rPr>
          <w:i/>
          <w:vertAlign w:val="superscript"/>
        </w:rPr>
        <w:t>2*</w:t>
      </w:r>
      <w:r w:rsidRPr="00880CD5">
        <w:rPr>
          <w:i/>
        </w:rPr>
        <w:t xml:space="preserve"> and </w:t>
      </w:r>
      <w:proofErr w:type="spellStart"/>
      <w:r w:rsidRPr="00880CD5">
        <w:rPr>
          <w:i/>
        </w:rPr>
        <w:t>Zezhu</w:t>
      </w:r>
      <w:proofErr w:type="spellEnd"/>
      <w:r w:rsidRPr="00880CD5">
        <w:rPr>
          <w:i/>
        </w:rPr>
        <w:t xml:space="preserve"> Zhou</w:t>
      </w:r>
      <w:r w:rsidRPr="009D0CF7">
        <w:rPr>
          <w:i/>
          <w:vertAlign w:val="superscript"/>
        </w:rPr>
        <w:t>1*</w:t>
      </w:r>
    </w:p>
    <w:p w14:paraId="7DD993D7" w14:textId="77777777" w:rsidR="00602486" w:rsidRPr="00880CD5" w:rsidRDefault="00602486" w:rsidP="00602486">
      <w:pPr>
        <w:pStyle w:val="BGKeywords"/>
      </w:pPr>
      <w:r w:rsidRPr="00880CD5">
        <w:t>1 Department of Orthopedics, Shanghai Tenth People's Hospital, School of Medicine, Tongji University, Shanghai 200072, P. R. China.</w:t>
      </w:r>
    </w:p>
    <w:p w14:paraId="1F09A89A" w14:textId="77777777" w:rsidR="00602486" w:rsidRPr="00880CD5" w:rsidRDefault="00602486" w:rsidP="00602486">
      <w:pPr>
        <w:pStyle w:val="BGKeywords"/>
      </w:pPr>
      <w:r w:rsidRPr="00880CD5">
        <w:t xml:space="preserve">2 Key Laboratory for Ultrafine Materials of Ministry of Education, Frontiers Science Center for </w:t>
      </w:r>
      <w:proofErr w:type="spellStart"/>
      <w:r w:rsidRPr="00880CD5">
        <w:t>Materiobiology</w:t>
      </w:r>
      <w:proofErr w:type="spellEnd"/>
      <w:r w:rsidRPr="00880CD5">
        <w:t xml:space="preserve"> and Dynamic Chemistry and School of Materials Science and Engineering, East China University of Science and Technology, Shanghai 200237, China.</w:t>
      </w:r>
      <w:bookmarkStart w:id="3" w:name="_Hlk200228409"/>
      <w:bookmarkEnd w:id="3"/>
    </w:p>
    <w:p w14:paraId="5095DB69" w14:textId="77777777" w:rsidR="00602486" w:rsidRPr="00880CD5" w:rsidRDefault="00602486" w:rsidP="00602486">
      <w:pPr>
        <w:pStyle w:val="BGKeywords"/>
      </w:pPr>
      <w:r w:rsidRPr="00880CD5">
        <w:t>3 Department of Orthopedics, the First Affiliated Hospital of Bengbu Medical University, Bengbu, 233004, P. R. China.</w:t>
      </w:r>
    </w:p>
    <w:p w14:paraId="200F1F37" w14:textId="77777777" w:rsidR="00602486" w:rsidRPr="00880CD5" w:rsidRDefault="00602486" w:rsidP="00602486">
      <w:pPr>
        <w:pStyle w:val="BGKeywords"/>
      </w:pPr>
      <w:r w:rsidRPr="00880CD5">
        <w:t xml:space="preserve">4 National Center for </w:t>
      </w:r>
      <w:proofErr w:type="spellStart"/>
      <w:r w:rsidRPr="00880CD5">
        <w:t>Orthopaedics</w:t>
      </w:r>
      <w:proofErr w:type="spellEnd"/>
      <w:r w:rsidRPr="00880CD5">
        <w:t xml:space="preserve">, Department of </w:t>
      </w:r>
      <w:proofErr w:type="spellStart"/>
      <w:r w:rsidRPr="00880CD5">
        <w:t>Orthopaedics</w:t>
      </w:r>
      <w:proofErr w:type="spellEnd"/>
      <w:r w:rsidRPr="00880CD5">
        <w:t>, Shanghai Sixth People's Hospital Affiliated to Shanghai Jiao Tong University School of Medicine, Shanghai, 200233, P. R. China.</w:t>
      </w:r>
    </w:p>
    <w:bookmarkEnd w:id="2"/>
    <w:p w14:paraId="3F4D160E" w14:textId="77777777" w:rsidR="00602486" w:rsidRPr="00602486" w:rsidRDefault="00602486" w:rsidP="00602486">
      <w:pPr>
        <w:pStyle w:val="a3"/>
        <w:keepNext/>
        <w:jc w:val="left"/>
        <w:rPr>
          <w:rFonts w:ascii="Times New Roman" w:hAnsi="Times New Roman" w:cs="Times New Roman"/>
        </w:rPr>
      </w:pPr>
    </w:p>
    <w:p w14:paraId="6BE446F1" w14:textId="0EFE489A" w:rsidR="000602AD" w:rsidRDefault="00000000" w:rsidP="009A355B">
      <w:pPr>
        <w:pStyle w:val="a3"/>
        <w:keepNext/>
        <w:jc w:val="center"/>
        <w:rPr>
          <w:rFonts w:ascii="Times New Roman" w:hAnsi="Times New Roman" w:cs="Times New Roman"/>
        </w:rPr>
      </w:pPr>
      <w:r>
        <w:rPr>
          <w:rFonts w:ascii="Times New Roman" w:hAnsi="Times New Roman" w:cs="Times New Roman"/>
          <w:noProof/>
        </w:rPr>
        <w:drawing>
          <wp:inline distT="0" distB="0" distL="0" distR="0" wp14:anchorId="3699EBAC" wp14:editId="49F2FEA6">
            <wp:extent cx="1270635" cy="2719705"/>
            <wp:effectExtent l="0" t="0" r="5715"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270635" cy="2719705"/>
                    </a:xfrm>
                    <a:prstGeom prst="rect">
                      <a:avLst/>
                    </a:prstGeom>
                    <a:noFill/>
                    <a:ln>
                      <a:noFill/>
                    </a:ln>
                  </pic:spPr>
                </pic:pic>
              </a:graphicData>
            </a:graphic>
          </wp:inline>
        </w:drawing>
      </w:r>
    </w:p>
    <w:p w14:paraId="2F82860F" w14:textId="1C703990" w:rsidR="000602AD" w:rsidRDefault="00000000" w:rsidP="009A355B">
      <w:pPr>
        <w:keepNext/>
        <w:jc w:val="center"/>
        <w:rPr>
          <w:rFonts w:ascii="Times New Roman" w:hAnsi="Times New Roman" w:cs="Times New Roman"/>
        </w:rPr>
      </w:pPr>
      <w:r>
        <w:rPr>
          <w:rFonts w:ascii="Times New Roman" w:eastAsia="黑体" w:hAnsi="Times New Roman" w:cs="Times New Roman"/>
          <w:b/>
          <w:bCs/>
          <w:sz w:val="20"/>
          <w:szCs w:val="20"/>
        </w:rPr>
        <w:t xml:space="preserve">Figure S1. Macroscopic appearance of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suspended in phosphate-buffered saline, PBS.</w:t>
      </w:r>
      <w:r>
        <w:rPr>
          <w:rFonts w:ascii="Times New Roman" w:eastAsia="黑体" w:hAnsi="Times New Roman" w:cs="Times New Roman"/>
          <w:sz w:val="20"/>
          <w:szCs w:val="20"/>
        </w:rPr>
        <w:t xml:space="preserve"> Photograph of extracted </w:t>
      </w:r>
      <w:proofErr w:type="spellStart"/>
      <w:r>
        <w:rPr>
          <w:rFonts w:ascii="Times New Roman" w:eastAsia="黑体" w:hAnsi="Times New Roman" w:cs="Times New Roman"/>
          <w:sz w:val="20"/>
          <w:szCs w:val="20"/>
        </w:rPr>
        <w:t>iEXOs</w:t>
      </w:r>
      <w:proofErr w:type="spellEnd"/>
      <w:r>
        <w:rPr>
          <w:rFonts w:ascii="Times New Roman" w:eastAsia="黑体" w:hAnsi="Times New Roman" w:cs="Times New Roman"/>
          <w:sz w:val="20"/>
          <w:szCs w:val="20"/>
        </w:rPr>
        <w:t xml:space="preserve"> dispersed in PBS, showing the characteristic </w:t>
      </w:r>
      <w:r w:rsidR="00751EFA">
        <w:rPr>
          <w:rFonts w:ascii="Times New Roman" w:eastAsia="黑体" w:hAnsi="Times New Roman" w:cs="Times New Roman"/>
          <w:sz w:val="20"/>
          <w:szCs w:val="20"/>
        </w:rPr>
        <w:t>pale-yellow</w:t>
      </w:r>
      <w:r>
        <w:rPr>
          <w:rFonts w:ascii="Times New Roman" w:eastAsia="黑体" w:hAnsi="Times New Roman" w:cs="Times New Roman"/>
          <w:sz w:val="20"/>
          <w:szCs w:val="20"/>
        </w:rPr>
        <w:t xml:space="preserve"> coloration consistent with small extracellular vesicle suspensions.</w:t>
      </w:r>
      <w:r>
        <w:rPr>
          <w:rFonts w:ascii="Times New Roman" w:hAnsi="Times New Roman" w:cs="Times New Roman"/>
        </w:rPr>
        <w:t xml:space="preserve"> </w:t>
      </w:r>
      <w:r>
        <w:rPr>
          <w:rFonts w:ascii="Times New Roman" w:eastAsia="黑体" w:hAnsi="Times New Roman" w:cs="Times New Roman"/>
          <w:noProof/>
          <w:sz w:val="20"/>
          <w:szCs w:val="20"/>
        </w:rPr>
        <w:drawing>
          <wp:inline distT="0" distB="0" distL="0" distR="0" wp14:anchorId="0A2005FE" wp14:editId="09929308">
            <wp:extent cx="3074035" cy="144970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9"/>
                    <a:stretch>
                      <a:fillRect/>
                    </a:stretch>
                  </pic:blipFill>
                  <pic:spPr>
                    <a:xfrm>
                      <a:off x="0" y="0"/>
                      <a:ext cx="3085250" cy="1454963"/>
                    </a:xfrm>
                    <a:prstGeom prst="rect">
                      <a:avLst/>
                    </a:prstGeom>
                  </pic:spPr>
                </pic:pic>
              </a:graphicData>
            </a:graphic>
          </wp:inline>
        </w:drawing>
      </w:r>
    </w:p>
    <w:p w14:paraId="3D5DC6B0" w14:textId="77777777" w:rsidR="000602AD" w:rsidRDefault="00000000" w:rsidP="009A355B">
      <w:pPr>
        <w:pStyle w:val="a3"/>
        <w:keepNext/>
        <w:rPr>
          <w:rFonts w:ascii="Times New Roman" w:hAnsi="Times New Roman" w:cs="Times New Roman"/>
        </w:rPr>
      </w:pPr>
      <w:r>
        <w:rPr>
          <w:rFonts w:ascii="Times New Roman" w:hAnsi="Times New Roman" w:cs="Times New Roman"/>
          <w:b/>
          <w:bCs/>
        </w:rPr>
        <w:t xml:space="preserve">Figure S2. Dose-dependent cytotoxicity screening of </w:t>
      </w:r>
      <w:proofErr w:type="spellStart"/>
      <w:r>
        <w:rPr>
          <w:rFonts w:ascii="Times New Roman" w:hAnsi="Times New Roman" w:cs="Times New Roman"/>
          <w:b/>
          <w:bCs/>
        </w:rPr>
        <w:t>cEXOs</w:t>
      </w:r>
      <w:proofErr w:type="spellEnd"/>
      <w:r>
        <w:rPr>
          <w:rFonts w:ascii="Times New Roman" w:hAnsi="Times New Roman" w:cs="Times New Roman"/>
          <w:b/>
          <w:bCs/>
        </w:rPr>
        <w:t xml:space="preserve"> and EXOs.</w:t>
      </w:r>
      <w:r>
        <w:rPr>
          <w:rFonts w:ascii="Times New Roman" w:hAnsi="Times New Roman" w:cs="Times New Roman"/>
        </w:rPr>
        <w:t xml:space="preserve"> A) Cell viability of bone marrow mesenchymal stem cells, BMSCs, treated with increasing concentrations of </w:t>
      </w:r>
      <w:proofErr w:type="spellStart"/>
      <w:r>
        <w:rPr>
          <w:rFonts w:ascii="Times New Roman" w:hAnsi="Times New Roman" w:cs="Times New Roman"/>
        </w:rPr>
        <w:t>cEXOs</w:t>
      </w:r>
      <w:proofErr w:type="spellEnd"/>
      <w:r>
        <w:rPr>
          <w:rFonts w:ascii="Times New Roman" w:hAnsi="Times New Roman" w:cs="Times New Roman"/>
        </w:rPr>
        <w:t xml:space="preserve"> for 48 h, assessed by CCK-8 assay. B) Cell viability of BMSCs treated with EXOs at concentrations of 0, 25, 50, </w:t>
      </w:r>
      <w:r>
        <w:rPr>
          <w:rFonts w:ascii="Times New Roman" w:hAnsi="Times New Roman" w:cs="Times New Roman"/>
        </w:rPr>
        <w:lastRenderedPageBreak/>
        <w:t xml:space="preserve">100, and 200 </w:t>
      </w:r>
      <w:proofErr w:type="spellStart"/>
      <w:r>
        <w:rPr>
          <w:rFonts w:ascii="Times New Roman" w:hAnsi="Times New Roman" w:cs="Times New Roman"/>
        </w:rPr>
        <w:t>μg</w:t>
      </w:r>
      <w:proofErr w:type="spellEnd"/>
      <w:r>
        <w:rPr>
          <w:rFonts w:ascii="Times New Roman" w:hAnsi="Times New Roman" w:cs="Times New Roman"/>
        </w:rPr>
        <w:t xml:space="preserve"> mL⁻¹ for 48 h. Data are presented as mean ± SD; n = 5 independent experiments.</w:t>
      </w:r>
    </w:p>
    <w:p w14:paraId="519C3497" w14:textId="2FD06CC2" w:rsidR="000602AD" w:rsidRDefault="00000000" w:rsidP="009A355B">
      <w:pPr>
        <w:keepNext/>
        <w:jc w:val="center"/>
        <w:rPr>
          <w:rFonts w:ascii="Times New Roman" w:hAnsi="Times New Roman" w:cs="Times New Roman"/>
        </w:rPr>
      </w:pPr>
      <w:r>
        <w:rPr>
          <w:rFonts w:ascii="Times New Roman" w:hAnsi="Times New Roman" w:cs="Times New Roman"/>
          <w:noProof/>
        </w:rPr>
        <w:drawing>
          <wp:inline distT="0" distB="0" distL="0" distR="0" wp14:anchorId="571F3E65" wp14:editId="4C4800EF">
            <wp:extent cx="4889384" cy="6686550"/>
            <wp:effectExtent l="0" t="0" r="6985"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889384" cy="6686550"/>
                    </a:xfrm>
                    <a:prstGeom prst="rect">
                      <a:avLst/>
                    </a:prstGeom>
                  </pic:spPr>
                </pic:pic>
              </a:graphicData>
            </a:graphic>
          </wp:inline>
        </w:drawing>
      </w:r>
    </w:p>
    <w:p w14:paraId="709A58D9" w14:textId="77777777" w:rsidR="000602AD" w:rsidRDefault="00000000" w:rsidP="009A355B">
      <w:pPr>
        <w:keepNext/>
        <w:jc w:val="center"/>
        <w:rPr>
          <w:rFonts w:ascii="Times New Roman" w:hAnsi="Times New Roman" w:cs="Times New Roman"/>
        </w:rPr>
      </w:pPr>
      <w:r>
        <w:rPr>
          <w:rFonts w:ascii="Times New Roman" w:eastAsia="黑体" w:hAnsi="Times New Roman" w:cs="Times New Roman"/>
          <w:b/>
          <w:bCs/>
          <w:sz w:val="20"/>
          <w:szCs w:val="20"/>
        </w:rPr>
        <w:t xml:space="preserve">Figure S3. Comparative metabolomic and proteomic profiling of EXOs and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w:t>
      </w:r>
      <w:r>
        <w:rPr>
          <w:rFonts w:ascii="Times New Roman" w:eastAsia="黑体" w:hAnsi="Times New Roman" w:cs="Times New Roman"/>
          <w:sz w:val="20"/>
          <w:szCs w:val="20"/>
        </w:rPr>
        <w:t xml:space="preserve"> A) Heatmap of differentially expressed metabolites between EXO and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xml:space="preserve"> groups; red indicates upregulated and blue indicates downregulated metabolites. B</w:t>
      </w:r>
      <w:r>
        <w:rPr>
          <w:rFonts w:ascii="Times New Roman" w:eastAsia="黑体" w:hAnsi="Times New Roman" w:cs="Times New Roman" w:hint="eastAsia"/>
          <w:sz w:val="20"/>
          <w:szCs w:val="20"/>
        </w:rPr>
        <w:t>)</w:t>
      </w:r>
      <w:r>
        <w:rPr>
          <w:rFonts w:ascii="Times New Roman" w:eastAsia="黑体" w:hAnsi="Times New Roman" w:cs="Times New Roman"/>
          <w:sz w:val="20"/>
          <w:szCs w:val="20"/>
        </w:rPr>
        <w:t xml:space="preserve"> Heatmap of differentially expressed Proteomic between EXO and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xml:space="preserve"> groups.</w:t>
      </w:r>
      <w:r>
        <w:rPr>
          <w:rFonts w:ascii="Times New Roman" w:eastAsia="黑体" w:hAnsi="Times New Roman" w:cs="Times New Roman" w:hint="eastAsia"/>
          <w:sz w:val="20"/>
          <w:szCs w:val="20"/>
        </w:rPr>
        <w:t xml:space="preserve"> C</w:t>
      </w:r>
      <w:r>
        <w:rPr>
          <w:rFonts w:ascii="Times New Roman" w:eastAsia="黑体" w:hAnsi="Times New Roman" w:cs="Times New Roman"/>
          <w:sz w:val="20"/>
          <w:szCs w:val="20"/>
        </w:rPr>
        <w:t xml:space="preserve">) Metabolomic loading plot illustrating the distribution of major contributing metabolites. </w:t>
      </w:r>
      <w:r>
        <w:rPr>
          <w:rFonts w:ascii="Times New Roman" w:eastAsia="黑体" w:hAnsi="Times New Roman" w:cs="Times New Roman" w:hint="eastAsia"/>
          <w:sz w:val="20"/>
          <w:szCs w:val="20"/>
        </w:rPr>
        <w:t>D</w:t>
      </w:r>
      <w:r>
        <w:rPr>
          <w:rFonts w:ascii="Times New Roman" w:eastAsia="黑体" w:hAnsi="Times New Roman" w:cs="Times New Roman"/>
          <w:sz w:val="20"/>
          <w:szCs w:val="20"/>
        </w:rPr>
        <w:t>) Proteomic loading plot revealing the contribution of key differentially expressed proteins.</w:t>
      </w:r>
      <w:r>
        <w:rPr>
          <w:rFonts w:ascii="Times New Roman" w:eastAsia="黑体" w:hAnsi="Times New Roman" w:cs="Times New Roman" w:hint="eastAsia"/>
          <w:sz w:val="20"/>
          <w:szCs w:val="20"/>
        </w:rPr>
        <w:t xml:space="preserve"> </w:t>
      </w:r>
      <w:r>
        <w:rPr>
          <w:rFonts w:ascii="Times New Roman" w:hAnsi="Times New Roman" w:cs="Times New Roman"/>
          <w:noProof/>
        </w:rPr>
        <w:lastRenderedPageBreak/>
        <w:drawing>
          <wp:inline distT="0" distB="0" distL="0" distR="0" wp14:anchorId="58A4EEAF" wp14:editId="318230CE">
            <wp:extent cx="5151576" cy="3572510"/>
            <wp:effectExtent l="0" t="0" r="0" b="889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151576" cy="3572510"/>
                    </a:xfrm>
                    <a:prstGeom prst="rect">
                      <a:avLst/>
                    </a:prstGeom>
                  </pic:spPr>
                </pic:pic>
              </a:graphicData>
            </a:graphic>
          </wp:inline>
        </w:drawing>
      </w:r>
    </w:p>
    <w:p w14:paraId="6C4F6E6C" w14:textId="77777777" w:rsidR="000602AD" w:rsidRDefault="00000000" w:rsidP="009A355B">
      <w:pPr>
        <w:keepNext/>
        <w:rPr>
          <w:rFonts w:ascii="Times New Roman" w:eastAsia="黑体" w:hAnsi="Times New Roman" w:cs="Times New Roman"/>
          <w:sz w:val="20"/>
          <w:szCs w:val="20"/>
        </w:rPr>
      </w:pPr>
      <w:r>
        <w:rPr>
          <w:rFonts w:ascii="Times New Roman" w:eastAsia="黑体" w:hAnsi="Times New Roman" w:cs="Times New Roman"/>
          <w:b/>
          <w:bCs/>
          <w:sz w:val="20"/>
          <w:szCs w:val="20"/>
        </w:rPr>
        <w:t xml:space="preserve">Figure S4. Comprehensive metabolomic and proteomic comparison of </w:t>
      </w:r>
      <w:proofErr w:type="spellStart"/>
      <w:r>
        <w:rPr>
          <w:rFonts w:ascii="Times New Roman" w:eastAsia="黑体" w:hAnsi="Times New Roman" w:cs="Times New Roman"/>
          <w:b/>
          <w:bCs/>
          <w:sz w:val="20"/>
          <w:szCs w:val="20"/>
        </w:rPr>
        <w:t>cEXOs</w:t>
      </w:r>
      <w:proofErr w:type="spellEnd"/>
      <w:r>
        <w:rPr>
          <w:rFonts w:ascii="Times New Roman" w:eastAsia="黑体" w:hAnsi="Times New Roman" w:cs="Times New Roman"/>
          <w:b/>
          <w:bCs/>
          <w:sz w:val="20"/>
          <w:szCs w:val="20"/>
        </w:rPr>
        <w:t xml:space="preserve"> and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w:t>
      </w:r>
    </w:p>
    <w:p w14:paraId="3E4C0D29" w14:textId="1BC6CF46" w:rsidR="000602AD" w:rsidRDefault="00000000" w:rsidP="009A355B">
      <w:pPr>
        <w:keepNext/>
        <w:rPr>
          <w:rFonts w:ascii="Times New Roman" w:eastAsia="黑体" w:hAnsi="Times New Roman" w:cs="Times New Roman"/>
          <w:sz w:val="20"/>
          <w:szCs w:val="20"/>
        </w:rPr>
      </w:pPr>
      <w:r>
        <w:rPr>
          <w:rFonts w:ascii="Times New Roman" w:eastAsia="黑体" w:hAnsi="Times New Roman" w:cs="Times New Roman"/>
          <w:sz w:val="20"/>
          <w:szCs w:val="20"/>
        </w:rPr>
        <w:t xml:space="preserve">A–C) Metabolomic analysis. A) Volcano plot of differentially expressed metabolites between </w:t>
      </w:r>
      <w:proofErr w:type="spellStart"/>
      <w:r>
        <w:rPr>
          <w:rFonts w:ascii="Times New Roman" w:eastAsia="黑体" w:hAnsi="Times New Roman" w:cs="Times New Roman"/>
          <w:sz w:val="20"/>
          <w:szCs w:val="20"/>
        </w:rPr>
        <w:t>cEXO</w:t>
      </w:r>
      <w:proofErr w:type="spellEnd"/>
      <w:r>
        <w:rPr>
          <w:rFonts w:ascii="Times New Roman" w:eastAsia="黑体" w:hAnsi="Times New Roman" w:cs="Times New Roman"/>
          <w:sz w:val="20"/>
          <w:szCs w:val="20"/>
        </w:rPr>
        <w:t xml:space="preserve"> and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xml:space="preserve"> groups. B) Bar chart and C) bubble plot of KEGG pathway enrichment for differential metabolites. D–L) Proteomic analysis. D) Volcano plot of differentially expressed proteins. E, I) Hierarchical clustering heatmaps of differentially expressed proteins. F) Scatter plot and G) circular diagram of KEGG pathway enrichment (rings: pathway categories, pathway names, gene counts, significance). H) Bar chart of significantly enriched KEGG pathways. J) Integrated scatter plot revealing pathway-level changes across proteomic and metabolomic dimensions.</w:t>
      </w:r>
    </w:p>
    <w:p w14:paraId="06A1B557" w14:textId="77777777" w:rsidR="000602AD" w:rsidRDefault="000602AD" w:rsidP="009A355B">
      <w:pPr>
        <w:keepNext/>
        <w:rPr>
          <w:rFonts w:ascii="Times New Roman" w:hAnsi="Times New Roman" w:cs="Times New Roman"/>
        </w:rPr>
      </w:pPr>
    </w:p>
    <w:p w14:paraId="04B67D1C" w14:textId="77777777" w:rsidR="000602AD" w:rsidRDefault="00000000" w:rsidP="009A355B">
      <w:pPr>
        <w:keepNext/>
        <w:jc w:val="center"/>
        <w:rPr>
          <w:rFonts w:hint="eastAsia"/>
        </w:rPr>
      </w:pPr>
      <w:r>
        <w:rPr>
          <w:rFonts w:ascii="Times New Roman" w:hAnsi="Times New Roman" w:cs="Times New Roman"/>
          <w:noProof/>
        </w:rPr>
        <w:drawing>
          <wp:inline distT="0" distB="0" distL="0" distR="0" wp14:anchorId="389CA7E8" wp14:editId="6CE24B71">
            <wp:extent cx="5274310" cy="1600200"/>
            <wp:effectExtent l="0" t="0" r="254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274310" cy="1600200"/>
                    </a:xfrm>
                    <a:prstGeom prst="rect">
                      <a:avLst/>
                    </a:prstGeom>
                  </pic:spPr>
                </pic:pic>
              </a:graphicData>
            </a:graphic>
          </wp:inline>
        </w:drawing>
      </w:r>
    </w:p>
    <w:p w14:paraId="67EA5EFB" w14:textId="77777777" w:rsidR="000602AD" w:rsidRDefault="00000000" w:rsidP="009A355B">
      <w:pPr>
        <w:pStyle w:val="a3"/>
        <w:rPr>
          <w:rFonts w:ascii="Times New Roman" w:hAnsi="Times New Roman" w:cs="Times New Roman"/>
          <w:b/>
          <w:bCs/>
        </w:rPr>
      </w:pPr>
      <w:r>
        <w:rPr>
          <w:rFonts w:ascii="Times New Roman" w:hAnsi="Times New Roman" w:cs="Times New Roman"/>
          <w:b/>
          <w:bCs/>
        </w:rPr>
        <w:t>Figure S</w:t>
      </w:r>
      <w:r>
        <w:rPr>
          <w:rFonts w:ascii="Times New Roman" w:hAnsi="Times New Roman" w:cs="Times New Roman" w:hint="eastAsia"/>
          <w:b/>
          <w:bCs/>
        </w:rPr>
        <w:t>5. A) Quantification of BMSC migration capacity in response to the three types of exosomes, B) Quantification of relative ALP activity and C) quantification of ARS activity.</w:t>
      </w:r>
    </w:p>
    <w:p w14:paraId="254AABC9" w14:textId="3C77A89B" w:rsidR="000602AD" w:rsidRDefault="00000000" w:rsidP="009A355B">
      <w:pPr>
        <w:keepNext/>
        <w:jc w:val="center"/>
        <w:rPr>
          <w:rFonts w:ascii="Times New Roman" w:hAnsi="Times New Roman" w:cs="Times New Roman"/>
        </w:rPr>
      </w:pPr>
      <w:r>
        <w:rPr>
          <w:rFonts w:ascii="Times New Roman" w:hAnsi="Times New Roman" w:cs="Times New Roman"/>
          <w:noProof/>
        </w:rPr>
        <w:lastRenderedPageBreak/>
        <w:drawing>
          <wp:inline distT="0" distB="0" distL="0" distR="0" wp14:anchorId="407517ED" wp14:editId="6723ABE6">
            <wp:extent cx="5274310" cy="3810000"/>
            <wp:effectExtent l="0" t="0" r="254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13"/>
                    <a:stretch>
                      <a:fillRect/>
                    </a:stretch>
                  </pic:blipFill>
                  <pic:spPr>
                    <a:xfrm>
                      <a:off x="0" y="0"/>
                      <a:ext cx="5274310" cy="3810000"/>
                    </a:xfrm>
                    <a:prstGeom prst="rect">
                      <a:avLst/>
                    </a:prstGeom>
                  </pic:spPr>
                </pic:pic>
              </a:graphicData>
            </a:graphic>
          </wp:inline>
        </w:drawing>
      </w:r>
    </w:p>
    <w:p w14:paraId="3CAD0760" w14:textId="77777777" w:rsidR="000602AD" w:rsidRDefault="00000000" w:rsidP="009A355B">
      <w:pPr>
        <w:keepNext/>
        <w:jc w:val="center"/>
        <w:rPr>
          <w:rFonts w:ascii="Times New Roman" w:hAnsi="Times New Roman" w:cs="Times New Roman"/>
        </w:rPr>
      </w:pPr>
      <w:r>
        <w:rPr>
          <w:rFonts w:ascii="Times New Roman" w:eastAsia="黑体" w:hAnsi="Times New Roman" w:cs="Times New Roman"/>
          <w:b/>
          <w:bCs/>
          <w:sz w:val="20"/>
          <w:szCs w:val="20"/>
        </w:rPr>
        <w:t>Figure S</w:t>
      </w:r>
      <w:r>
        <w:rPr>
          <w:rFonts w:ascii="Times New Roman" w:eastAsia="黑体" w:hAnsi="Times New Roman" w:cs="Times New Roman" w:hint="eastAsia"/>
          <w:b/>
          <w:bCs/>
          <w:sz w:val="20"/>
          <w:szCs w:val="20"/>
        </w:rPr>
        <w:t>6</w:t>
      </w:r>
      <w:r>
        <w:rPr>
          <w:rFonts w:ascii="Times New Roman" w:eastAsia="黑体" w:hAnsi="Times New Roman" w:cs="Times New Roman"/>
          <w:b/>
          <w:bCs/>
          <w:sz w:val="20"/>
          <w:szCs w:val="20"/>
        </w:rPr>
        <w:t xml:space="preserve">.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promote 3T3 fibroblast migration assessed by </w:t>
      </w:r>
      <w:proofErr w:type="spellStart"/>
      <w:r>
        <w:rPr>
          <w:rFonts w:ascii="Times New Roman" w:eastAsia="黑体" w:hAnsi="Times New Roman" w:cs="Times New Roman"/>
          <w:b/>
          <w:bCs/>
          <w:sz w:val="20"/>
          <w:szCs w:val="20"/>
        </w:rPr>
        <w:t>Transwell</w:t>
      </w:r>
      <w:proofErr w:type="spellEnd"/>
      <w:r>
        <w:rPr>
          <w:rFonts w:ascii="Times New Roman" w:eastAsia="黑体" w:hAnsi="Times New Roman" w:cs="Times New Roman"/>
          <w:b/>
          <w:bCs/>
          <w:sz w:val="20"/>
          <w:szCs w:val="20"/>
        </w:rPr>
        <w:t xml:space="preserve"> assay.</w:t>
      </w:r>
      <w:r>
        <w:rPr>
          <w:rFonts w:ascii="Times New Roman" w:eastAsia="黑体" w:hAnsi="Times New Roman" w:cs="Times New Roman"/>
          <w:sz w:val="20"/>
          <w:szCs w:val="20"/>
        </w:rPr>
        <w:t xml:space="preserve"> A) Representative crystal violet-stained images of 3T3 cells that migrated through the </w:t>
      </w:r>
      <w:proofErr w:type="spellStart"/>
      <w:r>
        <w:rPr>
          <w:rFonts w:ascii="Times New Roman" w:eastAsia="黑体" w:hAnsi="Times New Roman" w:cs="Times New Roman"/>
          <w:sz w:val="20"/>
          <w:szCs w:val="20"/>
        </w:rPr>
        <w:t>Transwell</w:t>
      </w:r>
      <w:proofErr w:type="spellEnd"/>
      <w:r>
        <w:rPr>
          <w:rFonts w:ascii="Times New Roman" w:eastAsia="黑体" w:hAnsi="Times New Roman" w:cs="Times New Roman"/>
          <w:sz w:val="20"/>
          <w:szCs w:val="20"/>
        </w:rPr>
        <w:t xml:space="preserve"> membrane following treatment with BLANK, EXO, </w:t>
      </w:r>
      <w:proofErr w:type="spellStart"/>
      <w:r>
        <w:rPr>
          <w:rFonts w:ascii="Times New Roman" w:eastAsia="黑体" w:hAnsi="Times New Roman" w:cs="Times New Roman"/>
          <w:sz w:val="20"/>
          <w:szCs w:val="20"/>
        </w:rPr>
        <w:t>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B) Quantification of migrated cell number per field. Data are presented as mean ± SD; n = 5 independent experiments. ***P &lt; 0.001, **P &lt; 0.01, *P &lt; 0.05 by one-way ANOVA with Tukey's post-hoc test.</w:t>
      </w:r>
      <w:r>
        <w:t xml:space="preserve"> </w:t>
      </w:r>
      <w:r>
        <w:rPr>
          <w:rFonts w:ascii="Times New Roman" w:eastAsia="黑体" w:hAnsi="Times New Roman" w:cs="Times New Roman"/>
          <w:noProof/>
          <w:sz w:val="20"/>
          <w:szCs w:val="20"/>
        </w:rPr>
        <w:drawing>
          <wp:inline distT="0" distB="0" distL="0" distR="0" wp14:anchorId="5E86775C" wp14:editId="679DF855">
            <wp:extent cx="5274310" cy="3320415"/>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a:stretch>
                      <a:fillRect/>
                    </a:stretch>
                  </pic:blipFill>
                  <pic:spPr>
                    <a:xfrm>
                      <a:off x="0" y="0"/>
                      <a:ext cx="5274310" cy="3320415"/>
                    </a:xfrm>
                    <a:prstGeom prst="rect">
                      <a:avLst/>
                    </a:prstGeom>
                  </pic:spPr>
                </pic:pic>
              </a:graphicData>
            </a:graphic>
          </wp:inline>
        </w:drawing>
      </w:r>
    </w:p>
    <w:p w14:paraId="5500C10B" w14:textId="77777777" w:rsidR="000602AD" w:rsidRDefault="00000000" w:rsidP="009A355B">
      <w:pPr>
        <w:keepNext/>
        <w:jc w:val="center"/>
        <w:rPr>
          <w:rFonts w:ascii="Times New Roman" w:hAnsi="Times New Roman" w:cs="Times New Roman"/>
        </w:rPr>
      </w:pPr>
      <w:r>
        <w:rPr>
          <w:rFonts w:ascii="Times New Roman" w:eastAsia="黑体" w:hAnsi="Times New Roman" w:cs="Times New Roman"/>
          <w:b/>
          <w:bCs/>
          <w:sz w:val="20"/>
          <w:szCs w:val="20"/>
        </w:rPr>
        <w:t>Figure S</w:t>
      </w:r>
      <w:r>
        <w:rPr>
          <w:rFonts w:ascii="Times New Roman" w:eastAsia="黑体" w:hAnsi="Times New Roman" w:cs="Times New Roman" w:hint="eastAsia"/>
          <w:b/>
          <w:bCs/>
          <w:sz w:val="20"/>
          <w:szCs w:val="20"/>
        </w:rPr>
        <w:t>7</w:t>
      </w:r>
      <w:r>
        <w:rPr>
          <w:rFonts w:ascii="Times New Roman" w:eastAsia="黑体" w:hAnsi="Times New Roman" w:cs="Times New Roman"/>
          <w:b/>
          <w:bCs/>
          <w:sz w:val="20"/>
          <w:szCs w:val="20"/>
        </w:rPr>
        <w:t xml:space="preserve">.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accelerate scratch wound closure in 3T3 fibroblasts.</w:t>
      </w:r>
      <w:r>
        <w:rPr>
          <w:rFonts w:ascii="Times New Roman" w:eastAsia="黑体" w:hAnsi="Times New Roman" w:cs="Times New Roman"/>
          <w:sz w:val="20"/>
          <w:szCs w:val="20"/>
        </w:rPr>
        <w:t xml:space="preserve"> A) Representative brightfield images of scratch wounds in 3T3 fibroblasts at 12 h after treatment with BLANK, EXO, </w:t>
      </w:r>
      <w:proofErr w:type="spellStart"/>
      <w:r>
        <w:rPr>
          <w:rFonts w:ascii="Times New Roman" w:eastAsia="黑体" w:hAnsi="Times New Roman" w:cs="Times New Roman"/>
          <w:sz w:val="20"/>
          <w:szCs w:val="20"/>
        </w:rPr>
        <w:lastRenderedPageBreak/>
        <w:t>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Red dashed lines demarcate wound boundaries. B) Quantification of wound closure area as a percentage of initial wound area.</w:t>
      </w:r>
      <w:r>
        <w:t xml:space="preserve"> </w:t>
      </w:r>
      <w:r>
        <w:rPr>
          <w:rFonts w:ascii="Times New Roman" w:eastAsia="黑体" w:hAnsi="Times New Roman" w:cs="Times New Roman"/>
          <w:noProof/>
          <w:sz w:val="20"/>
          <w:szCs w:val="20"/>
        </w:rPr>
        <w:drawing>
          <wp:inline distT="0" distB="0" distL="0" distR="0" wp14:anchorId="324CD502" wp14:editId="4894786E">
            <wp:extent cx="5274310" cy="3282950"/>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5"/>
                    <a:stretch>
                      <a:fillRect/>
                    </a:stretch>
                  </pic:blipFill>
                  <pic:spPr>
                    <a:xfrm>
                      <a:off x="0" y="0"/>
                      <a:ext cx="5274310" cy="3282950"/>
                    </a:xfrm>
                    <a:prstGeom prst="rect">
                      <a:avLst/>
                    </a:prstGeom>
                  </pic:spPr>
                </pic:pic>
              </a:graphicData>
            </a:graphic>
          </wp:inline>
        </w:drawing>
      </w:r>
    </w:p>
    <w:p w14:paraId="18FAB4AA" w14:textId="77777777" w:rsidR="000602AD" w:rsidRDefault="00000000" w:rsidP="009A355B">
      <w:pPr>
        <w:keepNext/>
        <w:rPr>
          <w:rFonts w:ascii="Times New Roman" w:hAnsi="Times New Roman" w:cs="Times New Roman"/>
        </w:rPr>
      </w:pPr>
      <w:r>
        <w:rPr>
          <w:rFonts w:ascii="Times New Roman" w:eastAsia="黑体" w:hAnsi="Times New Roman" w:cs="Times New Roman"/>
          <w:b/>
          <w:bCs/>
          <w:sz w:val="20"/>
          <w:szCs w:val="20"/>
        </w:rPr>
        <w:t>Figure S</w:t>
      </w:r>
      <w:r>
        <w:rPr>
          <w:rFonts w:ascii="Times New Roman" w:eastAsia="黑体" w:hAnsi="Times New Roman" w:cs="Times New Roman" w:hint="eastAsia"/>
          <w:b/>
          <w:bCs/>
          <w:sz w:val="20"/>
          <w:szCs w:val="20"/>
        </w:rPr>
        <w:t>8</w:t>
      </w:r>
      <w:r>
        <w:rPr>
          <w:rFonts w:ascii="Times New Roman" w:eastAsia="黑体" w:hAnsi="Times New Roman" w:cs="Times New Roman"/>
          <w:b/>
          <w:bCs/>
          <w:sz w:val="20"/>
          <w:szCs w:val="20"/>
        </w:rPr>
        <w:t xml:space="preserve">.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accelerate scratch wound closure in BMSCs.</w:t>
      </w:r>
      <w:r>
        <w:rPr>
          <w:rFonts w:ascii="Times New Roman" w:eastAsia="黑体" w:hAnsi="Times New Roman" w:cs="Times New Roman"/>
          <w:sz w:val="20"/>
          <w:szCs w:val="20"/>
        </w:rPr>
        <w:t> A) Representative brightfield images of scratch wounds in BMSCs at</w:t>
      </w:r>
      <w:r>
        <w:rPr>
          <w:rFonts w:ascii="Times New Roman" w:eastAsia="黑体" w:hAnsi="Times New Roman" w:cs="Times New Roman" w:hint="eastAsia"/>
          <w:sz w:val="20"/>
          <w:szCs w:val="20"/>
        </w:rPr>
        <w:t xml:space="preserve"> </w:t>
      </w:r>
      <w:r>
        <w:rPr>
          <w:rFonts w:ascii="Times New Roman" w:eastAsia="黑体" w:hAnsi="Times New Roman" w:cs="Times New Roman"/>
          <w:sz w:val="20"/>
          <w:szCs w:val="20"/>
        </w:rPr>
        <w:t xml:space="preserve">12 h after treatment with BLANK, EXO, </w:t>
      </w:r>
      <w:proofErr w:type="spellStart"/>
      <w:r>
        <w:rPr>
          <w:rFonts w:ascii="Times New Roman" w:eastAsia="黑体" w:hAnsi="Times New Roman" w:cs="Times New Roman"/>
          <w:sz w:val="20"/>
          <w:szCs w:val="20"/>
        </w:rPr>
        <w:t>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Red dashed lines demarcate wound boundaries. B) Quantification of wound closure area as a percentage of initial wound area. </w:t>
      </w:r>
    </w:p>
    <w:p w14:paraId="64F1A649" w14:textId="77777777" w:rsidR="000602AD" w:rsidRDefault="00000000" w:rsidP="009A355B">
      <w:pPr>
        <w:keepNext/>
        <w:rPr>
          <w:rFonts w:ascii="Times New Roman" w:hAnsi="Times New Roman" w:cs="Times New Roman"/>
        </w:rPr>
      </w:pPr>
      <w:r>
        <w:rPr>
          <w:rFonts w:ascii="Times New Roman" w:eastAsia="黑体" w:hAnsi="Times New Roman" w:cs="Times New Roman"/>
          <w:sz w:val="20"/>
          <w:szCs w:val="20"/>
        </w:rPr>
        <w:t>area. </w:t>
      </w:r>
      <w:r>
        <w:rPr>
          <w:rFonts w:ascii="Times New Roman" w:eastAsia="黑体" w:hAnsi="Times New Roman" w:cs="Times New Roman"/>
          <w:noProof/>
          <w:sz w:val="20"/>
          <w:szCs w:val="20"/>
        </w:rPr>
        <w:drawing>
          <wp:inline distT="0" distB="0" distL="0" distR="0" wp14:anchorId="02DCF17A" wp14:editId="71287CCE">
            <wp:extent cx="5274310" cy="2030095"/>
            <wp:effectExtent l="0" t="0" r="2540"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16"/>
                    <a:stretch>
                      <a:fillRect/>
                    </a:stretch>
                  </pic:blipFill>
                  <pic:spPr>
                    <a:xfrm>
                      <a:off x="0" y="0"/>
                      <a:ext cx="5274310" cy="2030095"/>
                    </a:xfrm>
                    <a:prstGeom prst="rect">
                      <a:avLst/>
                    </a:prstGeom>
                  </pic:spPr>
                </pic:pic>
              </a:graphicData>
            </a:graphic>
          </wp:inline>
        </w:drawing>
      </w:r>
    </w:p>
    <w:p w14:paraId="25853821" w14:textId="77777777" w:rsidR="000602AD" w:rsidRDefault="00000000" w:rsidP="009A355B">
      <w:pPr>
        <w:keepNext/>
        <w:jc w:val="center"/>
        <w:rPr>
          <w:rFonts w:ascii="Times New Roman" w:hAnsi="Times New Roman" w:cs="Times New Roman"/>
        </w:rPr>
      </w:pPr>
      <w:r>
        <w:rPr>
          <w:rFonts w:ascii="Times New Roman" w:eastAsia="黑体" w:hAnsi="Times New Roman" w:cs="Times New Roman"/>
          <w:b/>
          <w:bCs/>
          <w:sz w:val="20"/>
          <w:szCs w:val="20"/>
        </w:rPr>
        <w:t xml:space="preserve">Figure S9.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reduce intracellular reactive oxygen species levels.</w:t>
      </w:r>
      <w:r>
        <w:rPr>
          <w:rFonts w:ascii="Times New Roman" w:eastAsia="黑体" w:hAnsi="Times New Roman" w:cs="Times New Roman"/>
          <w:sz w:val="20"/>
          <w:szCs w:val="20"/>
        </w:rPr>
        <w:t xml:space="preserve"> A) Representative brightfield images, upper row, and DCFH-DA fluorescence images, lower row, of cells treated with BLANK, EXO, </w:t>
      </w:r>
      <w:proofErr w:type="spellStart"/>
      <w:r>
        <w:rPr>
          <w:rFonts w:ascii="Times New Roman" w:eastAsia="黑体" w:hAnsi="Times New Roman" w:cs="Times New Roman"/>
          <w:sz w:val="20"/>
          <w:szCs w:val="20"/>
        </w:rPr>
        <w:t>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xml:space="preserve">. Green fluorescence indicates intracellular ROS. Scale bar: 200 </w:t>
      </w:r>
      <w:proofErr w:type="spellStart"/>
      <w:r>
        <w:rPr>
          <w:rFonts w:ascii="Times New Roman" w:eastAsia="黑体" w:hAnsi="Times New Roman" w:cs="Times New Roman"/>
          <w:sz w:val="20"/>
          <w:szCs w:val="20"/>
        </w:rPr>
        <w:t>μm</w:t>
      </w:r>
      <w:proofErr w:type="spellEnd"/>
      <w:r>
        <w:rPr>
          <w:rFonts w:ascii="Times New Roman" w:eastAsia="黑体" w:hAnsi="Times New Roman" w:cs="Times New Roman"/>
          <w:sz w:val="20"/>
          <w:szCs w:val="20"/>
        </w:rPr>
        <w:t>. B) Quantification of relative DCFH-DA fluorescence intensity.</w:t>
      </w:r>
      <w:r>
        <w:t xml:space="preserve"> </w:t>
      </w:r>
      <w:r>
        <w:rPr>
          <w:rFonts w:ascii="Times New Roman" w:eastAsia="黑体" w:hAnsi="Times New Roman" w:cs="Times New Roman"/>
          <w:noProof/>
          <w:sz w:val="20"/>
          <w:szCs w:val="20"/>
        </w:rPr>
        <w:lastRenderedPageBreak/>
        <w:drawing>
          <wp:inline distT="0" distB="0" distL="0" distR="0" wp14:anchorId="3948E07A" wp14:editId="3BD8799E">
            <wp:extent cx="5274310" cy="3616960"/>
            <wp:effectExtent l="0" t="0" r="2540"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17"/>
                    <a:stretch>
                      <a:fillRect/>
                    </a:stretch>
                  </pic:blipFill>
                  <pic:spPr>
                    <a:xfrm>
                      <a:off x="0" y="0"/>
                      <a:ext cx="5274310" cy="3616960"/>
                    </a:xfrm>
                    <a:prstGeom prst="rect">
                      <a:avLst/>
                    </a:prstGeom>
                  </pic:spPr>
                </pic:pic>
              </a:graphicData>
            </a:graphic>
          </wp:inline>
        </w:drawing>
      </w:r>
    </w:p>
    <w:p w14:paraId="02C71C43" w14:textId="77777777" w:rsidR="000602AD" w:rsidRDefault="00000000" w:rsidP="009A355B">
      <w:pPr>
        <w:keepNext/>
        <w:rPr>
          <w:rFonts w:hint="eastAsia"/>
        </w:rPr>
      </w:pPr>
      <w:r>
        <w:rPr>
          <w:rFonts w:ascii="Times New Roman" w:eastAsia="黑体" w:hAnsi="Times New Roman" w:cs="Times New Roman"/>
          <w:b/>
          <w:bCs/>
          <w:sz w:val="20"/>
          <w:szCs w:val="20"/>
        </w:rPr>
        <w:t xml:space="preserve">Figure S10. </w:t>
      </w:r>
      <w:proofErr w:type="spellStart"/>
      <w:r>
        <w:rPr>
          <w:rFonts w:ascii="Times New Roman" w:eastAsia="黑体" w:hAnsi="Times New Roman" w:cs="Times New Roman"/>
          <w:b/>
          <w:bCs/>
          <w:sz w:val="20"/>
          <w:szCs w:val="20"/>
        </w:rPr>
        <w:t>iEXOs</w:t>
      </w:r>
      <w:proofErr w:type="spellEnd"/>
      <w:r>
        <w:rPr>
          <w:rFonts w:ascii="Times New Roman" w:eastAsia="黑体" w:hAnsi="Times New Roman" w:cs="Times New Roman"/>
          <w:b/>
          <w:bCs/>
          <w:sz w:val="20"/>
          <w:szCs w:val="20"/>
        </w:rPr>
        <w:t xml:space="preserve"> preserve mitochondrial membrane potential.</w:t>
      </w:r>
      <w:r>
        <w:rPr>
          <w:rFonts w:ascii="Times New Roman" w:eastAsia="黑体" w:hAnsi="Times New Roman" w:cs="Times New Roman"/>
          <w:sz w:val="20"/>
          <w:szCs w:val="20"/>
        </w:rPr>
        <w:t xml:space="preserve"> A) Representative JC-1 staining images of cells treated with BLANK, EXO, </w:t>
      </w:r>
      <w:proofErr w:type="spellStart"/>
      <w:r>
        <w:rPr>
          <w:rFonts w:ascii="Times New Roman" w:eastAsia="黑体" w:hAnsi="Times New Roman" w:cs="Times New Roman"/>
          <w:sz w:val="20"/>
          <w:szCs w:val="20"/>
        </w:rPr>
        <w:t>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 xml:space="preserve">. The upper row shows merged fluorescence, and the lower row shows separated channel images. Green fluorescence indicates JC-1 monomers in depolarized mitochondria; red fluorescence indicates JC-1 aggregates in polarized mitochondria. Scale bar: 400 </w:t>
      </w:r>
      <w:proofErr w:type="spellStart"/>
      <w:r>
        <w:rPr>
          <w:rFonts w:ascii="Times New Roman" w:eastAsia="黑体" w:hAnsi="Times New Roman" w:cs="Times New Roman"/>
          <w:sz w:val="20"/>
          <w:szCs w:val="20"/>
        </w:rPr>
        <w:t>μm</w:t>
      </w:r>
      <w:proofErr w:type="spellEnd"/>
      <w:r>
        <w:rPr>
          <w:rFonts w:ascii="Times New Roman" w:eastAsia="黑体" w:hAnsi="Times New Roman" w:cs="Times New Roman"/>
          <w:sz w:val="20"/>
          <w:szCs w:val="20"/>
        </w:rPr>
        <w:t xml:space="preserve">. B) Quantification of relative JC-1 monomer fluorescence intensity. C) Quantification of relative JC-1 aggregate fluorescence intensity. </w:t>
      </w:r>
      <w:proofErr w:type="spellStart"/>
      <w:r>
        <w:rPr>
          <w:rFonts w:ascii="Times New Roman" w:eastAsia="黑体" w:hAnsi="Times New Roman" w:cs="Times New Roman"/>
          <w:sz w:val="20"/>
          <w:szCs w:val="20"/>
        </w:rPr>
        <w:t>iEXO</w:t>
      </w:r>
      <w:proofErr w:type="spellEnd"/>
      <w:r>
        <w:rPr>
          <w:rFonts w:ascii="Times New Roman" w:eastAsia="黑体" w:hAnsi="Times New Roman" w:cs="Times New Roman"/>
          <w:sz w:val="20"/>
          <w:szCs w:val="20"/>
        </w:rPr>
        <w:t>-treated cells maintained significantly higher mitochondrial membrane potential compared with controls.</w:t>
      </w:r>
      <w:r>
        <w:rPr>
          <w:rFonts w:ascii="Times New Roman" w:hAnsi="Times New Roman" w:cs="Times New Roman"/>
        </w:rPr>
        <w:t xml:space="preserve"> </w:t>
      </w:r>
      <w:r>
        <w:rPr>
          <w:rFonts w:ascii="Times New Roman" w:hAnsi="Times New Roman" w:cs="Times New Roman"/>
          <w:noProof/>
        </w:rPr>
        <w:lastRenderedPageBreak/>
        <w:drawing>
          <wp:inline distT="0" distB="0" distL="0" distR="0" wp14:anchorId="7ABE7F4E" wp14:editId="7926DC87">
            <wp:extent cx="5274310" cy="4345305"/>
            <wp:effectExtent l="0" t="0" r="2540" b="762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8"/>
                    <a:stretch>
                      <a:fillRect/>
                    </a:stretch>
                  </pic:blipFill>
                  <pic:spPr>
                    <a:xfrm>
                      <a:off x="0" y="0"/>
                      <a:ext cx="5274310" cy="4345305"/>
                    </a:xfrm>
                    <a:prstGeom prst="rect">
                      <a:avLst/>
                    </a:prstGeom>
                  </pic:spPr>
                </pic:pic>
              </a:graphicData>
            </a:graphic>
          </wp:inline>
        </w:drawing>
      </w:r>
    </w:p>
    <w:p w14:paraId="2B93FAC0" w14:textId="77777777" w:rsidR="000602AD" w:rsidRDefault="00000000" w:rsidP="009A355B">
      <w:pPr>
        <w:pStyle w:val="a3"/>
        <w:rPr>
          <w:rFonts w:ascii="Times New Roman" w:hAnsi="Times New Roman" w:cs="Times New Roman"/>
        </w:rPr>
      </w:pPr>
      <w:r>
        <w:rPr>
          <w:rFonts w:ascii="Times New Roman" w:hAnsi="Times New Roman" w:cs="Times New Roman" w:hint="eastAsia"/>
          <w:b/>
          <w:bCs/>
        </w:rPr>
        <w:t xml:space="preserve">Figure S11. GSEA plots showing significant enrichment of representative gene sets in </w:t>
      </w:r>
      <w:proofErr w:type="spellStart"/>
      <w:r>
        <w:rPr>
          <w:rFonts w:ascii="Times New Roman" w:hAnsi="Times New Roman" w:cs="Times New Roman" w:hint="eastAsia"/>
          <w:b/>
          <w:bCs/>
        </w:rPr>
        <w:t>iEXO</w:t>
      </w:r>
      <w:proofErr w:type="spellEnd"/>
      <w:r>
        <w:rPr>
          <w:rFonts w:ascii="Times New Roman" w:hAnsi="Times New Roman" w:cs="Times New Roman" w:hint="eastAsia"/>
          <w:b/>
          <w:bCs/>
        </w:rPr>
        <w:t xml:space="preserve">-treated BMSCs, </w:t>
      </w:r>
      <w:r>
        <w:rPr>
          <w:rFonts w:ascii="Times New Roman" w:hAnsi="Times New Roman" w:cs="Times New Roman"/>
          <w:b/>
          <w:bCs/>
        </w:rPr>
        <w:t xml:space="preserve">including </w:t>
      </w:r>
      <w:r>
        <w:rPr>
          <w:rFonts w:ascii="Times New Roman" w:hAnsi="Times New Roman" w:cs="Times New Roman" w:hint="eastAsia"/>
          <w:b/>
          <w:bCs/>
        </w:rPr>
        <w:t xml:space="preserve">A) </w:t>
      </w:r>
      <w:r>
        <w:rPr>
          <w:rFonts w:ascii="Times New Roman" w:hAnsi="Times New Roman" w:cs="Times New Roman"/>
          <w:b/>
          <w:bCs/>
        </w:rPr>
        <w:t>mitochondrial proton-transporting ATP synthase complex</w:t>
      </w:r>
      <w:r>
        <w:rPr>
          <w:rFonts w:ascii="Times New Roman" w:hAnsi="Times New Roman" w:cs="Times New Roman" w:hint="eastAsia"/>
          <w:b/>
          <w:bCs/>
        </w:rPr>
        <w:t xml:space="preserve">, B) </w:t>
      </w:r>
      <w:r>
        <w:rPr>
          <w:rFonts w:ascii="Times New Roman" w:hAnsi="Times New Roman" w:cs="Times New Roman"/>
          <w:b/>
          <w:bCs/>
        </w:rPr>
        <w:t>proton motive force-driven mitochondrial ATP synthesis</w:t>
      </w:r>
      <w:r>
        <w:rPr>
          <w:rFonts w:ascii="Times New Roman" w:hAnsi="Times New Roman" w:cs="Times New Roman" w:hint="eastAsia"/>
          <w:b/>
          <w:bCs/>
        </w:rPr>
        <w:t>, C) mitophagy</w:t>
      </w:r>
      <w:r>
        <w:rPr>
          <w:rFonts w:ascii="Times New Roman" w:hAnsi="Times New Roman" w:cs="Times New Roman"/>
          <w:b/>
          <w:bCs/>
        </w:rPr>
        <w:t xml:space="preserve">, and </w:t>
      </w:r>
      <w:r>
        <w:rPr>
          <w:rFonts w:ascii="Times New Roman" w:hAnsi="Times New Roman" w:cs="Times New Roman" w:hint="eastAsia"/>
          <w:b/>
          <w:bCs/>
        </w:rPr>
        <w:t xml:space="preserve">D) </w:t>
      </w:r>
      <w:r>
        <w:rPr>
          <w:rFonts w:ascii="Times New Roman" w:hAnsi="Times New Roman" w:cs="Times New Roman"/>
          <w:b/>
          <w:bCs/>
        </w:rPr>
        <w:t xml:space="preserve">fibroblast growth factor </w:t>
      </w:r>
      <w:proofErr w:type="spellStart"/>
      <w:r>
        <w:rPr>
          <w:rFonts w:ascii="Times New Roman" w:hAnsi="Times New Roman" w:cs="Times New Roman"/>
          <w:b/>
          <w:bCs/>
        </w:rPr>
        <w:t>bindin</w:t>
      </w:r>
      <w:proofErr w:type="spellEnd"/>
      <w:r>
        <w:rPr>
          <w:rFonts w:ascii="Times New Roman" w:hAnsi="Times New Roman" w:cs="Times New Roman"/>
          <w:b/>
          <w:bCs/>
        </w:rPr>
        <w:t xml:space="preserve">. </w:t>
      </w:r>
      <w:r>
        <w:rPr>
          <w:rFonts w:ascii="Times New Roman" w:hAnsi="Times New Roman" w:cs="Times New Roman"/>
        </w:rPr>
        <w:t>Data represent n = 3 biologically independent samples per group.</w:t>
      </w:r>
    </w:p>
    <w:p w14:paraId="67076B5F" w14:textId="77777777" w:rsidR="000602AD" w:rsidRDefault="00000000" w:rsidP="009A355B">
      <w:pPr>
        <w:keepNext/>
        <w:rPr>
          <w:rFonts w:hint="eastAsia"/>
        </w:rPr>
      </w:pPr>
      <w:r>
        <w:rPr>
          <w:rFonts w:ascii="Times New Roman" w:eastAsia="黑体" w:hAnsi="Times New Roman" w:cs="Times New Roman"/>
          <w:sz w:val="20"/>
          <w:szCs w:val="20"/>
        </w:rPr>
        <w:t xml:space="preserve"> </w:t>
      </w:r>
      <w:r>
        <w:rPr>
          <w:rFonts w:ascii="Times New Roman" w:hAnsi="Times New Roman" w:cs="Times New Roman"/>
          <w:noProof/>
        </w:rPr>
        <w:drawing>
          <wp:inline distT="0" distB="0" distL="0" distR="0" wp14:anchorId="62E7175C" wp14:editId="5678090D">
            <wp:extent cx="5274310" cy="1497330"/>
            <wp:effectExtent l="0" t="0" r="254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9"/>
                    <a:stretch>
                      <a:fillRect/>
                    </a:stretch>
                  </pic:blipFill>
                  <pic:spPr>
                    <a:xfrm>
                      <a:off x="0" y="0"/>
                      <a:ext cx="5274310" cy="1497330"/>
                    </a:xfrm>
                    <a:prstGeom prst="rect">
                      <a:avLst/>
                    </a:prstGeom>
                  </pic:spPr>
                </pic:pic>
              </a:graphicData>
            </a:graphic>
          </wp:inline>
        </w:drawing>
      </w:r>
    </w:p>
    <w:p w14:paraId="22AF0144" w14:textId="77777777" w:rsidR="000602AD" w:rsidRDefault="00000000" w:rsidP="009A355B">
      <w:pPr>
        <w:pStyle w:val="a3"/>
        <w:rPr>
          <w:rFonts w:ascii="Times New Roman" w:hAnsi="Times New Roman" w:cs="Times New Roman"/>
        </w:rPr>
      </w:pPr>
      <w:r>
        <w:rPr>
          <w:rFonts w:ascii="Times New Roman" w:hAnsi="Times New Roman" w:cs="Times New Roman" w:hint="eastAsia"/>
          <w:b/>
          <w:bCs/>
        </w:rPr>
        <w:t>Figure S12</w:t>
      </w:r>
      <w:r>
        <w:rPr>
          <w:rFonts w:ascii="Times New Roman" w:hAnsi="Times New Roman" w:cs="Times New Roman"/>
          <w:b/>
          <w:bCs/>
        </w:rPr>
        <w:t> </w:t>
      </w:r>
      <w:r>
        <w:rPr>
          <w:rFonts w:ascii="Times New Roman" w:hAnsi="Times New Roman" w:cs="Times New Roman" w:hint="eastAsia"/>
          <w:b/>
          <w:bCs/>
        </w:rPr>
        <w:t>A</w:t>
      </w:r>
      <w:r>
        <w:rPr>
          <w:rFonts w:ascii="Times New Roman" w:hAnsi="Times New Roman" w:cs="Times New Roman"/>
          <w:b/>
          <w:bCs/>
        </w:rPr>
        <w:t>) Quantification of ALP activity at day 7. </w:t>
      </w:r>
      <w:r>
        <w:rPr>
          <w:rFonts w:ascii="Times New Roman" w:hAnsi="Times New Roman" w:cs="Times New Roman" w:hint="eastAsia"/>
          <w:b/>
          <w:bCs/>
        </w:rPr>
        <w:t>B</w:t>
      </w:r>
      <w:r>
        <w:rPr>
          <w:rFonts w:ascii="Times New Roman" w:hAnsi="Times New Roman" w:cs="Times New Roman"/>
          <w:b/>
          <w:bCs/>
        </w:rPr>
        <w:t>) Quantification of ARS staining intensity at day 21. </w:t>
      </w:r>
      <w:r>
        <w:rPr>
          <w:rFonts w:ascii="Times New Roman" w:hAnsi="Times New Roman" w:cs="Times New Roman" w:hint="eastAsia"/>
          <w:b/>
          <w:bCs/>
        </w:rPr>
        <w:t>C</w:t>
      </w:r>
      <w:r>
        <w:rPr>
          <w:rFonts w:ascii="Times New Roman" w:hAnsi="Times New Roman" w:cs="Times New Roman"/>
          <w:b/>
          <w:bCs/>
        </w:rPr>
        <w:t>) Quantification of Runx2 fluorescence intensity at day 14.</w:t>
      </w:r>
      <w:r>
        <w:rPr>
          <w:rFonts w:ascii="Times New Roman" w:hAnsi="Times New Roman" w:cs="Times New Roman"/>
          <w:noProof/>
        </w:rPr>
        <w:lastRenderedPageBreak/>
        <w:drawing>
          <wp:inline distT="0" distB="0" distL="0" distR="0" wp14:anchorId="56000F63" wp14:editId="5B5B36BC">
            <wp:extent cx="5274310" cy="2456180"/>
            <wp:effectExtent l="0" t="0" r="2540"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tretch>
                      <a:fillRect/>
                    </a:stretch>
                  </pic:blipFill>
                  <pic:spPr>
                    <a:xfrm>
                      <a:off x="0" y="0"/>
                      <a:ext cx="5274310" cy="2456180"/>
                    </a:xfrm>
                    <a:prstGeom prst="rect">
                      <a:avLst/>
                    </a:prstGeom>
                  </pic:spPr>
                </pic:pic>
              </a:graphicData>
            </a:graphic>
          </wp:inline>
        </w:drawing>
      </w:r>
    </w:p>
    <w:p w14:paraId="2ED05ACE" w14:textId="77777777" w:rsidR="000602AD" w:rsidRDefault="00000000" w:rsidP="009A355B">
      <w:pPr>
        <w:pStyle w:val="a3"/>
        <w:rPr>
          <w:rFonts w:ascii="Times New Roman" w:hAnsi="Times New Roman" w:cs="Times New Roman"/>
        </w:rPr>
      </w:pPr>
      <w:r>
        <w:rPr>
          <w:rFonts w:ascii="Times New Roman" w:hAnsi="Times New Roman" w:cs="Times New Roman"/>
          <w:b/>
          <w:bCs/>
        </w:rPr>
        <w:t>Figure S1</w:t>
      </w:r>
      <w:r>
        <w:rPr>
          <w:rFonts w:ascii="Times New Roman" w:hAnsi="Times New Roman" w:cs="Times New Roman" w:hint="eastAsia"/>
          <w:b/>
          <w:bCs/>
        </w:rPr>
        <w:t>3</w:t>
      </w:r>
      <w:r>
        <w:rPr>
          <w:rFonts w:ascii="Times New Roman" w:hAnsi="Times New Roman" w:cs="Times New Roman"/>
          <w:b/>
          <w:bCs/>
        </w:rPr>
        <w:t>. Transcriptomic analysis of differentially expressed genes between exosome groups.</w:t>
      </w:r>
      <w:r>
        <w:rPr>
          <w:rFonts w:ascii="Times New Roman" w:hAnsi="Times New Roman" w:cs="Times New Roman"/>
        </w:rPr>
        <w:t xml:space="preserve"> Volcano plots of differentially expressed genes, DEGs, identified by RNA sequencing. A) DEGs between </w:t>
      </w:r>
      <w:proofErr w:type="spellStart"/>
      <w:r>
        <w:rPr>
          <w:rFonts w:ascii="Times New Roman" w:hAnsi="Times New Roman" w:cs="Times New Roman"/>
        </w:rPr>
        <w:t>iEXO</w:t>
      </w:r>
      <w:proofErr w:type="spellEnd"/>
      <w:r>
        <w:rPr>
          <w:rFonts w:ascii="Times New Roman" w:hAnsi="Times New Roman" w:cs="Times New Roman"/>
        </w:rPr>
        <w:t xml:space="preserve"> and </w:t>
      </w:r>
      <w:proofErr w:type="spellStart"/>
      <w:r>
        <w:rPr>
          <w:rFonts w:ascii="Times New Roman" w:hAnsi="Times New Roman" w:cs="Times New Roman"/>
        </w:rPr>
        <w:t>cEXO</w:t>
      </w:r>
      <w:proofErr w:type="spellEnd"/>
      <w:r>
        <w:rPr>
          <w:rFonts w:ascii="Times New Roman" w:hAnsi="Times New Roman" w:cs="Times New Roman"/>
        </w:rPr>
        <w:t xml:space="preserve"> groups. B) DEGs between </w:t>
      </w:r>
      <w:proofErr w:type="spellStart"/>
      <w:r>
        <w:rPr>
          <w:rFonts w:ascii="Times New Roman" w:hAnsi="Times New Roman" w:cs="Times New Roman"/>
        </w:rPr>
        <w:t>cEXO</w:t>
      </w:r>
      <w:proofErr w:type="spellEnd"/>
      <w:r>
        <w:rPr>
          <w:rFonts w:ascii="Times New Roman" w:hAnsi="Times New Roman" w:cs="Times New Roman"/>
        </w:rPr>
        <w:t xml:space="preserve"> and EXO groups.</w:t>
      </w:r>
    </w:p>
    <w:p w14:paraId="0A386728" w14:textId="77777777" w:rsidR="000602AD" w:rsidRDefault="00000000" w:rsidP="009A355B">
      <w:pPr>
        <w:keepNext/>
        <w:rPr>
          <w:rFonts w:ascii="Times New Roman" w:hAnsi="Times New Roman" w:cs="Times New Roman"/>
        </w:rPr>
      </w:pPr>
      <w:r>
        <w:rPr>
          <w:rFonts w:ascii="Times New Roman" w:hAnsi="Times New Roman" w:cs="Times New Roman"/>
          <w:noProof/>
        </w:rPr>
        <w:drawing>
          <wp:inline distT="0" distB="0" distL="0" distR="0" wp14:anchorId="554FA81B" wp14:editId="6BF0FD88">
            <wp:extent cx="5274310" cy="4618990"/>
            <wp:effectExtent l="0" t="0" r="254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1"/>
                    <a:stretch>
                      <a:fillRect/>
                    </a:stretch>
                  </pic:blipFill>
                  <pic:spPr>
                    <a:xfrm>
                      <a:off x="0" y="0"/>
                      <a:ext cx="5274310" cy="4618990"/>
                    </a:xfrm>
                    <a:prstGeom prst="rect">
                      <a:avLst/>
                    </a:prstGeom>
                  </pic:spPr>
                </pic:pic>
              </a:graphicData>
            </a:graphic>
          </wp:inline>
        </w:drawing>
      </w:r>
    </w:p>
    <w:p w14:paraId="0400C73B" w14:textId="77777777" w:rsidR="00814805" w:rsidRDefault="00000000" w:rsidP="009A355B">
      <w:pPr>
        <w:keepNext/>
        <w:rPr>
          <w:noProof/>
        </w:rPr>
      </w:pPr>
      <w:bookmarkStart w:id="4" w:name="OLE_LINK2"/>
      <w:r>
        <w:rPr>
          <w:rFonts w:ascii="Times New Roman" w:eastAsia="黑体" w:hAnsi="Times New Roman" w:cs="Times New Roman"/>
          <w:b/>
          <w:bCs/>
          <w:sz w:val="20"/>
          <w:szCs w:val="20"/>
        </w:rPr>
        <w:t>Figure S1</w:t>
      </w:r>
      <w:r>
        <w:rPr>
          <w:rFonts w:ascii="Times New Roman" w:eastAsia="黑体" w:hAnsi="Times New Roman" w:cs="Times New Roman" w:hint="eastAsia"/>
          <w:b/>
          <w:bCs/>
          <w:sz w:val="20"/>
          <w:szCs w:val="20"/>
        </w:rPr>
        <w:t>4</w:t>
      </w:r>
      <w:r>
        <w:rPr>
          <w:rFonts w:ascii="Times New Roman" w:eastAsia="黑体" w:hAnsi="Times New Roman" w:cs="Times New Roman"/>
          <w:b/>
          <w:bCs/>
          <w:sz w:val="20"/>
          <w:szCs w:val="20"/>
        </w:rPr>
        <w:t xml:space="preserve">. </w:t>
      </w:r>
      <w:bookmarkEnd w:id="4"/>
      <w:r>
        <w:rPr>
          <w:rFonts w:ascii="Times New Roman" w:eastAsia="黑体" w:hAnsi="Times New Roman" w:cs="Times New Roman"/>
          <w:b/>
          <w:bCs/>
          <w:sz w:val="20"/>
          <w:szCs w:val="20"/>
        </w:rPr>
        <w:t>Cytocompatibility evaluation of hydrogel formulations across multiple cell lines.</w:t>
      </w:r>
      <w:r>
        <w:rPr>
          <w:rFonts w:ascii="Times New Roman" w:eastAsia="黑体" w:hAnsi="Times New Roman" w:cs="Times New Roman"/>
          <w:sz w:val="20"/>
          <w:szCs w:val="20"/>
        </w:rPr>
        <w:t xml:space="preserve"> A–C) Representative live/dead fluorescence images of A) BMSCs, B) human umbilical vein endothelial cells, HUVECs, and C) 3T3 fibroblasts cultured with PAS, PAS-MOS, PAS-MOS@EXO, </w:t>
      </w:r>
      <w:proofErr w:type="spellStart"/>
      <w:r>
        <w:rPr>
          <w:rFonts w:ascii="Times New Roman" w:eastAsia="黑体" w:hAnsi="Times New Roman" w:cs="Times New Roman"/>
          <w:sz w:val="20"/>
          <w:szCs w:val="20"/>
        </w:rPr>
        <w:t>PAS-MOS@cEXO</w:t>
      </w:r>
      <w:proofErr w:type="spellEnd"/>
      <w:r>
        <w:rPr>
          <w:rFonts w:ascii="Times New Roman" w:eastAsia="黑体" w:hAnsi="Times New Roman" w:cs="Times New Roman"/>
          <w:sz w:val="20"/>
          <w:szCs w:val="20"/>
        </w:rPr>
        <w:t xml:space="preserve">, or </w:t>
      </w:r>
      <w:proofErr w:type="spellStart"/>
      <w:r>
        <w:rPr>
          <w:rFonts w:ascii="Times New Roman" w:eastAsia="黑体" w:hAnsi="Times New Roman" w:cs="Times New Roman"/>
          <w:sz w:val="20"/>
          <w:szCs w:val="20"/>
        </w:rPr>
        <w:t>PAS-MOS@iEXO</w:t>
      </w:r>
      <w:proofErr w:type="spellEnd"/>
      <w:r>
        <w:rPr>
          <w:rFonts w:ascii="Times New Roman" w:eastAsia="黑体" w:hAnsi="Times New Roman" w:cs="Times New Roman"/>
          <w:sz w:val="20"/>
          <w:szCs w:val="20"/>
        </w:rPr>
        <w:t xml:space="preserve"> hydrogels. Live cells are stained green by Calcein-AM; dead cells are stained red </w:t>
      </w:r>
      <w:r>
        <w:rPr>
          <w:rFonts w:ascii="Times New Roman" w:eastAsia="黑体" w:hAnsi="Times New Roman" w:cs="Times New Roman"/>
          <w:sz w:val="20"/>
          <w:szCs w:val="20"/>
        </w:rPr>
        <w:lastRenderedPageBreak/>
        <w:t xml:space="preserve">by propidium iodide, PI. Scale bar: 400 </w:t>
      </w:r>
      <w:proofErr w:type="spellStart"/>
      <w:r>
        <w:rPr>
          <w:rFonts w:ascii="Times New Roman" w:eastAsia="黑体" w:hAnsi="Times New Roman" w:cs="Times New Roman"/>
          <w:sz w:val="20"/>
          <w:szCs w:val="20"/>
        </w:rPr>
        <w:t>μm</w:t>
      </w:r>
      <w:proofErr w:type="spellEnd"/>
      <w:r>
        <w:rPr>
          <w:rFonts w:ascii="Times New Roman" w:eastAsia="黑体" w:hAnsi="Times New Roman" w:cs="Times New Roman"/>
          <w:sz w:val="20"/>
          <w:szCs w:val="20"/>
        </w:rPr>
        <w:t xml:space="preserve">. D) CCK-8 quantification of cell viability across all five hydrogel formulations in the three cell lines. All </w:t>
      </w:r>
      <w:proofErr w:type="gramStart"/>
      <w:r>
        <w:rPr>
          <w:rFonts w:ascii="Times New Roman" w:eastAsia="黑体" w:hAnsi="Times New Roman" w:cs="Times New Roman"/>
          <w:sz w:val="20"/>
          <w:szCs w:val="20"/>
        </w:rPr>
        <w:t>groups maintained</w:t>
      </w:r>
      <w:proofErr w:type="gramEnd"/>
      <w:r>
        <w:rPr>
          <w:rFonts w:ascii="Times New Roman" w:eastAsia="黑体" w:hAnsi="Times New Roman" w:cs="Times New Roman"/>
          <w:sz w:val="20"/>
          <w:szCs w:val="20"/>
        </w:rPr>
        <w:t xml:space="preserve"> viability above 90%, confirming excellent cytocompatibility. Data are presented as mean ± SD; n = 3 independent experiments.</w:t>
      </w:r>
      <w:r w:rsidR="00814805" w:rsidRPr="00814805">
        <w:rPr>
          <w:noProof/>
        </w:rPr>
        <w:t xml:space="preserve"> </w:t>
      </w:r>
    </w:p>
    <w:p w14:paraId="3AFDBDCD" w14:textId="77777777" w:rsidR="00814805" w:rsidRDefault="00814805" w:rsidP="00814805">
      <w:pPr>
        <w:keepNext/>
        <w:jc w:val="center"/>
        <w:rPr>
          <w:rFonts w:hint="eastAsia"/>
        </w:rPr>
      </w:pPr>
      <w:r w:rsidRPr="00814805">
        <w:rPr>
          <w:rFonts w:ascii="Times New Roman" w:eastAsia="黑体" w:hAnsi="Times New Roman" w:cs="Times New Roman"/>
          <w:sz w:val="20"/>
          <w:szCs w:val="20"/>
        </w:rPr>
        <w:drawing>
          <wp:inline distT="0" distB="0" distL="0" distR="0" wp14:anchorId="2FC6BD8A" wp14:editId="078AF45B">
            <wp:extent cx="2988860" cy="1774388"/>
            <wp:effectExtent l="0" t="0" r="2540" b="0"/>
            <wp:docPr id="1673692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692682" name=""/>
                    <pic:cNvPicPr/>
                  </pic:nvPicPr>
                  <pic:blipFill>
                    <a:blip r:embed="rId22"/>
                    <a:stretch>
                      <a:fillRect/>
                    </a:stretch>
                  </pic:blipFill>
                  <pic:spPr>
                    <a:xfrm>
                      <a:off x="0" y="0"/>
                      <a:ext cx="3000071" cy="1781044"/>
                    </a:xfrm>
                    <a:prstGeom prst="rect">
                      <a:avLst/>
                    </a:prstGeom>
                  </pic:spPr>
                </pic:pic>
              </a:graphicData>
            </a:graphic>
          </wp:inline>
        </w:drawing>
      </w:r>
    </w:p>
    <w:p w14:paraId="3C0796D8" w14:textId="55C2C2A5" w:rsidR="000602AD" w:rsidRDefault="00814805" w:rsidP="00814805">
      <w:pPr>
        <w:keepNext/>
        <w:jc w:val="left"/>
        <w:rPr>
          <w:rFonts w:ascii="Times New Roman" w:hAnsi="Times New Roman" w:cs="Times New Roman"/>
        </w:rPr>
      </w:pPr>
      <w:r>
        <w:rPr>
          <w:rFonts w:ascii="Times New Roman" w:eastAsia="黑体" w:hAnsi="Times New Roman" w:cs="Times New Roman"/>
          <w:b/>
          <w:bCs/>
          <w:sz w:val="20"/>
          <w:szCs w:val="20"/>
        </w:rPr>
        <w:t>Figure</w:t>
      </w:r>
      <w:r>
        <w:rPr>
          <w:rFonts w:ascii="Times New Roman" w:eastAsia="黑体" w:hAnsi="Times New Roman" w:cs="Times New Roman" w:hint="eastAsia"/>
          <w:b/>
          <w:bCs/>
          <w:sz w:val="20"/>
          <w:szCs w:val="20"/>
        </w:rPr>
        <w:t xml:space="preserve"> S15</w:t>
      </w:r>
      <w:r>
        <w:rPr>
          <w:rFonts w:ascii="Times New Roman" w:eastAsia="黑体" w:hAnsi="Times New Roman" w:cs="Times New Roman"/>
          <w:b/>
          <w:bCs/>
          <w:sz w:val="20"/>
          <w:szCs w:val="20"/>
        </w:rPr>
        <w:t xml:space="preserve">. </w:t>
      </w:r>
      <w:r w:rsidRPr="00814805">
        <w:rPr>
          <w:rFonts w:ascii="Times New Roman" w:eastAsia="黑体" w:hAnsi="Times New Roman" w:cs="Times New Roman"/>
          <w:b/>
          <w:bCs/>
          <w:sz w:val="20"/>
          <w:szCs w:val="20"/>
        </w:rPr>
        <w:t xml:space="preserve">Curves of the cumulative release of exosomes from the </w:t>
      </w:r>
      <w:proofErr w:type="spellStart"/>
      <w:r w:rsidRPr="00814805">
        <w:rPr>
          <w:rFonts w:ascii="Times New Roman" w:eastAsia="黑体" w:hAnsi="Times New Roman" w:cs="Times New Roman"/>
          <w:b/>
          <w:bCs/>
          <w:sz w:val="20"/>
          <w:szCs w:val="20"/>
        </w:rPr>
        <w:t>iEXO@PM</w:t>
      </w:r>
      <w:proofErr w:type="spellEnd"/>
      <w:r>
        <w:rPr>
          <w:rFonts w:ascii="Times New Roman" w:eastAsia="黑体" w:hAnsi="Times New Roman" w:cs="Times New Roman" w:hint="eastAsia"/>
          <w:b/>
          <w:bCs/>
          <w:sz w:val="20"/>
          <w:szCs w:val="20"/>
        </w:rPr>
        <w:t xml:space="preserve"> </w:t>
      </w:r>
      <w:r w:rsidRPr="00814805">
        <w:rPr>
          <w:rFonts w:ascii="Times New Roman" w:eastAsia="黑体" w:hAnsi="Times New Roman" w:cs="Times New Roman"/>
          <w:b/>
          <w:bCs/>
          <w:sz w:val="20"/>
          <w:szCs w:val="20"/>
        </w:rPr>
        <w:t>hydrogel in vitro</w:t>
      </w:r>
      <w:r>
        <w:rPr>
          <w:rFonts w:ascii="Times New Roman" w:eastAsia="黑体" w:hAnsi="Times New Roman" w:cs="Times New Roman" w:hint="eastAsia"/>
          <w:b/>
          <w:bCs/>
          <w:sz w:val="20"/>
          <w:szCs w:val="20"/>
        </w:rPr>
        <w:t>.</w:t>
      </w:r>
      <w:r w:rsidR="00000000">
        <w:rPr>
          <w:rFonts w:ascii="Times New Roman" w:hAnsi="Times New Roman" w:cs="Times New Roman"/>
          <w:noProof/>
        </w:rPr>
        <w:drawing>
          <wp:inline distT="0" distB="0" distL="0" distR="0" wp14:anchorId="173B2F90" wp14:editId="549C632E">
            <wp:extent cx="5274310" cy="3058795"/>
            <wp:effectExtent l="0" t="0" r="2540"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3"/>
                    <a:stretch>
                      <a:fillRect/>
                    </a:stretch>
                  </pic:blipFill>
                  <pic:spPr>
                    <a:xfrm>
                      <a:off x="0" y="0"/>
                      <a:ext cx="5274310" cy="3058795"/>
                    </a:xfrm>
                    <a:prstGeom prst="rect">
                      <a:avLst/>
                    </a:prstGeom>
                  </pic:spPr>
                </pic:pic>
              </a:graphicData>
            </a:graphic>
          </wp:inline>
        </w:drawing>
      </w:r>
    </w:p>
    <w:p w14:paraId="0A32BF74" w14:textId="469D3FF5" w:rsidR="000602AD" w:rsidRDefault="00000000" w:rsidP="009A355B">
      <w:pPr>
        <w:keepNext/>
        <w:rPr>
          <w:rFonts w:ascii="Times New Roman" w:hAnsi="Times New Roman" w:cs="Times New Roman"/>
        </w:rPr>
      </w:pPr>
      <w:r>
        <w:rPr>
          <w:rFonts w:ascii="Times New Roman" w:hAnsi="Times New Roman" w:cs="Times New Roman"/>
          <w:b/>
          <w:bCs/>
        </w:rPr>
        <w:t>Figure S1</w:t>
      </w:r>
      <w:r w:rsidR="00365AB4">
        <w:rPr>
          <w:rFonts w:ascii="Times New Roman" w:hAnsi="Times New Roman" w:cs="Times New Roman" w:hint="eastAsia"/>
          <w:b/>
          <w:bCs/>
        </w:rPr>
        <w:t>6</w:t>
      </w:r>
      <w:r>
        <w:rPr>
          <w:rFonts w:ascii="Times New Roman" w:hAnsi="Times New Roman" w:cs="Times New Roman" w:hint="eastAsia"/>
          <w:b/>
          <w:bCs/>
        </w:rPr>
        <w:t>.</w:t>
      </w:r>
      <w:r>
        <w:rPr>
          <w:rFonts w:ascii="Times New Roman" w:hAnsi="Times New Roman" w:cs="Times New Roman"/>
          <w:b/>
          <w:bCs/>
        </w:rPr>
        <w:t xml:space="preserve"> Micro CT analysis of the distal femur in 3D profile(A), coronal (B), sagittal(C) and cross-sectional (D) positions in OVX rats.</w:t>
      </w:r>
      <w:r>
        <w:rPr>
          <w:rFonts w:ascii="Times New Roman" w:hAnsi="Times New Roman" w:cs="Times New Roman"/>
        </w:rPr>
        <w:t xml:space="preserve">  </w:t>
      </w:r>
      <w:r>
        <w:rPr>
          <w:rFonts w:ascii="Times New Roman" w:hAnsi="Times New Roman" w:cs="Times New Roman"/>
          <w:noProof/>
        </w:rPr>
        <w:lastRenderedPageBreak/>
        <w:drawing>
          <wp:inline distT="0" distB="0" distL="0" distR="0" wp14:anchorId="0E95BA93" wp14:editId="21234B3B">
            <wp:extent cx="5274310" cy="3578860"/>
            <wp:effectExtent l="0" t="0" r="2540" b="254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24"/>
                    <a:stretch>
                      <a:fillRect/>
                    </a:stretch>
                  </pic:blipFill>
                  <pic:spPr>
                    <a:xfrm>
                      <a:off x="0" y="0"/>
                      <a:ext cx="5274310" cy="3578860"/>
                    </a:xfrm>
                    <a:prstGeom prst="rect">
                      <a:avLst/>
                    </a:prstGeom>
                  </pic:spPr>
                </pic:pic>
              </a:graphicData>
            </a:graphic>
          </wp:inline>
        </w:drawing>
      </w:r>
    </w:p>
    <w:p w14:paraId="57E77698" w14:textId="31E0B665" w:rsidR="000602AD" w:rsidRDefault="00000000" w:rsidP="009A355B">
      <w:pPr>
        <w:keepNext/>
        <w:rPr>
          <w:rFonts w:ascii="Times New Roman" w:hAnsi="Times New Roman" w:cs="Times New Roman"/>
        </w:rPr>
      </w:pPr>
      <w:r>
        <w:rPr>
          <w:rFonts w:ascii="Times New Roman" w:eastAsia="黑体" w:hAnsi="Times New Roman" w:cs="Times New Roman"/>
          <w:b/>
          <w:bCs/>
          <w:sz w:val="20"/>
          <w:szCs w:val="20"/>
        </w:rPr>
        <w:t>Figure S1</w:t>
      </w:r>
      <w:r w:rsidR="00365AB4">
        <w:rPr>
          <w:rFonts w:ascii="Times New Roman" w:eastAsia="黑体" w:hAnsi="Times New Roman" w:cs="Times New Roman" w:hint="eastAsia"/>
          <w:b/>
          <w:bCs/>
          <w:sz w:val="20"/>
          <w:szCs w:val="20"/>
        </w:rPr>
        <w:t>7</w:t>
      </w:r>
      <w:r>
        <w:rPr>
          <w:rFonts w:ascii="Times New Roman" w:eastAsia="黑体" w:hAnsi="Times New Roman" w:cs="Times New Roman"/>
          <w:b/>
          <w:bCs/>
          <w:sz w:val="20"/>
          <w:szCs w:val="20"/>
        </w:rPr>
        <w:t>. Surgical procedures for ovariectomy-induced osteoporotic model establishment and hydrogel implantation.</w:t>
      </w:r>
      <w:r>
        <w:rPr>
          <w:rFonts w:ascii="Times New Roman" w:eastAsia="黑体" w:hAnsi="Times New Roman" w:cs="Times New Roman"/>
          <w:sz w:val="20"/>
          <w:szCs w:val="20"/>
        </w:rPr>
        <w:t xml:space="preserve"> A) Representative intraoperative photographs of the ovariectomy, OVX, procedure for establishing the osteoporotic </w:t>
      </w:r>
      <w:r w:rsidR="000050A2">
        <w:rPr>
          <w:rFonts w:ascii="Times New Roman" w:eastAsia="黑体" w:hAnsi="Times New Roman" w:cs="Times New Roman" w:hint="eastAsia"/>
          <w:sz w:val="20"/>
          <w:szCs w:val="20"/>
        </w:rPr>
        <w:t>rat</w:t>
      </w:r>
      <w:r>
        <w:rPr>
          <w:rFonts w:ascii="Times New Roman" w:eastAsia="黑体" w:hAnsi="Times New Roman" w:cs="Times New Roman"/>
          <w:sz w:val="20"/>
          <w:szCs w:val="20"/>
        </w:rPr>
        <w:t xml:space="preserve"> model, showing the surgical site and excised ovarian tissue. B–E) Intraoperative photographs demonstrating creation of an approximately 3 mm diameter bone defect at the distal femur using a </w:t>
      </w:r>
      <w:proofErr w:type="spellStart"/>
      <w:r>
        <w:rPr>
          <w:rFonts w:ascii="Times New Roman" w:eastAsia="黑体" w:hAnsi="Times New Roman" w:cs="Times New Roman"/>
          <w:sz w:val="20"/>
          <w:szCs w:val="20"/>
        </w:rPr>
        <w:t>microelectric</w:t>
      </w:r>
      <w:proofErr w:type="spellEnd"/>
      <w:r>
        <w:rPr>
          <w:rFonts w:ascii="Times New Roman" w:eastAsia="黑体" w:hAnsi="Times New Roman" w:cs="Times New Roman"/>
          <w:sz w:val="20"/>
          <w:szCs w:val="20"/>
        </w:rPr>
        <w:t xml:space="preserve"> drill, followed by implantation of B) BLANK, C) PAS-MOS@EXO, D) </w:t>
      </w:r>
      <w:proofErr w:type="spellStart"/>
      <w:r>
        <w:rPr>
          <w:rFonts w:ascii="Times New Roman" w:eastAsia="黑体" w:hAnsi="Times New Roman" w:cs="Times New Roman"/>
          <w:sz w:val="20"/>
          <w:szCs w:val="20"/>
        </w:rPr>
        <w:t>PAS-MOS@cEXO</w:t>
      </w:r>
      <w:proofErr w:type="spellEnd"/>
      <w:r>
        <w:rPr>
          <w:rFonts w:ascii="Times New Roman" w:eastAsia="黑体" w:hAnsi="Times New Roman" w:cs="Times New Roman"/>
          <w:sz w:val="20"/>
          <w:szCs w:val="20"/>
        </w:rPr>
        <w:t xml:space="preserve">, and E) </w:t>
      </w:r>
      <w:proofErr w:type="spellStart"/>
      <w:r>
        <w:rPr>
          <w:rFonts w:ascii="Times New Roman" w:eastAsia="黑体" w:hAnsi="Times New Roman" w:cs="Times New Roman"/>
          <w:sz w:val="20"/>
          <w:szCs w:val="20"/>
        </w:rPr>
        <w:t>PAS-MOS@iEXO</w:t>
      </w:r>
      <w:proofErr w:type="spellEnd"/>
      <w:r>
        <w:rPr>
          <w:rFonts w:ascii="Times New Roman" w:eastAsia="黑体" w:hAnsi="Times New Roman" w:cs="Times New Roman"/>
          <w:sz w:val="20"/>
          <w:szCs w:val="20"/>
        </w:rPr>
        <w:t xml:space="preserve"> hydrogels, respectively. All groups </w:t>
      </w:r>
      <w:r>
        <w:rPr>
          <w:rFonts w:ascii="Times New Roman" w:eastAsia="黑体" w:hAnsi="Times New Roman" w:cs="Times New Roman"/>
          <w:sz w:val="20"/>
          <w:szCs w:val="20"/>
        </w:rPr>
        <w:lastRenderedPageBreak/>
        <w:t>demonstrate the injectable and in situ gelling properties of the hydrogel formulations.</w:t>
      </w:r>
    </w:p>
    <w:p w14:paraId="65BD7A8F" w14:textId="77777777" w:rsidR="000602AD" w:rsidRDefault="000602AD" w:rsidP="009A355B">
      <w:pPr>
        <w:keepNext/>
        <w:rPr>
          <w:rFonts w:ascii="Times New Roman" w:hAnsi="Times New Roman" w:cs="Times New Roman"/>
        </w:rPr>
      </w:pPr>
    </w:p>
    <w:p w14:paraId="3113BBE2" w14:textId="77777777" w:rsidR="000602AD" w:rsidRDefault="00000000" w:rsidP="009A355B">
      <w:pPr>
        <w:pStyle w:val="a3"/>
        <w:keepNext/>
        <w:rPr>
          <w:rFonts w:ascii="Times New Roman" w:hAnsi="Times New Roman" w:cs="Times New Roman"/>
        </w:rPr>
      </w:pPr>
      <w:r>
        <w:rPr>
          <w:rFonts w:ascii="Times New Roman" w:hAnsi="Times New Roman" w:cs="Times New Roman"/>
          <w:noProof/>
        </w:rPr>
        <w:drawing>
          <wp:inline distT="0" distB="0" distL="0" distR="0" wp14:anchorId="6209E841" wp14:editId="311FECF1">
            <wp:extent cx="5274310" cy="4770755"/>
            <wp:effectExtent l="0" t="0" r="2540"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5"/>
                    <a:stretch>
                      <a:fillRect/>
                    </a:stretch>
                  </pic:blipFill>
                  <pic:spPr>
                    <a:xfrm>
                      <a:off x="0" y="0"/>
                      <a:ext cx="5274310" cy="4770755"/>
                    </a:xfrm>
                    <a:prstGeom prst="rect">
                      <a:avLst/>
                    </a:prstGeom>
                  </pic:spPr>
                </pic:pic>
              </a:graphicData>
            </a:graphic>
          </wp:inline>
        </w:drawing>
      </w:r>
    </w:p>
    <w:p w14:paraId="5D1B9136" w14:textId="75E3644A" w:rsidR="000602AD" w:rsidRDefault="00000000" w:rsidP="009A355B">
      <w:pPr>
        <w:pStyle w:val="a3"/>
        <w:rPr>
          <w:rFonts w:ascii="Times New Roman" w:hAnsi="Times New Roman" w:cs="Times New Roman"/>
        </w:rPr>
      </w:pPr>
      <w:r>
        <w:rPr>
          <w:rFonts w:ascii="Times New Roman" w:hAnsi="Times New Roman" w:cs="Times New Roman"/>
          <w:b/>
          <w:bCs/>
        </w:rPr>
        <w:t>Figure S1</w:t>
      </w:r>
      <w:r w:rsidR="00365AB4">
        <w:rPr>
          <w:rFonts w:ascii="Times New Roman" w:hAnsi="Times New Roman" w:cs="Times New Roman" w:hint="eastAsia"/>
          <w:b/>
          <w:bCs/>
        </w:rPr>
        <w:t>8</w:t>
      </w:r>
      <w:r>
        <w:rPr>
          <w:rFonts w:ascii="Times New Roman" w:hAnsi="Times New Roman" w:cs="Times New Roman"/>
          <w:b/>
          <w:bCs/>
        </w:rPr>
        <w:t xml:space="preserve">. In vivo tracking of DiR-labeled </w:t>
      </w:r>
      <w:proofErr w:type="spellStart"/>
      <w:r>
        <w:rPr>
          <w:rFonts w:ascii="Times New Roman" w:hAnsi="Times New Roman" w:cs="Times New Roman"/>
          <w:b/>
          <w:bCs/>
        </w:rPr>
        <w:t>iEXO</w:t>
      </w:r>
      <w:proofErr w:type="spellEnd"/>
      <w:r>
        <w:rPr>
          <w:rFonts w:ascii="Times New Roman" w:hAnsi="Times New Roman" w:cs="Times New Roman"/>
          <w:b/>
          <w:bCs/>
        </w:rPr>
        <w:t>-loaded hydrogel at the bone defect site.</w:t>
      </w:r>
      <w:r>
        <w:rPr>
          <w:rFonts w:ascii="Times New Roman" w:hAnsi="Times New Roman" w:cs="Times New Roman"/>
        </w:rPr>
        <w:t xml:space="preserve"> Representative whole-animal fluorescence images acquired at 0, 3, 6, and 9 days after implantation of DiR-labeled </w:t>
      </w:r>
      <w:proofErr w:type="spellStart"/>
      <w:r>
        <w:rPr>
          <w:rFonts w:ascii="Times New Roman" w:hAnsi="Times New Roman" w:cs="Times New Roman"/>
        </w:rPr>
        <w:t>PAS-MOS@iEXO</w:t>
      </w:r>
      <w:proofErr w:type="spellEnd"/>
      <w:r>
        <w:rPr>
          <w:rFonts w:ascii="Times New Roman" w:hAnsi="Times New Roman" w:cs="Times New Roman"/>
        </w:rPr>
        <w:t xml:space="preserve"> hydrogel into the femoral bone defect. Red fluorescence signals indicate retention and spatial distribution of labeled exosomes at the defect site. Sustained fluorescence over at least 9 days confirms prolonged local retention of </w:t>
      </w:r>
      <w:proofErr w:type="spellStart"/>
      <w:r>
        <w:rPr>
          <w:rFonts w:ascii="Times New Roman" w:hAnsi="Times New Roman" w:cs="Times New Roman"/>
        </w:rPr>
        <w:t>iEXOs</w:t>
      </w:r>
      <w:proofErr w:type="spellEnd"/>
      <w:r>
        <w:rPr>
          <w:rFonts w:ascii="Times New Roman" w:hAnsi="Times New Roman" w:cs="Times New Roman"/>
        </w:rPr>
        <w:t xml:space="preserve">, supporting continuous delivery of bioactive signals for bone regeneration. </w:t>
      </w:r>
      <w:r>
        <w:rPr>
          <w:rFonts w:ascii="Times New Roman" w:hAnsi="Times New Roman" w:cs="Times New Roman"/>
          <w:noProof/>
        </w:rPr>
        <w:lastRenderedPageBreak/>
        <w:drawing>
          <wp:inline distT="0" distB="0" distL="0" distR="0" wp14:anchorId="30D19F89" wp14:editId="74E21745">
            <wp:extent cx="5274310" cy="2645410"/>
            <wp:effectExtent l="0" t="0" r="2540" b="254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26"/>
                    <a:stretch>
                      <a:fillRect/>
                    </a:stretch>
                  </pic:blipFill>
                  <pic:spPr>
                    <a:xfrm>
                      <a:off x="0" y="0"/>
                      <a:ext cx="5274310" cy="2645410"/>
                    </a:xfrm>
                    <a:prstGeom prst="rect">
                      <a:avLst/>
                    </a:prstGeom>
                  </pic:spPr>
                </pic:pic>
              </a:graphicData>
            </a:graphic>
          </wp:inline>
        </w:drawing>
      </w:r>
    </w:p>
    <w:p w14:paraId="059EA2BB" w14:textId="061C0F79" w:rsidR="000602AD" w:rsidRDefault="00000000" w:rsidP="009A355B">
      <w:pPr>
        <w:pStyle w:val="a3"/>
        <w:keepNext/>
        <w:rPr>
          <w:rFonts w:ascii="Times New Roman" w:hAnsi="Times New Roman" w:cs="Times New Roman"/>
        </w:rPr>
      </w:pPr>
      <w:r>
        <w:rPr>
          <w:rFonts w:ascii="Times New Roman" w:hAnsi="Times New Roman" w:cs="Times New Roman"/>
          <w:b/>
          <w:bCs/>
        </w:rPr>
        <w:t>Figure S1</w:t>
      </w:r>
      <w:r w:rsidR="00365AB4">
        <w:rPr>
          <w:rFonts w:ascii="Times New Roman" w:hAnsi="Times New Roman" w:cs="Times New Roman" w:hint="eastAsia"/>
          <w:b/>
          <w:bCs/>
        </w:rPr>
        <w:t>9</w:t>
      </w:r>
      <w:r>
        <w:rPr>
          <w:rFonts w:ascii="Times New Roman" w:hAnsi="Times New Roman" w:cs="Times New Roman"/>
          <w:b/>
          <w:bCs/>
        </w:rPr>
        <w:t>. Micro-CT evaluation of bone defect repair at 4 weeks post-surgery.</w:t>
      </w:r>
      <w:r>
        <w:rPr>
          <w:rFonts w:ascii="Times New Roman" w:hAnsi="Times New Roman" w:cs="Times New Roman"/>
        </w:rPr>
        <w:t> Representative micro-CT images at 4 weeks post-surgery across all experimental groups, including three-dimensional reconstruction, sagittal cross-section, axial cross-section, and color-coded bone thickness distribution maps. Red dashed circles indicate the bone defect region.</w:t>
      </w:r>
      <w:r>
        <w:t xml:space="preserve"> </w:t>
      </w:r>
      <w:r>
        <w:rPr>
          <w:rFonts w:ascii="Times New Roman" w:hAnsi="Times New Roman" w:cs="Times New Roman"/>
          <w:noProof/>
        </w:rPr>
        <w:drawing>
          <wp:inline distT="0" distB="0" distL="0" distR="0" wp14:anchorId="20A39D5E" wp14:editId="3FD8D6D2">
            <wp:extent cx="5274310" cy="3929380"/>
            <wp:effectExtent l="0" t="0" r="254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27"/>
                    <a:stretch>
                      <a:fillRect/>
                    </a:stretch>
                  </pic:blipFill>
                  <pic:spPr>
                    <a:xfrm>
                      <a:off x="0" y="0"/>
                      <a:ext cx="5274310" cy="3929380"/>
                    </a:xfrm>
                    <a:prstGeom prst="rect">
                      <a:avLst/>
                    </a:prstGeom>
                  </pic:spPr>
                </pic:pic>
              </a:graphicData>
            </a:graphic>
          </wp:inline>
        </w:drawing>
      </w:r>
    </w:p>
    <w:p w14:paraId="31D598CE" w14:textId="4572D66F" w:rsidR="000602AD" w:rsidRDefault="00000000" w:rsidP="009A355B">
      <w:pPr>
        <w:pStyle w:val="a3"/>
        <w:keepNext/>
        <w:rPr>
          <w:rFonts w:ascii="Times New Roman" w:hAnsi="Times New Roman" w:cs="Times New Roman"/>
        </w:rPr>
      </w:pPr>
      <w:r>
        <w:rPr>
          <w:rFonts w:ascii="Times New Roman" w:hAnsi="Times New Roman" w:cs="Times New Roman"/>
          <w:b/>
          <w:bCs/>
        </w:rPr>
        <w:t>Figure S</w:t>
      </w:r>
      <w:r w:rsidR="00365AB4">
        <w:rPr>
          <w:rFonts w:ascii="Times New Roman" w:hAnsi="Times New Roman" w:cs="Times New Roman" w:hint="eastAsia"/>
          <w:b/>
          <w:bCs/>
        </w:rPr>
        <w:t>20</w:t>
      </w:r>
      <w:r>
        <w:rPr>
          <w:rFonts w:ascii="Times New Roman" w:hAnsi="Times New Roman" w:cs="Times New Roman"/>
          <w:b/>
          <w:bCs/>
        </w:rPr>
        <w:t>. Histological evaluation of bone regeneration at 4 weeks by H&amp;E staining.</w:t>
      </w:r>
      <w:r>
        <w:rPr>
          <w:rFonts w:ascii="Times New Roman" w:hAnsi="Times New Roman" w:cs="Times New Roman"/>
        </w:rPr>
        <w:t> Representative hematoxylin and eosin, H&amp;E, stained sections of bone defect areas at 4 weeks post-surgery across all experimental groups, evaluating new bone formation and tissue organization within the defect.</w:t>
      </w:r>
      <w:r>
        <w:t xml:space="preserve"> </w:t>
      </w:r>
      <w:r>
        <w:rPr>
          <w:rFonts w:ascii="Times New Roman" w:hAnsi="Times New Roman" w:cs="Times New Roman"/>
          <w:noProof/>
        </w:rPr>
        <w:lastRenderedPageBreak/>
        <w:drawing>
          <wp:inline distT="0" distB="0" distL="0" distR="0" wp14:anchorId="7CB60E8D" wp14:editId="6F593660">
            <wp:extent cx="5274310" cy="367792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28"/>
                    <a:stretch>
                      <a:fillRect/>
                    </a:stretch>
                  </pic:blipFill>
                  <pic:spPr>
                    <a:xfrm>
                      <a:off x="0" y="0"/>
                      <a:ext cx="5274310" cy="3677920"/>
                    </a:xfrm>
                    <a:prstGeom prst="rect">
                      <a:avLst/>
                    </a:prstGeom>
                  </pic:spPr>
                </pic:pic>
              </a:graphicData>
            </a:graphic>
          </wp:inline>
        </w:drawing>
      </w:r>
    </w:p>
    <w:p w14:paraId="6A53EB81" w14:textId="4BA44E82" w:rsidR="000602AD" w:rsidRDefault="00000000" w:rsidP="009A355B">
      <w:pPr>
        <w:pStyle w:val="a3"/>
        <w:keepNext/>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2</w:t>
      </w:r>
      <w:r w:rsidR="00365AB4">
        <w:rPr>
          <w:rFonts w:ascii="Times New Roman" w:hAnsi="Times New Roman" w:cs="Times New Roman" w:hint="eastAsia"/>
          <w:b/>
          <w:bCs/>
        </w:rPr>
        <w:t>1</w:t>
      </w:r>
      <w:r>
        <w:rPr>
          <w:rFonts w:ascii="Times New Roman" w:hAnsi="Times New Roman" w:cs="Times New Roman"/>
          <w:b/>
          <w:bCs/>
        </w:rPr>
        <w:t>. Histological evaluation of collagen deposition at 4 weeks by Masson's trichrome staining.</w:t>
      </w:r>
      <w:r>
        <w:rPr>
          <w:rFonts w:ascii="Times New Roman" w:hAnsi="Times New Roman" w:cs="Times New Roman"/>
        </w:rPr>
        <w:t> Representative Masson's trichrome-stained sections of bone defect areas at 4 weeks post-surgery across all experimental groups. Blue staining indicates collagen deposition; red staining indicates newly formed bone matrix.</w:t>
      </w:r>
      <w:r>
        <w:t xml:space="preserve"> </w:t>
      </w:r>
      <w:r>
        <w:rPr>
          <w:rFonts w:ascii="Times New Roman" w:hAnsi="Times New Roman" w:cs="Times New Roman"/>
          <w:noProof/>
        </w:rPr>
        <w:drawing>
          <wp:inline distT="0" distB="0" distL="0" distR="0" wp14:anchorId="4C87E428" wp14:editId="14489FEF">
            <wp:extent cx="5274310" cy="2310130"/>
            <wp:effectExtent l="0" t="0" r="254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29"/>
                    <a:stretch>
                      <a:fillRect/>
                    </a:stretch>
                  </pic:blipFill>
                  <pic:spPr>
                    <a:xfrm>
                      <a:off x="0" y="0"/>
                      <a:ext cx="5274310" cy="2310130"/>
                    </a:xfrm>
                    <a:prstGeom prst="rect">
                      <a:avLst/>
                    </a:prstGeom>
                  </pic:spPr>
                </pic:pic>
              </a:graphicData>
            </a:graphic>
          </wp:inline>
        </w:drawing>
      </w:r>
    </w:p>
    <w:p w14:paraId="307E9772" w14:textId="69D0867A" w:rsidR="000602AD" w:rsidRDefault="00000000" w:rsidP="009A355B">
      <w:pPr>
        <w:pStyle w:val="a3"/>
        <w:keepNext/>
        <w:rPr>
          <w:rFonts w:ascii="Times New Roman" w:hAnsi="Times New Roman" w:cs="Times New Roman"/>
        </w:rPr>
      </w:pPr>
      <w:r>
        <w:rPr>
          <w:rFonts w:ascii="Times New Roman" w:hAnsi="Times New Roman" w:cs="Times New Roman"/>
          <w:b/>
          <w:bCs/>
        </w:rPr>
        <w:t>Figure S</w:t>
      </w:r>
      <w:r>
        <w:rPr>
          <w:rFonts w:ascii="Times New Roman" w:hAnsi="Times New Roman" w:cs="Times New Roman" w:hint="eastAsia"/>
          <w:b/>
          <w:bCs/>
        </w:rPr>
        <w:t>2</w:t>
      </w:r>
      <w:r w:rsidR="00365AB4">
        <w:rPr>
          <w:rFonts w:ascii="Times New Roman" w:hAnsi="Times New Roman" w:cs="Times New Roman" w:hint="eastAsia"/>
          <w:b/>
          <w:bCs/>
        </w:rPr>
        <w:t>2</w:t>
      </w:r>
      <w:r>
        <w:rPr>
          <w:rFonts w:ascii="Times New Roman" w:hAnsi="Times New Roman" w:cs="Times New Roman"/>
          <w:b/>
          <w:bCs/>
        </w:rPr>
        <w:t xml:space="preserve">. Immunohistochemical and histochemical evaluation of osteogenesis and </w:t>
      </w:r>
      <w:proofErr w:type="spellStart"/>
      <w:r>
        <w:rPr>
          <w:rFonts w:ascii="Times New Roman" w:hAnsi="Times New Roman" w:cs="Times New Roman"/>
          <w:b/>
          <w:bCs/>
        </w:rPr>
        <w:t>osteoclastogenesis</w:t>
      </w:r>
      <w:proofErr w:type="spellEnd"/>
      <w:r>
        <w:rPr>
          <w:rFonts w:ascii="Times New Roman" w:hAnsi="Times New Roman" w:cs="Times New Roman"/>
          <w:b/>
          <w:bCs/>
        </w:rPr>
        <w:t xml:space="preserve"> at 4 weeks.</w:t>
      </w:r>
      <w:r>
        <w:rPr>
          <w:rFonts w:ascii="Times New Roman" w:hAnsi="Times New Roman" w:cs="Times New Roman"/>
        </w:rPr>
        <w:t> Representative OPN immunohistochemical staining and TRAP staining of bone defect sections at 4 weeks post-surgery across all experimental groups, evaluating osteogenic activity and osteoclast number within the defect region, respectively.</w:t>
      </w:r>
      <w:r>
        <w:t xml:space="preserve"> </w:t>
      </w:r>
      <w:r>
        <w:rPr>
          <w:rFonts w:ascii="Times New Roman" w:hAnsi="Times New Roman" w:cs="Times New Roman"/>
          <w:noProof/>
        </w:rPr>
        <w:lastRenderedPageBreak/>
        <w:drawing>
          <wp:inline distT="0" distB="0" distL="0" distR="0" wp14:anchorId="412C5FA7" wp14:editId="5E5E5C9D">
            <wp:extent cx="5274310" cy="4133850"/>
            <wp:effectExtent l="0" t="0" r="254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0"/>
                    <a:stretch>
                      <a:fillRect/>
                    </a:stretch>
                  </pic:blipFill>
                  <pic:spPr>
                    <a:xfrm>
                      <a:off x="0" y="0"/>
                      <a:ext cx="5274310" cy="4133850"/>
                    </a:xfrm>
                    <a:prstGeom prst="rect">
                      <a:avLst/>
                    </a:prstGeom>
                  </pic:spPr>
                </pic:pic>
              </a:graphicData>
            </a:graphic>
          </wp:inline>
        </w:drawing>
      </w:r>
    </w:p>
    <w:p w14:paraId="0384B341" w14:textId="209C89A4" w:rsidR="000602AD" w:rsidRDefault="00000000" w:rsidP="009A355B">
      <w:pPr>
        <w:keepNext/>
        <w:rPr>
          <w:rFonts w:ascii="Times New Roman" w:hAnsi="Times New Roman" w:cs="Times New Roman"/>
        </w:rPr>
      </w:pPr>
      <w:r>
        <w:rPr>
          <w:rFonts w:ascii="Times New Roman" w:eastAsia="黑体" w:hAnsi="Times New Roman" w:cs="Times New Roman"/>
          <w:b/>
          <w:bCs/>
          <w:sz w:val="20"/>
          <w:szCs w:val="20"/>
        </w:rPr>
        <w:t>Figure S2</w:t>
      </w:r>
      <w:r w:rsidR="00365AB4">
        <w:rPr>
          <w:rFonts w:ascii="Times New Roman" w:eastAsia="黑体" w:hAnsi="Times New Roman" w:cs="Times New Roman" w:hint="eastAsia"/>
          <w:b/>
          <w:bCs/>
          <w:sz w:val="20"/>
          <w:szCs w:val="20"/>
        </w:rPr>
        <w:t>3</w:t>
      </w:r>
      <w:r>
        <w:rPr>
          <w:rFonts w:ascii="Times New Roman" w:eastAsia="黑体" w:hAnsi="Times New Roman" w:cs="Times New Roman"/>
          <w:b/>
          <w:bCs/>
          <w:sz w:val="20"/>
          <w:szCs w:val="20"/>
        </w:rPr>
        <w:t>. Immunofluorescence evaluation of vascularization and immune regulation at 4 weeks.</w:t>
      </w:r>
      <w:r>
        <w:rPr>
          <w:rFonts w:ascii="Times New Roman" w:eastAsia="黑体" w:hAnsi="Times New Roman" w:cs="Times New Roman"/>
          <w:sz w:val="20"/>
          <w:szCs w:val="20"/>
        </w:rPr>
        <w:t> Representative immunofluorescence images of bone defect sections at 4 weeks post-surgery across all experimental groups, stained for CD31, α-SMA, IL-1β, and CD163, assessing neovascularization, vascular maturation, pro-inflammatory cytokine expression, and M2 macrophage polarization, respectively.</w:t>
      </w:r>
      <w:r>
        <w:rPr>
          <w:rFonts w:ascii="Times New Roman" w:hAnsi="Times New Roman" w:cs="Times New Roman"/>
        </w:rPr>
        <w:t xml:space="preserve"> </w:t>
      </w:r>
      <w:r>
        <w:rPr>
          <w:rFonts w:ascii="Times New Roman" w:hAnsi="Times New Roman" w:cs="Times New Roman"/>
          <w:noProof/>
        </w:rPr>
        <w:drawing>
          <wp:inline distT="0" distB="0" distL="0" distR="0" wp14:anchorId="6513CFCB" wp14:editId="44179A01">
            <wp:extent cx="5274310" cy="3343910"/>
            <wp:effectExtent l="0" t="0" r="2540" b="889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1"/>
                    <a:stretch>
                      <a:fillRect/>
                    </a:stretch>
                  </pic:blipFill>
                  <pic:spPr>
                    <a:xfrm>
                      <a:off x="0" y="0"/>
                      <a:ext cx="5274310" cy="3343910"/>
                    </a:xfrm>
                    <a:prstGeom prst="rect">
                      <a:avLst/>
                    </a:prstGeom>
                  </pic:spPr>
                </pic:pic>
              </a:graphicData>
            </a:graphic>
          </wp:inline>
        </w:drawing>
      </w:r>
    </w:p>
    <w:p w14:paraId="14DD78FE" w14:textId="01D54F83" w:rsidR="000602AD" w:rsidRPr="00365AB4" w:rsidRDefault="00000000" w:rsidP="009A355B">
      <w:pPr>
        <w:pStyle w:val="a3"/>
        <w:rPr>
          <w:rFonts w:ascii="Times New Roman" w:hAnsi="Times New Roman" w:cs="Times New Roman"/>
          <w:b/>
          <w:bCs/>
        </w:rPr>
      </w:pPr>
      <w:r w:rsidRPr="00365AB4">
        <w:rPr>
          <w:rFonts w:ascii="Times New Roman" w:hAnsi="Times New Roman" w:cs="Times New Roman"/>
          <w:b/>
          <w:bCs/>
        </w:rPr>
        <w:t>Figure S</w:t>
      </w:r>
      <w:r w:rsidRPr="00365AB4">
        <w:rPr>
          <w:rFonts w:ascii="Times New Roman" w:hAnsi="Times New Roman" w:cs="Times New Roman" w:hint="eastAsia"/>
          <w:b/>
          <w:bCs/>
        </w:rPr>
        <w:t>2</w:t>
      </w:r>
      <w:r w:rsidR="00365AB4" w:rsidRPr="00365AB4">
        <w:rPr>
          <w:rFonts w:ascii="Times New Roman" w:hAnsi="Times New Roman" w:cs="Times New Roman" w:hint="eastAsia"/>
          <w:b/>
          <w:bCs/>
        </w:rPr>
        <w:t>4</w:t>
      </w:r>
      <w:r w:rsidRPr="00365AB4">
        <w:rPr>
          <w:rFonts w:ascii="Times New Roman" w:hAnsi="Times New Roman" w:cs="Times New Roman"/>
          <w:b/>
          <w:bCs/>
        </w:rPr>
        <w:t xml:space="preserve">. In vivo safety of the implantation in SD rats. HE staining of histological sections from </w:t>
      </w:r>
      <w:r w:rsidRPr="00365AB4">
        <w:rPr>
          <w:rFonts w:ascii="Times New Roman" w:hAnsi="Times New Roman" w:cs="Times New Roman"/>
          <w:b/>
          <w:bCs/>
        </w:rPr>
        <w:lastRenderedPageBreak/>
        <w:t xml:space="preserve">major organs, including the heart, kidneys, liver, lungs, and spleen. </w:t>
      </w:r>
    </w:p>
    <w:p w14:paraId="0F775A7B" w14:textId="77777777" w:rsidR="000602AD" w:rsidRDefault="000602AD">
      <w:pPr>
        <w:rPr>
          <w:rFonts w:ascii="Times New Roman" w:hAnsi="Times New Roman" w:cs="Times New Roman"/>
        </w:rPr>
      </w:pPr>
    </w:p>
    <w:p w14:paraId="70D6C89E" w14:textId="77777777" w:rsidR="000602AD" w:rsidRDefault="00000000">
      <w:pPr>
        <w:rPr>
          <w:rFonts w:ascii="Times New Roman" w:hAnsi="Times New Roman" w:cs="Times New Roman"/>
        </w:rPr>
      </w:pPr>
      <w:r>
        <w:rPr>
          <w:rFonts w:ascii="Times New Roman" w:hAnsi="Times New Roman" w:cs="Times New Roman"/>
        </w:rPr>
        <w:t xml:space="preserve">Table S1 Primers used for </w:t>
      </w:r>
      <w:proofErr w:type="spellStart"/>
      <w:r>
        <w:rPr>
          <w:rFonts w:ascii="Times New Roman" w:hAnsi="Times New Roman" w:cs="Times New Roman"/>
        </w:rPr>
        <w:t>qRT</w:t>
      </w:r>
      <w:proofErr w:type="spellEnd"/>
      <w:r>
        <w:rPr>
          <w:rFonts w:ascii="Times New Roman" w:hAnsi="Times New Roman" w:cs="Times New Roman"/>
        </w:rPr>
        <w:t>-PCR of osteogenic genes (Rat)</w:t>
      </w:r>
    </w:p>
    <w:tbl>
      <w:tblPr>
        <w:tblStyle w:val="aa"/>
        <w:tblW w:w="0" w:type="auto"/>
        <w:tblLook w:val="04A0" w:firstRow="1" w:lastRow="0" w:firstColumn="1" w:lastColumn="0" w:noHBand="0" w:noVBand="1"/>
      </w:tblPr>
      <w:tblGrid>
        <w:gridCol w:w="1443"/>
        <w:gridCol w:w="3470"/>
        <w:gridCol w:w="3383"/>
      </w:tblGrid>
      <w:tr w:rsidR="000602AD" w14:paraId="23F55438" w14:textId="77777777">
        <w:tc>
          <w:tcPr>
            <w:tcW w:w="1443" w:type="dxa"/>
            <w:tcBorders>
              <w:top w:val="single" w:sz="4" w:space="0" w:color="auto"/>
              <w:left w:val="single" w:sz="4" w:space="0" w:color="auto"/>
              <w:bottom w:val="single" w:sz="4" w:space="0" w:color="auto"/>
              <w:right w:val="nil"/>
            </w:tcBorders>
          </w:tcPr>
          <w:p w14:paraId="7ADB4E7B" w14:textId="77777777" w:rsidR="000602AD" w:rsidRDefault="00000000">
            <w:pPr>
              <w:rPr>
                <w:rFonts w:ascii="Times New Roman" w:hAnsi="Times New Roman" w:cs="Times New Roman"/>
              </w:rPr>
            </w:pPr>
            <w:r>
              <w:rPr>
                <w:rFonts w:ascii="Times New Roman" w:hAnsi="Times New Roman" w:cs="Times New Roman"/>
              </w:rPr>
              <w:t>Gene</w:t>
            </w:r>
          </w:p>
        </w:tc>
        <w:tc>
          <w:tcPr>
            <w:tcW w:w="3470" w:type="dxa"/>
            <w:tcBorders>
              <w:top w:val="single" w:sz="4" w:space="0" w:color="auto"/>
              <w:left w:val="nil"/>
              <w:bottom w:val="single" w:sz="4" w:space="0" w:color="auto"/>
              <w:right w:val="nil"/>
            </w:tcBorders>
          </w:tcPr>
          <w:p w14:paraId="4A5EB2E7" w14:textId="77777777" w:rsidR="000602AD" w:rsidRDefault="00000000">
            <w:pPr>
              <w:rPr>
                <w:rFonts w:ascii="Times New Roman" w:hAnsi="Times New Roman" w:cs="Times New Roman"/>
              </w:rPr>
            </w:pPr>
            <w:r>
              <w:rPr>
                <w:rFonts w:ascii="Times New Roman" w:hAnsi="Times New Roman" w:cs="Times New Roman"/>
              </w:rPr>
              <w:t>Forward primers (5’ to 3’)</w:t>
            </w:r>
          </w:p>
        </w:tc>
        <w:tc>
          <w:tcPr>
            <w:tcW w:w="3383" w:type="dxa"/>
            <w:tcBorders>
              <w:top w:val="single" w:sz="4" w:space="0" w:color="auto"/>
              <w:left w:val="nil"/>
              <w:bottom w:val="single" w:sz="4" w:space="0" w:color="auto"/>
              <w:right w:val="single" w:sz="4" w:space="0" w:color="auto"/>
            </w:tcBorders>
          </w:tcPr>
          <w:p w14:paraId="2E022940" w14:textId="77777777" w:rsidR="000602AD" w:rsidRDefault="00000000">
            <w:pPr>
              <w:rPr>
                <w:rFonts w:ascii="Times New Roman" w:hAnsi="Times New Roman" w:cs="Times New Roman"/>
              </w:rPr>
            </w:pPr>
            <w:r>
              <w:rPr>
                <w:rFonts w:ascii="Times New Roman" w:hAnsi="Times New Roman" w:cs="Times New Roman"/>
              </w:rPr>
              <w:t>Reverse primers (5’ to 3’)</w:t>
            </w:r>
          </w:p>
        </w:tc>
      </w:tr>
      <w:tr w:rsidR="000602AD" w14:paraId="01EDD041" w14:textId="77777777">
        <w:tc>
          <w:tcPr>
            <w:tcW w:w="1443" w:type="dxa"/>
            <w:tcBorders>
              <w:top w:val="nil"/>
              <w:left w:val="single" w:sz="4" w:space="0" w:color="auto"/>
              <w:bottom w:val="nil"/>
              <w:right w:val="nil"/>
            </w:tcBorders>
          </w:tcPr>
          <w:p w14:paraId="15ACA543" w14:textId="77777777" w:rsidR="000602AD" w:rsidRDefault="00000000">
            <w:pPr>
              <w:rPr>
                <w:rFonts w:ascii="Times New Roman" w:hAnsi="Times New Roman" w:cs="Times New Roman"/>
                <w:i/>
                <w:iCs/>
              </w:rPr>
            </w:pPr>
            <w:proofErr w:type="spellStart"/>
            <w:r>
              <w:rPr>
                <w:rFonts w:ascii="Times New Roman" w:hAnsi="Times New Roman" w:cs="Times New Roman"/>
                <w:i/>
                <w:iCs/>
              </w:rPr>
              <w:t>Bglap</w:t>
            </w:r>
            <w:proofErr w:type="spellEnd"/>
          </w:p>
        </w:tc>
        <w:tc>
          <w:tcPr>
            <w:tcW w:w="3470" w:type="dxa"/>
            <w:tcBorders>
              <w:top w:val="nil"/>
              <w:left w:val="nil"/>
              <w:bottom w:val="nil"/>
              <w:right w:val="nil"/>
            </w:tcBorders>
          </w:tcPr>
          <w:p w14:paraId="1B4CC8AB" w14:textId="77777777" w:rsidR="000602AD" w:rsidRDefault="00000000">
            <w:pPr>
              <w:rPr>
                <w:rFonts w:ascii="Times New Roman" w:hAnsi="Times New Roman" w:cs="Times New Roman"/>
              </w:rPr>
            </w:pPr>
            <w:r>
              <w:rPr>
                <w:rFonts w:ascii="Times New Roman" w:hAnsi="Times New Roman"/>
              </w:rPr>
              <w:t>TCAACAATGGACTTGGAGCCC</w:t>
            </w:r>
          </w:p>
        </w:tc>
        <w:tc>
          <w:tcPr>
            <w:tcW w:w="3383" w:type="dxa"/>
            <w:tcBorders>
              <w:top w:val="nil"/>
              <w:left w:val="nil"/>
              <w:bottom w:val="nil"/>
              <w:right w:val="single" w:sz="4" w:space="0" w:color="auto"/>
            </w:tcBorders>
          </w:tcPr>
          <w:p w14:paraId="6BBB0CFA" w14:textId="77777777" w:rsidR="000602AD" w:rsidRDefault="00000000">
            <w:pPr>
              <w:rPr>
                <w:rFonts w:ascii="Times New Roman" w:hAnsi="Times New Roman" w:cs="Times New Roman"/>
              </w:rPr>
            </w:pPr>
            <w:r>
              <w:rPr>
                <w:rFonts w:ascii="Times New Roman" w:hAnsi="Times New Roman"/>
              </w:rPr>
              <w:t>GCAACACATGCCCTAAACGG</w:t>
            </w:r>
          </w:p>
        </w:tc>
      </w:tr>
      <w:tr w:rsidR="000602AD" w14:paraId="6BF0F8A5" w14:textId="77777777">
        <w:tc>
          <w:tcPr>
            <w:tcW w:w="1443" w:type="dxa"/>
            <w:tcBorders>
              <w:top w:val="nil"/>
              <w:left w:val="single" w:sz="4" w:space="0" w:color="auto"/>
              <w:bottom w:val="nil"/>
              <w:right w:val="nil"/>
            </w:tcBorders>
          </w:tcPr>
          <w:p w14:paraId="1B5B03CA" w14:textId="77777777" w:rsidR="000602AD" w:rsidRDefault="00000000">
            <w:pPr>
              <w:rPr>
                <w:rFonts w:ascii="Times New Roman" w:hAnsi="Times New Roman" w:cs="Times New Roman"/>
                <w:i/>
                <w:iCs/>
              </w:rPr>
            </w:pPr>
            <w:r>
              <w:rPr>
                <w:rFonts w:ascii="Times New Roman" w:hAnsi="Times New Roman" w:cs="Times New Roman"/>
                <w:i/>
                <w:iCs/>
              </w:rPr>
              <w:t>Col1a1</w:t>
            </w:r>
          </w:p>
        </w:tc>
        <w:tc>
          <w:tcPr>
            <w:tcW w:w="3470" w:type="dxa"/>
            <w:tcBorders>
              <w:top w:val="nil"/>
              <w:left w:val="nil"/>
              <w:bottom w:val="nil"/>
              <w:right w:val="nil"/>
            </w:tcBorders>
          </w:tcPr>
          <w:p w14:paraId="0DAD1C61" w14:textId="77777777" w:rsidR="000602AD" w:rsidRDefault="00000000">
            <w:pPr>
              <w:rPr>
                <w:rFonts w:ascii="Times New Roman" w:hAnsi="Times New Roman" w:cs="Times New Roman"/>
              </w:rPr>
            </w:pPr>
            <w:r>
              <w:rPr>
                <w:rFonts w:ascii="Times New Roman" w:hAnsi="Times New Roman"/>
              </w:rPr>
              <w:t>ATCAGCTGGAGTTTCCGTGC</w:t>
            </w:r>
          </w:p>
        </w:tc>
        <w:tc>
          <w:tcPr>
            <w:tcW w:w="3383" w:type="dxa"/>
            <w:tcBorders>
              <w:top w:val="nil"/>
              <w:left w:val="nil"/>
              <w:bottom w:val="nil"/>
              <w:right w:val="single" w:sz="4" w:space="0" w:color="auto"/>
            </w:tcBorders>
          </w:tcPr>
          <w:p w14:paraId="45265E00" w14:textId="77777777" w:rsidR="000602AD" w:rsidRDefault="00000000">
            <w:pPr>
              <w:rPr>
                <w:rFonts w:ascii="Times New Roman" w:hAnsi="Times New Roman" w:cs="Times New Roman"/>
              </w:rPr>
            </w:pPr>
            <w:r>
              <w:rPr>
                <w:rFonts w:ascii="Times New Roman" w:hAnsi="Times New Roman"/>
              </w:rPr>
              <w:t>GGACCCATTGGACCTGAAGC</w:t>
            </w:r>
          </w:p>
        </w:tc>
      </w:tr>
      <w:tr w:rsidR="000602AD" w14:paraId="25A0BE96" w14:textId="77777777">
        <w:tc>
          <w:tcPr>
            <w:tcW w:w="1443" w:type="dxa"/>
            <w:tcBorders>
              <w:top w:val="nil"/>
              <w:left w:val="single" w:sz="4" w:space="0" w:color="auto"/>
              <w:bottom w:val="nil"/>
              <w:right w:val="nil"/>
            </w:tcBorders>
          </w:tcPr>
          <w:p w14:paraId="167FB932" w14:textId="77777777" w:rsidR="000602AD" w:rsidRDefault="00000000">
            <w:pPr>
              <w:rPr>
                <w:rFonts w:ascii="Times New Roman" w:hAnsi="Times New Roman" w:cs="Times New Roman"/>
                <w:i/>
                <w:iCs/>
              </w:rPr>
            </w:pPr>
            <w:r>
              <w:rPr>
                <w:rFonts w:ascii="Times New Roman" w:hAnsi="Times New Roman" w:cs="Times New Roman"/>
                <w:i/>
                <w:iCs/>
              </w:rPr>
              <w:t>Runx2</w:t>
            </w:r>
          </w:p>
        </w:tc>
        <w:tc>
          <w:tcPr>
            <w:tcW w:w="3470" w:type="dxa"/>
            <w:tcBorders>
              <w:top w:val="nil"/>
              <w:left w:val="nil"/>
              <w:bottom w:val="nil"/>
              <w:right w:val="nil"/>
            </w:tcBorders>
          </w:tcPr>
          <w:p w14:paraId="3CF07254" w14:textId="77777777" w:rsidR="000602AD" w:rsidRDefault="00000000">
            <w:pPr>
              <w:rPr>
                <w:rFonts w:ascii="Times New Roman" w:hAnsi="Times New Roman" w:cs="Times New Roman"/>
              </w:rPr>
            </w:pPr>
            <w:r>
              <w:rPr>
                <w:rFonts w:ascii="Times New Roman" w:hAnsi="Times New Roman"/>
              </w:rPr>
              <w:t>GCGGTGCAAACTTTCTCCAG</w:t>
            </w:r>
          </w:p>
        </w:tc>
        <w:tc>
          <w:tcPr>
            <w:tcW w:w="3383" w:type="dxa"/>
            <w:tcBorders>
              <w:top w:val="nil"/>
              <w:left w:val="nil"/>
              <w:bottom w:val="nil"/>
              <w:right w:val="single" w:sz="4" w:space="0" w:color="auto"/>
            </w:tcBorders>
          </w:tcPr>
          <w:p w14:paraId="6F5EDF13" w14:textId="77777777" w:rsidR="000602AD" w:rsidRDefault="00000000">
            <w:pPr>
              <w:rPr>
                <w:rFonts w:ascii="Times New Roman" w:hAnsi="Times New Roman" w:cs="Times New Roman"/>
              </w:rPr>
            </w:pPr>
            <w:r>
              <w:rPr>
                <w:rFonts w:ascii="Times New Roman" w:hAnsi="Times New Roman"/>
              </w:rPr>
              <w:t>TGCAGCCTTAAATGACTCGG</w:t>
            </w:r>
          </w:p>
        </w:tc>
      </w:tr>
      <w:tr w:rsidR="000602AD" w14:paraId="2A6A3406" w14:textId="77777777">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8296" w:type="dxa"/>
            <w:gridSpan w:val="3"/>
            <w:tcBorders>
              <w:top w:val="single" w:sz="4" w:space="0" w:color="auto"/>
            </w:tcBorders>
          </w:tcPr>
          <w:p w14:paraId="22BC3C83" w14:textId="77777777" w:rsidR="000602AD" w:rsidRDefault="000602AD">
            <w:pPr>
              <w:rPr>
                <w:rFonts w:ascii="Times New Roman" w:hAnsi="Times New Roman" w:cs="Times New Roman"/>
              </w:rPr>
            </w:pPr>
          </w:p>
        </w:tc>
      </w:tr>
    </w:tbl>
    <w:p w14:paraId="475A9A21" w14:textId="77777777" w:rsidR="000602AD" w:rsidRDefault="00000000">
      <w:pPr>
        <w:rPr>
          <w:rFonts w:ascii="Times New Roman" w:hAnsi="Times New Roman" w:cs="Times New Roman"/>
        </w:rPr>
      </w:pPr>
      <w:r>
        <w:rPr>
          <w:rFonts w:ascii="Times New Roman" w:hAnsi="Times New Roman" w:cs="Times New Roman"/>
        </w:rPr>
        <w:t xml:space="preserve"> Table S2 Primers used for </w:t>
      </w:r>
      <w:proofErr w:type="spellStart"/>
      <w:r>
        <w:rPr>
          <w:rFonts w:ascii="Times New Roman" w:hAnsi="Times New Roman" w:cs="Times New Roman"/>
        </w:rPr>
        <w:t>qRT</w:t>
      </w:r>
      <w:proofErr w:type="spellEnd"/>
      <w:r>
        <w:rPr>
          <w:rFonts w:ascii="Times New Roman" w:hAnsi="Times New Roman" w:cs="Times New Roman"/>
        </w:rPr>
        <w:t>-PCR of osteoclastogenic genes (Mouse)</w:t>
      </w:r>
    </w:p>
    <w:tbl>
      <w:tblPr>
        <w:tblStyle w:val="aa"/>
        <w:tblW w:w="0" w:type="auto"/>
        <w:tblLook w:val="04A0" w:firstRow="1" w:lastRow="0" w:firstColumn="1" w:lastColumn="0" w:noHBand="0" w:noVBand="1"/>
      </w:tblPr>
      <w:tblGrid>
        <w:gridCol w:w="1415"/>
        <w:gridCol w:w="3499"/>
        <w:gridCol w:w="3382"/>
      </w:tblGrid>
      <w:tr w:rsidR="000602AD" w14:paraId="69860CF1" w14:textId="77777777">
        <w:tc>
          <w:tcPr>
            <w:tcW w:w="1415" w:type="dxa"/>
            <w:tcBorders>
              <w:top w:val="single" w:sz="4" w:space="0" w:color="auto"/>
              <w:left w:val="single" w:sz="4" w:space="0" w:color="auto"/>
              <w:bottom w:val="single" w:sz="4" w:space="0" w:color="auto"/>
              <w:right w:val="nil"/>
            </w:tcBorders>
          </w:tcPr>
          <w:p w14:paraId="79D7B68E" w14:textId="77777777" w:rsidR="000602AD" w:rsidRDefault="00000000">
            <w:pPr>
              <w:rPr>
                <w:rFonts w:ascii="Times New Roman" w:hAnsi="Times New Roman" w:cs="Times New Roman"/>
              </w:rPr>
            </w:pPr>
            <w:r>
              <w:rPr>
                <w:rFonts w:ascii="Times New Roman" w:hAnsi="Times New Roman" w:cs="Times New Roman"/>
              </w:rPr>
              <w:t>Gene</w:t>
            </w:r>
          </w:p>
        </w:tc>
        <w:tc>
          <w:tcPr>
            <w:tcW w:w="3499" w:type="dxa"/>
            <w:tcBorders>
              <w:top w:val="single" w:sz="4" w:space="0" w:color="auto"/>
              <w:left w:val="nil"/>
              <w:bottom w:val="single" w:sz="4" w:space="0" w:color="auto"/>
              <w:right w:val="nil"/>
            </w:tcBorders>
          </w:tcPr>
          <w:p w14:paraId="63836C3B" w14:textId="77777777" w:rsidR="000602AD" w:rsidRDefault="00000000">
            <w:pPr>
              <w:rPr>
                <w:rFonts w:ascii="Times New Roman" w:hAnsi="Times New Roman" w:cs="Times New Roman"/>
              </w:rPr>
            </w:pPr>
            <w:r>
              <w:rPr>
                <w:rFonts w:ascii="Times New Roman" w:hAnsi="Times New Roman" w:cs="Times New Roman"/>
              </w:rPr>
              <w:t>Forward primers (5’ to 3’)</w:t>
            </w:r>
          </w:p>
        </w:tc>
        <w:tc>
          <w:tcPr>
            <w:tcW w:w="3382" w:type="dxa"/>
            <w:tcBorders>
              <w:top w:val="single" w:sz="4" w:space="0" w:color="auto"/>
              <w:left w:val="nil"/>
              <w:bottom w:val="single" w:sz="4" w:space="0" w:color="auto"/>
              <w:right w:val="single" w:sz="4" w:space="0" w:color="auto"/>
            </w:tcBorders>
          </w:tcPr>
          <w:p w14:paraId="43DBFD02" w14:textId="77777777" w:rsidR="000602AD" w:rsidRDefault="00000000">
            <w:pPr>
              <w:rPr>
                <w:rFonts w:ascii="Times New Roman" w:hAnsi="Times New Roman" w:cs="Times New Roman"/>
              </w:rPr>
            </w:pPr>
            <w:r>
              <w:rPr>
                <w:rFonts w:ascii="Times New Roman" w:hAnsi="Times New Roman" w:cs="Times New Roman"/>
              </w:rPr>
              <w:t>Reverse primers (5’ to 3’)</w:t>
            </w:r>
          </w:p>
        </w:tc>
      </w:tr>
      <w:tr w:rsidR="000602AD" w14:paraId="21ACE92A" w14:textId="77777777">
        <w:tc>
          <w:tcPr>
            <w:tcW w:w="1415" w:type="dxa"/>
            <w:tcBorders>
              <w:top w:val="nil"/>
              <w:left w:val="single" w:sz="4" w:space="0" w:color="auto"/>
              <w:bottom w:val="nil"/>
              <w:right w:val="nil"/>
            </w:tcBorders>
          </w:tcPr>
          <w:p w14:paraId="56AB63DF" w14:textId="77777777" w:rsidR="000602AD" w:rsidRDefault="00000000">
            <w:pPr>
              <w:rPr>
                <w:rFonts w:ascii="Times New Roman" w:hAnsi="Times New Roman" w:cs="Times New Roman"/>
                <w:i/>
                <w:iCs/>
              </w:rPr>
            </w:pPr>
            <w:proofErr w:type="spellStart"/>
            <w:r>
              <w:rPr>
                <w:rFonts w:ascii="Times New Roman" w:hAnsi="Times New Roman" w:cs="Times New Roman" w:hint="eastAsia"/>
                <w:i/>
                <w:iCs/>
              </w:rPr>
              <w:t>C</w:t>
            </w:r>
            <w:r>
              <w:rPr>
                <w:rFonts w:ascii="Times New Roman" w:hAnsi="Times New Roman" w:cs="Times New Roman"/>
                <w:i/>
                <w:iCs/>
              </w:rPr>
              <w:t>tsk</w:t>
            </w:r>
            <w:proofErr w:type="spellEnd"/>
          </w:p>
        </w:tc>
        <w:tc>
          <w:tcPr>
            <w:tcW w:w="3499" w:type="dxa"/>
            <w:tcBorders>
              <w:top w:val="nil"/>
              <w:left w:val="nil"/>
              <w:bottom w:val="nil"/>
              <w:right w:val="nil"/>
            </w:tcBorders>
          </w:tcPr>
          <w:p w14:paraId="0823588D" w14:textId="77777777" w:rsidR="000602AD" w:rsidRDefault="00000000">
            <w:pPr>
              <w:rPr>
                <w:rFonts w:ascii="Times New Roman" w:hAnsi="Times New Roman" w:cs="Times New Roman"/>
              </w:rPr>
            </w:pPr>
            <w:r>
              <w:rPr>
                <w:rFonts w:ascii="Times New Roman" w:hAnsi="Times New Roman"/>
              </w:rPr>
              <w:t>CCTGTTGGGCTTTCAGCTCT</w:t>
            </w:r>
          </w:p>
        </w:tc>
        <w:tc>
          <w:tcPr>
            <w:tcW w:w="3382" w:type="dxa"/>
            <w:tcBorders>
              <w:top w:val="nil"/>
              <w:left w:val="nil"/>
              <w:bottom w:val="nil"/>
              <w:right w:val="single" w:sz="4" w:space="0" w:color="auto"/>
            </w:tcBorders>
          </w:tcPr>
          <w:p w14:paraId="4F08DA56" w14:textId="77777777" w:rsidR="000602AD" w:rsidRDefault="00000000">
            <w:pPr>
              <w:rPr>
                <w:rFonts w:ascii="Times New Roman" w:hAnsi="Times New Roman" w:cs="Times New Roman"/>
              </w:rPr>
            </w:pPr>
            <w:r>
              <w:rPr>
                <w:rFonts w:ascii="Times New Roman" w:hAnsi="Times New Roman"/>
              </w:rPr>
              <w:t>CCGTTCTGCTGCACGTATTG</w:t>
            </w:r>
          </w:p>
        </w:tc>
      </w:tr>
      <w:tr w:rsidR="000602AD" w14:paraId="0C328732" w14:textId="77777777">
        <w:trPr>
          <w:trHeight w:val="284"/>
        </w:trPr>
        <w:tc>
          <w:tcPr>
            <w:tcW w:w="1415" w:type="dxa"/>
            <w:tcBorders>
              <w:top w:val="nil"/>
              <w:left w:val="single" w:sz="4" w:space="0" w:color="auto"/>
              <w:bottom w:val="single" w:sz="4" w:space="0" w:color="auto"/>
              <w:right w:val="nil"/>
            </w:tcBorders>
          </w:tcPr>
          <w:p w14:paraId="0179B486" w14:textId="77777777" w:rsidR="000602AD" w:rsidRDefault="00000000">
            <w:pPr>
              <w:rPr>
                <w:rFonts w:ascii="Times New Roman" w:hAnsi="Times New Roman" w:cs="Times New Roman"/>
                <w:i/>
                <w:iCs/>
              </w:rPr>
            </w:pPr>
            <w:r>
              <w:rPr>
                <w:rFonts w:ascii="Times New Roman" w:hAnsi="Times New Roman" w:cs="Times New Roman"/>
                <w:i/>
                <w:iCs/>
              </w:rPr>
              <w:t>Mmp9</w:t>
            </w:r>
          </w:p>
        </w:tc>
        <w:tc>
          <w:tcPr>
            <w:tcW w:w="3499" w:type="dxa"/>
            <w:tcBorders>
              <w:top w:val="nil"/>
              <w:left w:val="nil"/>
              <w:bottom w:val="single" w:sz="4" w:space="0" w:color="auto"/>
              <w:right w:val="nil"/>
            </w:tcBorders>
          </w:tcPr>
          <w:p w14:paraId="350F1800" w14:textId="77777777" w:rsidR="000602AD" w:rsidRDefault="00000000">
            <w:pPr>
              <w:rPr>
                <w:rFonts w:ascii="Times New Roman" w:hAnsi="Times New Roman" w:cs="Times New Roman"/>
              </w:rPr>
            </w:pPr>
            <w:r>
              <w:rPr>
                <w:rFonts w:ascii="Times New Roman" w:hAnsi="Times New Roman"/>
              </w:rPr>
              <w:t>TGGTCTTCCCCAAAGACCTG</w:t>
            </w:r>
          </w:p>
        </w:tc>
        <w:tc>
          <w:tcPr>
            <w:tcW w:w="3382" w:type="dxa"/>
            <w:tcBorders>
              <w:top w:val="nil"/>
              <w:left w:val="nil"/>
              <w:bottom w:val="single" w:sz="4" w:space="0" w:color="auto"/>
              <w:right w:val="single" w:sz="4" w:space="0" w:color="auto"/>
            </w:tcBorders>
          </w:tcPr>
          <w:p w14:paraId="1F188EFF" w14:textId="77777777" w:rsidR="000602AD" w:rsidRDefault="00000000">
            <w:pPr>
              <w:rPr>
                <w:rFonts w:ascii="Times New Roman" w:hAnsi="Times New Roman" w:cs="Times New Roman"/>
              </w:rPr>
            </w:pPr>
            <w:r>
              <w:rPr>
                <w:rFonts w:ascii="Times New Roman" w:hAnsi="Times New Roman"/>
              </w:rPr>
              <w:t>CACAGCGTGGTGTTCGAATG</w:t>
            </w:r>
          </w:p>
        </w:tc>
      </w:tr>
      <w:tr w:rsidR="000602AD" w14:paraId="239A11BF" w14:textId="77777777">
        <w:trPr>
          <w:trHeight w:val="32"/>
        </w:trPr>
        <w:tc>
          <w:tcPr>
            <w:tcW w:w="1415" w:type="dxa"/>
            <w:tcBorders>
              <w:top w:val="single" w:sz="4" w:space="0" w:color="auto"/>
              <w:left w:val="nil"/>
              <w:bottom w:val="nil"/>
              <w:right w:val="nil"/>
            </w:tcBorders>
          </w:tcPr>
          <w:p w14:paraId="09794DFD" w14:textId="77777777" w:rsidR="000602AD" w:rsidRDefault="000602AD">
            <w:pPr>
              <w:rPr>
                <w:rFonts w:ascii="Times New Roman" w:hAnsi="Times New Roman" w:cs="Times New Roman"/>
                <w:i/>
                <w:iCs/>
              </w:rPr>
            </w:pPr>
          </w:p>
        </w:tc>
        <w:tc>
          <w:tcPr>
            <w:tcW w:w="3499" w:type="dxa"/>
            <w:tcBorders>
              <w:top w:val="single" w:sz="4" w:space="0" w:color="auto"/>
              <w:left w:val="nil"/>
              <w:bottom w:val="nil"/>
              <w:right w:val="nil"/>
            </w:tcBorders>
          </w:tcPr>
          <w:p w14:paraId="0DB1A350" w14:textId="77777777" w:rsidR="000602AD" w:rsidRDefault="000602AD">
            <w:pPr>
              <w:rPr>
                <w:rFonts w:ascii="Times New Roman" w:hAnsi="Times New Roman" w:cs="Times New Roman"/>
              </w:rPr>
            </w:pPr>
          </w:p>
        </w:tc>
        <w:tc>
          <w:tcPr>
            <w:tcW w:w="3382" w:type="dxa"/>
            <w:tcBorders>
              <w:top w:val="single" w:sz="4" w:space="0" w:color="auto"/>
              <w:left w:val="nil"/>
              <w:bottom w:val="nil"/>
              <w:right w:val="nil"/>
            </w:tcBorders>
          </w:tcPr>
          <w:p w14:paraId="72D2FF53" w14:textId="77777777" w:rsidR="000602AD" w:rsidRDefault="000602AD">
            <w:pPr>
              <w:rPr>
                <w:rFonts w:ascii="Times New Roman" w:hAnsi="Times New Roman" w:cs="Times New Roman"/>
              </w:rPr>
            </w:pPr>
          </w:p>
        </w:tc>
      </w:tr>
    </w:tbl>
    <w:p w14:paraId="68A78E8C" w14:textId="77777777" w:rsidR="000602AD" w:rsidRDefault="00000000">
      <w:pPr>
        <w:rPr>
          <w:rFonts w:ascii="Times New Roman" w:hAnsi="Times New Roman" w:cs="Times New Roman"/>
        </w:rPr>
      </w:pPr>
      <w:r>
        <w:rPr>
          <w:rFonts w:ascii="Times New Roman" w:hAnsi="Times New Roman" w:cs="Times New Roman"/>
        </w:rPr>
        <w:t xml:space="preserve">Table S3 Primers used for </w:t>
      </w:r>
      <w:proofErr w:type="spellStart"/>
      <w:r>
        <w:rPr>
          <w:rFonts w:ascii="Times New Roman" w:hAnsi="Times New Roman" w:cs="Times New Roman"/>
        </w:rPr>
        <w:t>qRT</w:t>
      </w:r>
      <w:proofErr w:type="spellEnd"/>
      <w:r>
        <w:rPr>
          <w:rFonts w:ascii="Times New Roman" w:hAnsi="Times New Roman" w:cs="Times New Roman"/>
        </w:rPr>
        <w:t>-PCR of angiogenesis genes (Human)</w:t>
      </w:r>
    </w:p>
    <w:tbl>
      <w:tblPr>
        <w:tblStyle w:val="aa"/>
        <w:tblW w:w="0" w:type="auto"/>
        <w:tblLook w:val="04A0" w:firstRow="1" w:lastRow="0" w:firstColumn="1" w:lastColumn="0" w:noHBand="0" w:noVBand="1"/>
      </w:tblPr>
      <w:tblGrid>
        <w:gridCol w:w="1409"/>
        <w:gridCol w:w="3498"/>
        <w:gridCol w:w="3389"/>
      </w:tblGrid>
      <w:tr w:rsidR="000602AD" w14:paraId="2ACD6152" w14:textId="77777777">
        <w:tc>
          <w:tcPr>
            <w:tcW w:w="1416" w:type="dxa"/>
            <w:tcBorders>
              <w:top w:val="single" w:sz="4" w:space="0" w:color="auto"/>
              <w:left w:val="single" w:sz="4" w:space="0" w:color="auto"/>
              <w:bottom w:val="single" w:sz="4" w:space="0" w:color="auto"/>
              <w:right w:val="nil"/>
            </w:tcBorders>
          </w:tcPr>
          <w:p w14:paraId="7F14799B" w14:textId="77777777" w:rsidR="000602AD" w:rsidRDefault="00000000">
            <w:pPr>
              <w:rPr>
                <w:rFonts w:ascii="Times New Roman" w:hAnsi="Times New Roman" w:cs="Times New Roman"/>
              </w:rPr>
            </w:pPr>
            <w:r>
              <w:rPr>
                <w:rFonts w:ascii="Times New Roman" w:hAnsi="Times New Roman" w:cs="Times New Roman"/>
              </w:rPr>
              <w:t>Gene</w:t>
            </w:r>
          </w:p>
        </w:tc>
        <w:tc>
          <w:tcPr>
            <w:tcW w:w="3500" w:type="dxa"/>
            <w:tcBorders>
              <w:top w:val="single" w:sz="4" w:space="0" w:color="auto"/>
              <w:left w:val="nil"/>
              <w:bottom w:val="single" w:sz="4" w:space="0" w:color="auto"/>
              <w:right w:val="nil"/>
            </w:tcBorders>
          </w:tcPr>
          <w:p w14:paraId="4F8A2CF6" w14:textId="77777777" w:rsidR="000602AD" w:rsidRDefault="00000000">
            <w:pPr>
              <w:rPr>
                <w:rFonts w:ascii="Times New Roman" w:hAnsi="Times New Roman" w:cs="Times New Roman"/>
              </w:rPr>
            </w:pPr>
            <w:r>
              <w:rPr>
                <w:rFonts w:ascii="Times New Roman" w:hAnsi="Times New Roman" w:cs="Times New Roman"/>
              </w:rPr>
              <w:t>Forward primers (5’ to 3’)</w:t>
            </w:r>
          </w:p>
        </w:tc>
        <w:tc>
          <w:tcPr>
            <w:tcW w:w="3390" w:type="dxa"/>
            <w:tcBorders>
              <w:top w:val="single" w:sz="4" w:space="0" w:color="auto"/>
              <w:left w:val="nil"/>
              <w:bottom w:val="single" w:sz="4" w:space="0" w:color="auto"/>
              <w:right w:val="single" w:sz="4" w:space="0" w:color="auto"/>
            </w:tcBorders>
          </w:tcPr>
          <w:p w14:paraId="02EBCABD" w14:textId="77777777" w:rsidR="000602AD" w:rsidRDefault="00000000">
            <w:pPr>
              <w:rPr>
                <w:rFonts w:ascii="Times New Roman" w:hAnsi="Times New Roman" w:cs="Times New Roman"/>
              </w:rPr>
            </w:pPr>
            <w:r>
              <w:rPr>
                <w:rFonts w:ascii="Times New Roman" w:hAnsi="Times New Roman" w:cs="Times New Roman"/>
              </w:rPr>
              <w:t>Reverse primers (5’ to 3’)</w:t>
            </w:r>
          </w:p>
        </w:tc>
      </w:tr>
      <w:tr w:rsidR="000602AD" w14:paraId="7810D620" w14:textId="77777777">
        <w:tc>
          <w:tcPr>
            <w:tcW w:w="1416" w:type="dxa"/>
            <w:tcBorders>
              <w:top w:val="single" w:sz="4" w:space="0" w:color="auto"/>
              <w:left w:val="single" w:sz="4" w:space="0" w:color="auto"/>
              <w:bottom w:val="nil"/>
              <w:right w:val="nil"/>
            </w:tcBorders>
          </w:tcPr>
          <w:p w14:paraId="241B4429" w14:textId="77777777" w:rsidR="000602AD" w:rsidRDefault="00000000">
            <w:pPr>
              <w:rPr>
                <w:rFonts w:ascii="Times New Roman" w:hAnsi="Times New Roman" w:cs="Times New Roman"/>
                <w:i/>
                <w:iCs/>
              </w:rPr>
            </w:pPr>
            <w:r>
              <w:rPr>
                <w:rFonts w:ascii="Times New Roman" w:hAnsi="Times New Roman" w:cs="Times New Roman"/>
                <w:i/>
                <w:iCs/>
              </w:rPr>
              <w:t>F</w:t>
            </w:r>
            <w:r>
              <w:rPr>
                <w:rFonts w:ascii="Times New Roman" w:hAnsi="Times New Roman" w:cs="Times New Roman" w:hint="eastAsia"/>
                <w:i/>
                <w:iCs/>
              </w:rPr>
              <w:t>GF</w:t>
            </w:r>
            <w:r>
              <w:rPr>
                <w:rFonts w:ascii="Times New Roman" w:hAnsi="Times New Roman" w:cs="Times New Roman"/>
                <w:i/>
                <w:iCs/>
              </w:rPr>
              <w:t>2</w:t>
            </w:r>
          </w:p>
        </w:tc>
        <w:tc>
          <w:tcPr>
            <w:tcW w:w="3500" w:type="dxa"/>
            <w:tcBorders>
              <w:top w:val="single" w:sz="4" w:space="0" w:color="auto"/>
              <w:left w:val="nil"/>
              <w:bottom w:val="nil"/>
              <w:right w:val="nil"/>
            </w:tcBorders>
          </w:tcPr>
          <w:p w14:paraId="45129A4F" w14:textId="77777777" w:rsidR="000602AD" w:rsidRDefault="00000000">
            <w:pPr>
              <w:rPr>
                <w:rFonts w:ascii="Times New Roman" w:hAnsi="Times New Roman" w:cs="Times New Roman"/>
              </w:rPr>
            </w:pPr>
            <w:r>
              <w:rPr>
                <w:rFonts w:ascii="Times New Roman" w:hAnsi="Times New Roman" w:cs="Times New Roman"/>
              </w:rPr>
              <w:t>AGCGACCCTCACATCAAG</w:t>
            </w:r>
          </w:p>
        </w:tc>
        <w:tc>
          <w:tcPr>
            <w:tcW w:w="3390" w:type="dxa"/>
            <w:tcBorders>
              <w:top w:val="single" w:sz="4" w:space="0" w:color="auto"/>
              <w:left w:val="nil"/>
              <w:bottom w:val="nil"/>
              <w:right w:val="single" w:sz="4" w:space="0" w:color="auto"/>
            </w:tcBorders>
          </w:tcPr>
          <w:p w14:paraId="75B69220" w14:textId="77777777" w:rsidR="000602AD" w:rsidRDefault="00000000">
            <w:pPr>
              <w:rPr>
                <w:rFonts w:ascii="Times New Roman" w:hAnsi="Times New Roman" w:cs="Times New Roman"/>
              </w:rPr>
            </w:pPr>
            <w:r>
              <w:rPr>
                <w:rFonts w:ascii="Times New Roman" w:hAnsi="Times New Roman" w:cs="Times New Roman"/>
              </w:rPr>
              <w:t>ATCTCATCTTCCTTCATAGC</w:t>
            </w:r>
          </w:p>
        </w:tc>
      </w:tr>
      <w:tr w:rsidR="000602AD" w14:paraId="7CB1447E" w14:textId="77777777">
        <w:tc>
          <w:tcPr>
            <w:tcW w:w="1416" w:type="dxa"/>
            <w:tcBorders>
              <w:top w:val="nil"/>
              <w:left w:val="single" w:sz="4" w:space="0" w:color="auto"/>
              <w:bottom w:val="single" w:sz="4" w:space="0" w:color="auto"/>
              <w:right w:val="nil"/>
            </w:tcBorders>
          </w:tcPr>
          <w:p w14:paraId="38F3773F" w14:textId="77777777" w:rsidR="000602AD" w:rsidRDefault="00000000">
            <w:pPr>
              <w:rPr>
                <w:rFonts w:ascii="Times New Roman" w:hAnsi="Times New Roman" w:cs="Times New Roman"/>
                <w:i/>
                <w:iCs/>
              </w:rPr>
            </w:pPr>
            <w:r>
              <w:rPr>
                <w:rFonts w:ascii="Times New Roman" w:hAnsi="Times New Roman" w:cs="Times New Roman"/>
                <w:i/>
                <w:iCs/>
              </w:rPr>
              <w:t>VEGF</w:t>
            </w:r>
          </w:p>
        </w:tc>
        <w:tc>
          <w:tcPr>
            <w:tcW w:w="3500" w:type="dxa"/>
            <w:tcBorders>
              <w:top w:val="nil"/>
              <w:left w:val="nil"/>
              <w:bottom w:val="single" w:sz="4" w:space="0" w:color="auto"/>
              <w:right w:val="nil"/>
            </w:tcBorders>
          </w:tcPr>
          <w:p w14:paraId="6F327BD5" w14:textId="77777777" w:rsidR="000602AD" w:rsidRDefault="00000000">
            <w:pPr>
              <w:rPr>
                <w:rFonts w:ascii="Times New Roman" w:hAnsi="Times New Roman" w:cs="Times New Roman"/>
              </w:rPr>
            </w:pPr>
            <w:r>
              <w:rPr>
                <w:rFonts w:ascii="Times New Roman" w:hAnsi="Times New Roman" w:cs="Times New Roman"/>
              </w:rPr>
              <w:t>ATGAGCTTCCTACAGCACAACA</w:t>
            </w:r>
          </w:p>
        </w:tc>
        <w:tc>
          <w:tcPr>
            <w:tcW w:w="3390" w:type="dxa"/>
            <w:tcBorders>
              <w:top w:val="nil"/>
              <w:left w:val="nil"/>
              <w:bottom w:val="single" w:sz="4" w:space="0" w:color="auto"/>
              <w:right w:val="single" w:sz="4" w:space="0" w:color="auto"/>
            </w:tcBorders>
          </w:tcPr>
          <w:p w14:paraId="7EC5934F" w14:textId="77777777" w:rsidR="000602AD" w:rsidRDefault="00000000">
            <w:pPr>
              <w:rPr>
                <w:rFonts w:ascii="Times New Roman" w:hAnsi="Times New Roman" w:cs="Times New Roman"/>
              </w:rPr>
            </w:pPr>
            <w:r>
              <w:rPr>
                <w:rFonts w:ascii="Times New Roman" w:hAnsi="Times New Roman" w:cs="Times New Roman"/>
              </w:rPr>
              <w:t>ACGTACACGCTCCAGGACTTAT</w:t>
            </w:r>
          </w:p>
        </w:tc>
      </w:tr>
    </w:tbl>
    <w:p w14:paraId="379D8D49" w14:textId="77777777" w:rsidR="000602AD" w:rsidRDefault="000602AD">
      <w:pPr>
        <w:rPr>
          <w:rFonts w:ascii="Times New Roman" w:hAnsi="Times New Roman" w:cs="Times New Roman"/>
        </w:rPr>
      </w:pPr>
    </w:p>
    <w:sectPr w:rsidR="000602AD">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291967" w14:textId="77777777" w:rsidR="00406AE4" w:rsidRDefault="00406AE4" w:rsidP="00DE1673">
      <w:pPr>
        <w:rPr>
          <w:rFonts w:hint="eastAsia"/>
        </w:rPr>
      </w:pPr>
      <w:r>
        <w:separator/>
      </w:r>
    </w:p>
  </w:endnote>
  <w:endnote w:type="continuationSeparator" w:id="0">
    <w:p w14:paraId="74BD4568" w14:textId="77777777" w:rsidR="00406AE4" w:rsidRDefault="00406AE4" w:rsidP="00DE167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Times">
    <w:altName w:val="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34DCE" w14:textId="77777777" w:rsidR="00406AE4" w:rsidRDefault="00406AE4" w:rsidP="00DE1673">
      <w:pPr>
        <w:rPr>
          <w:rFonts w:hint="eastAsia"/>
        </w:rPr>
      </w:pPr>
      <w:r>
        <w:separator/>
      </w:r>
    </w:p>
  </w:footnote>
  <w:footnote w:type="continuationSeparator" w:id="0">
    <w:p w14:paraId="4B9DDECE" w14:textId="77777777" w:rsidR="00406AE4" w:rsidRDefault="00406AE4" w:rsidP="00DE167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iomaterials&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s>
  <w:rsids>
    <w:rsidRoot w:val="001431F9"/>
    <w:rsid w:val="000050A2"/>
    <w:rsid w:val="00012D7C"/>
    <w:rsid w:val="0001504A"/>
    <w:rsid w:val="00020915"/>
    <w:rsid w:val="00037E91"/>
    <w:rsid w:val="000511DE"/>
    <w:rsid w:val="000602AD"/>
    <w:rsid w:val="00065973"/>
    <w:rsid w:val="00083937"/>
    <w:rsid w:val="00086973"/>
    <w:rsid w:val="000A5477"/>
    <w:rsid w:val="000A7234"/>
    <w:rsid w:val="000E23F3"/>
    <w:rsid w:val="000E378A"/>
    <w:rsid w:val="000F62CD"/>
    <w:rsid w:val="001022DA"/>
    <w:rsid w:val="00102622"/>
    <w:rsid w:val="001202A1"/>
    <w:rsid w:val="0014110E"/>
    <w:rsid w:val="001431F9"/>
    <w:rsid w:val="00155F51"/>
    <w:rsid w:val="001668D1"/>
    <w:rsid w:val="00175E84"/>
    <w:rsid w:val="0017794A"/>
    <w:rsid w:val="00186912"/>
    <w:rsid w:val="00187247"/>
    <w:rsid w:val="00197E98"/>
    <w:rsid w:val="001A2F6A"/>
    <w:rsid w:val="001A643E"/>
    <w:rsid w:val="001C489E"/>
    <w:rsid w:val="001C670C"/>
    <w:rsid w:val="001D2B36"/>
    <w:rsid w:val="001F76FA"/>
    <w:rsid w:val="00212BFE"/>
    <w:rsid w:val="00215ECF"/>
    <w:rsid w:val="0025073F"/>
    <w:rsid w:val="00255AE2"/>
    <w:rsid w:val="00261D35"/>
    <w:rsid w:val="00280505"/>
    <w:rsid w:val="00292CEC"/>
    <w:rsid w:val="002A3A32"/>
    <w:rsid w:val="002B0CD9"/>
    <w:rsid w:val="002B2377"/>
    <w:rsid w:val="002B314A"/>
    <w:rsid w:val="002B6406"/>
    <w:rsid w:val="002C0E4E"/>
    <w:rsid w:val="002C2BAF"/>
    <w:rsid w:val="002D452F"/>
    <w:rsid w:val="002D668F"/>
    <w:rsid w:val="002E472F"/>
    <w:rsid w:val="002E49B5"/>
    <w:rsid w:val="002F613E"/>
    <w:rsid w:val="00307316"/>
    <w:rsid w:val="00312C99"/>
    <w:rsid w:val="00326695"/>
    <w:rsid w:val="003371E9"/>
    <w:rsid w:val="0035459E"/>
    <w:rsid w:val="00357076"/>
    <w:rsid w:val="00365AB4"/>
    <w:rsid w:val="00374201"/>
    <w:rsid w:val="00375958"/>
    <w:rsid w:val="00386492"/>
    <w:rsid w:val="00394145"/>
    <w:rsid w:val="003961F8"/>
    <w:rsid w:val="00396EE5"/>
    <w:rsid w:val="003C05B3"/>
    <w:rsid w:val="003C173F"/>
    <w:rsid w:val="004057B6"/>
    <w:rsid w:val="00406AE4"/>
    <w:rsid w:val="00412FD8"/>
    <w:rsid w:val="00416BF6"/>
    <w:rsid w:val="004302E0"/>
    <w:rsid w:val="00430CB0"/>
    <w:rsid w:val="00435AF6"/>
    <w:rsid w:val="00446F5C"/>
    <w:rsid w:val="00461E61"/>
    <w:rsid w:val="00465D81"/>
    <w:rsid w:val="004677EA"/>
    <w:rsid w:val="0047181A"/>
    <w:rsid w:val="004849B4"/>
    <w:rsid w:val="00485273"/>
    <w:rsid w:val="00494A70"/>
    <w:rsid w:val="004B4DCA"/>
    <w:rsid w:val="004C54A2"/>
    <w:rsid w:val="004C56EC"/>
    <w:rsid w:val="004E4C0D"/>
    <w:rsid w:val="004E5EF1"/>
    <w:rsid w:val="00505A1C"/>
    <w:rsid w:val="00523497"/>
    <w:rsid w:val="00523692"/>
    <w:rsid w:val="00532D1C"/>
    <w:rsid w:val="00547670"/>
    <w:rsid w:val="005556EC"/>
    <w:rsid w:val="00571819"/>
    <w:rsid w:val="005A017B"/>
    <w:rsid w:val="005C2518"/>
    <w:rsid w:val="005D6DA1"/>
    <w:rsid w:val="005F2093"/>
    <w:rsid w:val="00602486"/>
    <w:rsid w:val="00610A51"/>
    <w:rsid w:val="00614C34"/>
    <w:rsid w:val="006339F8"/>
    <w:rsid w:val="0065394B"/>
    <w:rsid w:val="00673649"/>
    <w:rsid w:val="0067582A"/>
    <w:rsid w:val="00680678"/>
    <w:rsid w:val="0068127D"/>
    <w:rsid w:val="00682898"/>
    <w:rsid w:val="006831EF"/>
    <w:rsid w:val="006859A9"/>
    <w:rsid w:val="006A695C"/>
    <w:rsid w:val="006B1F99"/>
    <w:rsid w:val="006B5B85"/>
    <w:rsid w:val="006C0C44"/>
    <w:rsid w:val="006D4D0F"/>
    <w:rsid w:val="006D5553"/>
    <w:rsid w:val="006E5F6F"/>
    <w:rsid w:val="00717613"/>
    <w:rsid w:val="00720C74"/>
    <w:rsid w:val="00741E19"/>
    <w:rsid w:val="0074595E"/>
    <w:rsid w:val="00751EFA"/>
    <w:rsid w:val="00757778"/>
    <w:rsid w:val="00760ADB"/>
    <w:rsid w:val="0076168C"/>
    <w:rsid w:val="00775A3D"/>
    <w:rsid w:val="00792644"/>
    <w:rsid w:val="007A2019"/>
    <w:rsid w:val="007A35D5"/>
    <w:rsid w:val="007B5F0A"/>
    <w:rsid w:val="007D6DC5"/>
    <w:rsid w:val="007E1F87"/>
    <w:rsid w:val="007E4668"/>
    <w:rsid w:val="008028EE"/>
    <w:rsid w:val="00805723"/>
    <w:rsid w:val="0081100F"/>
    <w:rsid w:val="00814805"/>
    <w:rsid w:val="008339C8"/>
    <w:rsid w:val="0084249D"/>
    <w:rsid w:val="00847B92"/>
    <w:rsid w:val="00860D29"/>
    <w:rsid w:val="00860DD9"/>
    <w:rsid w:val="008815E5"/>
    <w:rsid w:val="00884689"/>
    <w:rsid w:val="00887D7A"/>
    <w:rsid w:val="008B2B5A"/>
    <w:rsid w:val="008C11D7"/>
    <w:rsid w:val="008D11F8"/>
    <w:rsid w:val="008D4054"/>
    <w:rsid w:val="008E324A"/>
    <w:rsid w:val="00916F6F"/>
    <w:rsid w:val="00923AAB"/>
    <w:rsid w:val="00925303"/>
    <w:rsid w:val="009278F8"/>
    <w:rsid w:val="009332A4"/>
    <w:rsid w:val="00935BF2"/>
    <w:rsid w:val="00943666"/>
    <w:rsid w:val="009476C0"/>
    <w:rsid w:val="0095595C"/>
    <w:rsid w:val="00964DC4"/>
    <w:rsid w:val="00972E82"/>
    <w:rsid w:val="0098055F"/>
    <w:rsid w:val="00982287"/>
    <w:rsid w:val="00985273"/>
    <w:rsid w:val="00991F1D"/>
    <w:rsid w:val="00995DCB"/>
    <w:rsid w:val="00997042"/>
    <w:rsid w:val="009A355B"/>
    <w:rsid w:val="009B0982"/>
    <w:rsid w:val="009C2146"/>
    <w:rsid w:val="009E44B3"/>
    <w:rsid w:val="009E4D09"/>
    <w:rsid w:val="009F4436"/>
    <w:rsid w:val="009F7DDE"/>
    <w:rsid w:val="00A13288"/>
    <w:rsid w:val="00A156C7"/>
    <w:rsid w:val="00A219C5"/>
    <w:rsid w:val="00A35A9B"/>
    <w:rsid w:val="00A43529"/>
    <w:rsid w:val="00A437DB"/>
    <w:rsid w:val="00A61223"/>
    <w:rsid w:val="00A628A9"/>
    <w:rsid w:val="00A674A7"/>
    <w:rsid w:val="00A74389"/>
    <w:rsid w:val="00A7574E"/>
    <w:rsid w:val="00AB7D47"/>
    <w:rsid w:val="00AD43BF"/>
    <w:rsid w:val="00AE2617"/>
    <w:rsid w:val="00AE42FD"/>
    <w:rsid w:val="00B05690"/>
    <w:rsid w:val="00B14F18"/>
    <w:rsid w:val="00B23CA3"/>
    <w:rsid w:val="00B653F2"/>
    <w:rsid w:val="00B67D9A"/>
    <w:rsid w:val="00B75192"/>
    <w:rsid w:val="00B80ED5"/>
    <w:rsid w:val="00B8169C"/>
    <w:rsid w:val="00BB487B"/>
    <w:rsid w:val="00BB5D79"/>
    <w:rsid w:val="00BB7491"/>
    <w:rsid w:val="00BE5ADE"/>
    <w:rsid w:val="00C61364"/>
    <w:rsid w:val="00C72645"/>
    <w:rsid w:val="00C74174"/>
    <w:rsid w:val="00CA0D2F"/>
    <w:rsid w:val="00CB446C"/>
    <w:rsid w:val="00CD6A36"/>
    <w:rsid w:val="00CF7610"/>
    <w:rsid w:val="00D023BE"/>
    <w:rsid w:val="00D035F2"/>
    <w:rsid w:val="00D116C8"/>
    <w:rsid w:val="00D162DC"/>
    <w:rsid w:val="00D347E5"/>
    <w:rsid w:val="00D50A3C"/>
    <w:rsid w:val="00D540E3"/>
    <w:rsid w:val="00D542CC"/>
    <w:rsid w:val="00D73F36"/>
    <w:rsid w:val="00D92713"/>
    <w:rsid w:val="00DB5189"/>
    <w:rsid w:val="00DB7983"/>
    <w:rsid w:val="00DD3864"/>
    <w:rsid w:val="00DD72D8"/>
    <w:rsid w:val="00DE0D28"/>
    <w:rsid w:val="00DE1673"/>
    <w:rsid w:val="00DF09BE"/>
    <w:rsid w:val="00DF3051"/>
    <w:rsid w:val="00E10438"/>
    <w:rsid w:val="00E31B41"/>
    <w:rsid w:val="00E37150"/>
    <w:rsid w:val="00E42BAC"/>
    <w:rsid w:val="00E614B8"/>
    <w:rsid w:val="00E812B6"/>
    <w:rsid w:val="00E957A7"/>
    <w:rsid w:val="00E977A4"/>
    <w:rsid w:val="00EC26F5"/>
    <w:rsid w:val="00EE4455"/>
    <w:rsid w:val="00EF75E3"/>
    <w:rsid w:val="00F037F1"/>
    <w:rsid w:val="00F153E9"/>
    <w:rsid w:val="00F33A45"/>
    <w:rsid w:val="00F52F0F"/>
    <w:rsid w:val="00F54DE3"/>
    <w:rsid w:val="00F626AE"/>
    <w:rsid w:val="00F7221D"/>
    <w:rsid w:val="00F8019C"/>
    <w:rsid w:val="00F94AF6"/>
    <w:rsid w:val="00FA2D78"/>
    <w:rsid w:val="00FA4919"/>
    <w:rsid w:val="00FB72C3"/>
    <w:rsid w:val="00FC6F44"/>
    <w:rsid w:val="00FC7236"/>
    <w:rsid w:val="00FE0897"/>
    <w:rsid w:val="00FE5760"/>
    <w:rsid w:val="09753FAD"/>
    <w:rsid w:val="135B31E0"/>
    <w:rsid w:val="222A213F"/>
    <w:rsid w:val="3B181801"/>
    <w:rsid w:val="550405A8"/>
    <w:rsid w:val="5F420798"/>
    <w:rsid w:val="68412571"/>
    <w:rsid w:val="761E60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797A201E"/>
  <w14:defaultImageDpi w14:val="32767"/>
  <w15:docId w15:val="{35D7B1DF-A45A-47B4-AC9C-425D6486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rFonts w:asciiTheme="majorHAnsi" w:eastAsia="黑体" w:hAnsiTheme="majorHAnsi" w:cstheme="majorBidi"/>
      <w:sz w:val="20"/>
      <w:szCs w:val="20"/>
    </w:rPr>
  </w:style>
  <w:style w:type="paragraph" w:styleId="a4">
    <w:name w:val="footer"/>
    <w:basedOn w:val="a"/>
    <w:link w:val="a5"/>
    <w:uiPriority w:val="99"/>
    <w:unhideWhenUsed/>
    <w:qFormat/>
    <w:pPr>
      <w:tabs>
        <w:tab w:val="center" w:pos="4153"/>
        <w:tab w:val="right" w:pos="8306"/>
      </w:tabs>
      <w:snapToGrid w:val="0"/>
      <w:jc w:val="left"/>
    </w:pPr>
    <w:rPr>
      <w:sz w:val="18"/>
      <w:szCs w:val="18"/>
    </w:rPr>
  </w:style>
  <w:style w:type="paragraph" w:styleId="a6">
    <w:name w:val="header"/>
    <w:basedOn w:val="a"/>
    <w:link w:val="a7"/>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link w:val="a9"/>
    <w:unhideWhenUsed/>
    <w:qFormat/>
    <w:pPr>
      <w:widowControl/>
      <w:spacing w:before="100" w:beforeAutospacing="1" w:after="100" w:afterAutospacing="1"/>
      <w:jc w:val="left"/>
    </w:pPr>
    <w:rPr>
      <w:rFonts w:ascii="宋体" w:eastAsia="宋体" w:hAnsi="宋体" w:cs="宋体"/>
      <w:kern w:val="0"/>
      <w:sz w:val="24"/>
      <w:szCs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styleId="ac">
    <w:name w:val="line number"/>
    <w:basedOn w:val="a0"/>
    <w:uiPriority w:val="99"/>
    <w:semiHidden/>
    <w:unhideWhenUsed/>
    <w:qFormat/>
  </w:style>
  <w:style w:type="character" w:customStyle="1" w:styleId="a7">
    <w:name w:val="页眉 字符"/>
    <w:basedOn w:val="a0"/>
    <w:link w:val="a6"/>
    <w:uiPriority w:val="99"/>
    <w:qFormat/>
    <w:rPr>
      <w:sz w:val="18"/>
      <w:szCs w:val="18"/>
    </w:rPr>
  </w:style>
  <w:style w:type="character" w:customStyle="1" w:styleId="a5">
    <w:name w:val="页脚 字符"/>
    <w:basedOn w:val="a0"/>
    <w:link w:val="a4"/>
    <w:uiPriority w:val="99"/>
    <w:qFormat/>
    <w:rPr>
      <w:sz w:val="18"/>
      <w:szCs w:val="18"/>
    </w:rPr>
  </w:style>
  <w:style w:type="paragraph" w:customStyle="1" w:styleId="EndNoteBibliographyTitle">
    <w:name w:val="EndNote Bibliography Title"/>
    <w:basedOn w:val="a"/>
    <w:link w:val="EndNoteBibliographyTitle0"/>
    <w:qFormat/>
    <w:pPr>
      <w:jc w:val="center"/>
    </w:pPr>
    <w:rPr>
      <w:rFonts w:ascii="等线" w:eastAsia="等线" w:hAnsi="等线"/>
      <w:sz w:val="20"/>
    </w:rPr>
  </w:style>
  <w:style w:type="character" w:customStyle="1" w:styleId="EndNoteBibliographyTitle0">
    <w:name w:val="EndNote Bibliography Title 字符"/>
    <w:basedOn w:val="a0"/>
    <w:link w:val="EndNoteBibliographyTitle"/>
    <w:rPr>
      <w:rFonts w:ascii="等线" w:eastAsia="等线" w:hAnsi="等线"/>
      <w:sz w:val="20"/>
    </w:rPr>
  </w:style>
  <w:style w:type="paragraph" w:customStyle="1" w:styleId="EndNoteBibliography">
    <w:name w:val="EndNote Bibliography"/>
    <w:basedOn w:val="a"/>
    <w:link w:val="EndNoteBibliography0"/>
    <w:qFormat/>
    <w:rPr>
      <w:rFonts w:ascii="等线" w:eastAsia="等线" w:hAnsi="等线"/>
      <w:sz w:val="20"/>
    </w:rPr>
  </w:style>
  <w:style w:type="character" w:customStyle="1" w:styleId="EndNoteBibliography0">
    <w:name w:val="EndNote Bibliography 字符"/>
    <w:basedOn w:val="a0"/>
    <w:link w:val="EndNoteBibliography"/>
    <w:rPr>
      <w:rFonts w:ascii="等线" w:eastAsia="等线" w:hAnsi="等线"/>
      <w:sz w:val="20"/>
    </w:rPr>
  </w:style>
  <w:style w:type="paragraph" w:customStyle="1" w:styleId="1">
    <w:name w:val="修订1"/>
    <w:hidden/>
    <w:uiPriority w:val="99"/>
    <w:unhideWhenUsed/>
    <w:qFormat/>
    <w:rPr>
      <w:kern w:val="2"/>
      <w:sz w:val="21"/>
      <w:szCs w:val="22"/>
    </w:rPr>
  </w:style>
  <w:style w:type="character" w:customStyle="1" w:styleId="a9">
    <w:name w:val="普通(网站) 字符"/>
    <w:basedOn w:val="a0"/>
    <w:link w:val="a8"/>
    <w:qFormat/>
    <w:rsid w:val="00602486"/>
    <w:rPr>
      <w:rFonts w:ascii="宋体" w:eastAsia="宋体" w:hAnsi="宋体" w:cs="宋体"/>
      <w:sz w:val="24"/>
      <w:szCs w:val="24"/>
    </w:rPr>
  </w:style>
  <w:style w:type="paragraph" w:customStyle="1" w:styleId="BGKeywords">
    <w:name w:val="BG_Keywords"/>
    <w:basedOn w:val="a"/>
    <w:link w:val="BGKeywords0"/>
    <w:rsid w:val="00602486"/>
    <w:pPr>
      <w:widowControl/>
      <w:spacing w:after="200" w:line="480" w:lineRule="auto"/>
    </w:pPr>
    <w:rPr>
      <w:rFonts w:ascii="Times" w:hAnsi="Times" w:cs="Times New Roman"/>
      <w:kern w:val="0"/>
      <w:sz w:val="24"/>
      <w:szCs w:val="20"/>
      <w:lang w:eastAsia="en-US"/>
    </w:rPr>
  </w:style>
  <w:style w:type="character" w:customStyle="1" w:styleId="BGKeywords0">
    <w:name w:val="BG_Keywords 字符"/>
    <w:basedOn w:val="a0"/>
    <w:link w:val="BGKeywords"/>
    <w:rsid w:val="00602486"/>
    <w:rPr>
      <w:rFonts w:ascii="Times" w:hAnsi="Times" w:cs="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tiff"/><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8"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A30C624-735D-4A5F-9261-61E78A3B2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16</Pages>
  <Words>1592</Words>
  <Characters>9076</Characters>
  <Application>Microsoft Office Word</Application>
  <DocSecurity>0</DocSecurity>
  <Lines>75</Lines>
  <Paragraphs>21</Paragraphs>
  <ScaleCrop>false</ScaleCrop>
  <Company/>
  <LinksUpToDate>false</LinksUpToDate>
  <CharactersWithSpaces>10647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利平</dc:creator>
  <cp:lastModifiedBy>佳琪 房</cp:lastModifiedBy>
  <cp:revision>4</cp:revision>
  <cp:lastPrinted>2026-02-08T12:46:00Z</cp:lastPrinted>
  <dcterms:created xsi:type="dcterms:W3CDTF">2026-07-06T09:12:00Z</dcterms:created>
  <dcterms:modified xsi:type="dcterms:W3CDTF">2026-07-14T07:49:00Z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eyJoZGlkIjoiMTNhNGI0ZDhkYjU0MTgxN2M2MzgxNDhjYzNmZWJlMTgiLCJ1c2VySWQiOiIyNzU0OTM5OTQifQ==</vt:lpwstr>
  </property>
  <property fmtid="{D5CDD505-2E9C-101B-9397-08002B2CF9AE}" pid="3" name="KSOProductBuildVer">
    <vt:lpwstr>2052-12.1.0.23542</vt:lpwstr>
  </property>
  <property fmtid="{D5CDD505-2E9C-101B-9397-08002B2CF9AE}" pid="4" name="ICV">
    <vt:lpwstr>993D25012078426EA2B6FD471A94870C_13</vt:lpwstr>
  </property>
</Properties>
</file>