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12861">
      <w:pPr>
        <w:widowControl/>
        <w:spacing w:line="240" w:lineRule="auto"/>
        <w:jc w:val="left"/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  <w:t xml:space="preserve">Supplementary </w:t>
      </w:r>
      <w:r>
        <w:rPr>
          <w:rFonts w:hint="default" w:ascii="Times New Roman Regular" w:hAnsi="Times New Roman Regular" w:eastAsia="宋体" w:cs="Times New Roman Regular"/>
          <w:b/>
          <w:bCs/>
          <w:sz w:val="24"/>
          <w:szCs w:val="24"/>
          <w:shd w:val="clear" w:color="auto" w:fill="FFFFFF"/>
        </w:rPr>
        <w:t>Table 1. MAP and HR at various time points during the study period in the intention-to-treat and per-protocol populations.</w:t>
      </w:r>
      <w:r>
        <w:rPr>
          <w:rFonts w:hint="default" w:ascii="Times New Roman Regular" w:hAnsi="Times New Roman Regular" w:eastAsia="宋体" w:cs="Times New Roman Regular"/>
          <w:b/>
          <w:bCs/>
          <w:sz w:val="24"/>
          <w:szCs w:val="24"/>
        </w:rPr>
        <w:t xml:space="preserve"> </w:t>
      </w:r>
    </w:p>
    <w:tbl>
      <w:tblPr>
        <w:tblStyle w:val="12"/>
        <w:tblW w:w="12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1778"/>
        <w:gridCol w:w="1779"/>
        <w:gridCol w:w="1782"/>
        <w:gridCol w:w="1601"/>
        <w:gridCol w:w="1601"/>
        <w:gridCol w:w="1603"/>
      </w:tblGrid>
      <w:tr w14:paraId="232FB08F">
        <w:trPr>
          <w:trHeight w:val="283" w:hRule="atLeast"/>
          <w:tblHeader/>
          <w:jc w:val="center"/>
        </w:trPr>
        <w:tc>
          <w:tcPr>
            <w:tcW w:w="2635" w:type="dxa"/>
            <w:vMerge w:val="restart"/>
            <w:tcBorders>
              <w:top w:val="single" w:color="auto" w:sz="4" w:space="0"/>
            </w:tcBorders>
            <w:vAlign w:val="center"/>
          </w:tcPr>
          <w:p w14:paraId="5F16EA2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39" w:type="dxa"/>
            <w:gridSpan w:val="3"/>
            <w:tcBorders>
              <w:top w:val="single" w:color="auto" w:sz="4" w:space="0"/>
            </w:tcBorders>
            <w:vAlign w:val="center"/>
          </w:tcPr>
          <w:p w14:paraId="0D22B17E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Intention to Treat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</w:tcBorders>
            <w:vAlign w:val="center"/>
          </w:tcPr>
          <w:p w14:paraId="06FFECE5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kern w:val="0"/>
                <w:sz w:val="24"/>
                <w:szCs w:val="24"/>
                <w:lang w:bidi="ar"/>
              </w:rPr>
              <w:t>Per-protocol</w:t>
            </w:r>
          </w:p>
        </w:tc>
      </w:tr>
      <w:tr w14:paraId="2790919A">
        <w:trPr>
          <w:trHeight w:val="557" w:hRule="atLeast"/>
          <w:tblHeader/>
          <w:jc w:val="center"/>
        </w:trPr>
        <w:tc>
          <w:tcPr>
            <w:tcW w:w="2635" w:type="dxa"/>
            <w:vMerge w:val="continue"/>
            <w:tcBorders>
              <w:bottom w:val="single" w:color="auto" w:sz="4" w:space="0"/>
            </w:tcBorders>
            <w:vAlign w:val="center"/>
          </w:tcPr>
          <w:p w14:paraId="77952D9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0323A5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 xml:space="preserve">Group E </w:t>
            </w:r>
          </w:p>
          <w:p w14:paraId="607B3B7E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(n = 90)</w:t>
            </w:r>
          </w:p>
        </w:tc>
        <w:tc>
          <w:tcPr>
            <w:tcW w:w="17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A646B5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Group R</w:t>
            </w:r>
          </w:p>
          <w:p w14:paraId="6FF38A35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(n = 90)</w:t>
            </w:r>
          </w:p>
        </w:tc>
        <w:tc>
          <w:tcPr>
            <w:tcW w:w="17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0A0837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Total</w:t>
            </w:r>
          </w:p>
          <w:p w14:paraId="34EA14A7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(n = 180)</w:t>
            </w:r>
          </w:p>
        </w:tc>
        <w:tc>
          <w:tcPr>
            <w:tcW w:w="16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270916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Group E (n = 82)</w:t>
            </w:r>
          </w:p>
        </w:tc>
        <w:tc>
          <w:tcPr>
            <w:tcW w:w="16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94503B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Group R</w:t>
            </w:r>
          </w:p>
          <w:p w14:paraId="63D6CCF6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(n = 85)</w:t>
            </w:r>
          </w:p>
        </w:tc>
        <w:tc>
          <w:tcPr>
            <w:tcW w:w="16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81D7ED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Total</w:t>
            </w:r>
          </w:p>
          <w:p w14:paraId="0A4581C8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(n = 167)</w:t>
            </w:r>
          </w:p>
        </w:tc>
      </w:tr>
      <w:tr w14:paraId="6045A7C6">
        <w:trPr>
          <w:trHeight w:val="557" w:hRule="atLeast"/>
          <w:jc w:val="center"/>
        </w:trPr>
        <w:tc>
          <w:tcPr>
            <w:tcW w:w="2635" w:type="dxa"/>
            <w:tcBorders>
              <w:top w:val="single" w:color="auto" w:sz="4" w:space="0"/>
              <w:bottom w:val="nil"/>
            </w:tcBorders>
            <w:vAlign w:val="center"/>
          </w:tcPr>
          <w:p w14:paraId="702E806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T0 (mmHg)</w:t>
            </w:r>
          </w:p>
        </w:tc>
        <w:tc>
          <w:tcPr>
            <w:tcW w:w="1778" w:type="dxa"/>
            <w:tcBorders>
              <w:top w:val="single" w:color="auto" w:sz="4" w:space="0"/>
              <w:bottom w:val="nil"/>
            </w:tcBorders>
            <w:vAlign w:val="center"/>
          </w:tcPr>
          <w:p w14:paraId="43011037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103.59 ± 10.55</w:t>
            </w:r>
          </w:p>
        </w:tc>
        <w:tc>
          <w:tcPr>
            <w:tcW w:w="1779" w:type="dxa"/>
            <w:tcBorders>
              <w:top w:val="single" w:color="auto" w:sz="4" w:space="0"/>
              <w:bottom w:val="nil"/>
            </w:tcBorders>
            <w:vAlign w:val="center"/>
          </w:tcPr>
          <w:p w14:paraId="1AD7E054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100.76 ± 10.47</w:t>
            </w:r>
          </w:p>
        </w:tc>
        <w:tc>
          <w:tcPr>
            <w:tcW w:w="1782" w:type="dxa"/>
            <w:tcBorders>
              <w:top w:val="single" w:color="auto" w:sz="4" w:space="0"/>
              <w:bottom w:val="nil"/>
            </w:tcBorders>
            <w:vAlign w:val="center"/>
          </w:tcPr>
          <w:p w14:paraId="66C5C1E4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102.17 ± 10.58</w:t>
            </w:r>
          </w:p>
        </w:tc>
        <w:tc>
          <w:tcPr>
            <w:tcW w:w="1601" w:type="dxa"/>
            <w:tcBorders>
              <w:top w:val="single" w:color="auto" w:sz="4" w:space="0"/>
              <w:bottom w:val="nil"/>
            </w:tcBorders>
            <w:vAlign w:val="center"/>
          </w:tcPr>
          <w:p w14:paraId="4BAC3DB1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102.89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1601" w:type="dxa"/>
            <w:tcBorders>
              <w:top w:val="single" w:color="auto" w:sz="4" w:space="0"/>
              <w:bottom w:val="nil"/>
            </w:tcBorders>
            <w:vAlign w:val="center"/>
          </w:tcPr>
          <w:p w14:paraId="29C77E6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100.26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1603" w:type="dxa"/>
            <w:tcBorders>
              <w:top w:val="single" w:color="auto" w:sz="4" w:space="0"/>
              <w:bottom w:val="nil"/>
            </w:tcBorders>
            <w:vAlign w:val="center"/>
          </w:tcPr>
          <w:p w14:paraId="6549EE3E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101.55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10.33</w:t>
            </w:r>
          </w:p>
        </w:tc>
      </w:tr>
      <w:tr w14:paraId="30F19F35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6B423C4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(mmHg)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67107352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102.71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12.64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7D24FBB5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93.02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10.20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0ED956A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97.87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12.44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42DEF181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101.50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11.9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9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7DE3C6B7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92.72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10.12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264B470E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97.03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10.89</w:t>
            </w:r>
          </w:p>
        </w:tc>
      </w:tr>
      <w:tr w14:paraId="7131D41A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407573C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(mmHg)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74E80DC8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84.42 ± 10.30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0565A619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76.10 ± 8.54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27A1CB0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80.26 ± 10.32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04F76D85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84.37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10.59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233138D9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75.78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>8.64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325E92C8">
            <w:pPr>
              <w:keepNext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79.99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  <w:t xml:space="preserve">10.54 </w:t>
            </w:r>
          </w:p>
        </w:tc>
      </w:tr>
      <w:tr w14:paraId="071D8F40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1FA2D44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(mmHg)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44B71BFC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119.06 ± 23.34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3FB96B1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98.34 ± 20.35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474F05D6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108.70 ± 24.18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3D9FB577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118.46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23.38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33015E16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97.40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19.44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56835340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107.74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23.87</w:t>
            </w:r>
          </w:p>
        </w:tc>
      </w:tr>
      <w:tr w14:paraId="7ADF4D11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140D4B4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(mmHg)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D0E22D5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125.70 ± 19.13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025B3421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103.38 ± 18.67 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7FEB74EE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114.54 ± 21.92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06F1CF58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125.88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18.70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05AC1759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102.34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36086389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113.90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21.77</w:t>
            </w:r>
          </w:p>
        </w:tc>
      </w:tr>
      <w:tr w14:paraId="31A1C19D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639C7E4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(mmHg)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05A49833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97.91 ± 14.72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166F976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84.86 ± 12.48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5210DB3B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91.38 ± 15.10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BB74DD5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98.41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14.85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7231D7B1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84.40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12.26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7D2C901E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91.28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15.27</w:t>
            </w:r>
          </w:p>
        </w:tc>
      </w:tr>
      <w:tr w14:paraId="699A76FA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258D817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MAP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(mmHg)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40ACC5D7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86.14 ± 13.40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3F2E9C80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78.89 ± 10.44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7A36BAB4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82.52 ± 12.52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20A59449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86.23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13.37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0B3688F8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78.52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46313A68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82.31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</w:t>
            </w: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12.56</w:t>
            </w:r>
          </w:p>
        </w:tc>
      </w:tr>
      <w:tr w14:paraId="1095A8DF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65D354C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T0 (beats/min)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7768F93D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70.24 ± 12.07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112E7EEA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68.71 ± 12.32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3FC7A442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69.48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12.18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8F55C3A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70.06 ± 12.14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27E01EA0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68.27 ± 12.39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5C0395C6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69.15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12.26</w:t>
            </w:r>
          </w:p>
        </w:tc>
      </w:tr>
      <w:tr w14:paraId="208500A9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587C219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(beats/min)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2D22837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73.01 ± 11.99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201B2B21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73.99 ± 13.50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4D5246DC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73.50 ± 12.74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87556C3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72.68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11.78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788E65CE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73.68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13.67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09E4906B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73.19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12.75</w:t>
            </w:r>
          </w:p>
        </w:tc>
      </w:tr>
      <w:tr w14:paraId="5D7797EF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2977182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(beats/min)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8E76CCF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65.93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12.63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414621B5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67.28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11.82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3A87F4CC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66.61 ± 12.22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0CC6F9FF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65.46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12.34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487174D7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66.98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11.85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439C47B4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66.23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12.08</w:t>
            </w:r>
          </w:p>
        </w:tc>
      </w:tr>
      <w:tr w14:paraId="4CCEBF84">
        <w:trPr>
          <w:trHeight w:val="547" w:hRule="atLeast"/>
          <w:jc w:val="center"/>
        </w:trPr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500C99F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(beats/min)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0E7B9963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84.96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19.48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36B819B9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78.61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15.22</w:t>
            </w: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4FBF8EDF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81.78 ± 17.72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02D8D17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84.74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19.63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52E95F08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78.32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15.43</w:t>
            </w:r>
          </w:p>
        </w:tc>
        <w:tc>
          <w:tcPr>
            <w:tcW w:w="1603" w:type="dxa"/>
            <w:tcBorders>
              <w:top w:val="nil"/>
              <w:bottom w:val="nil"/>
            </w:tcBorders>
            <w:vAlign w:val="center"/>
          </w:tcPr>
          <w:p w14:paraId="5DEF9FB5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81.47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17.85</w:t>
            </w:r>
          </w:p>
        </w:tc>
      </w:tr>
      <w:tr w14:paraId="60C7428A">
        <w:trPr>
          <w:trHeight w:val="547" w:hRule="atLeast"/>
          <w:jc w:val="center"/>
        </w:trPr>
        <w:tc>
          <w:tcPr>
            <w:tcW w:w="2635" w:type="dxa"/>
            <w:tcBorders>
              <w:top w:val="nil"/>
            </w:tcBorders>
            <w:vAlign w:val="center"/>
          </w:tcPr>
          <w:p w14:paraId="3295FFD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(beats/min)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3F84F9F4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90.40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18.61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6B75E279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81.31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12.42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247E3E2F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85.86 ± 16.42</w:t>
            </w:r>
          </w:p>
        </w:tc>
        <w:tc>
          <w:tcPr>
            <w:tcW w:w="1601" w:type="dxa"/>
            <w:tcBorders>
              <w:top w:val="nil"/>
            </w:tcBorders>
            <w:vAlign w:val="center"/>
          </w:tcPr>
          <w:p w14:paraId="1A245F3A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90.80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18.73</w:t>
            </w:r>
          </w:p>
        </w:tc>
        <w:tc>
          <w:tcPr>
            <w:tcW w:w="1601" w:type="dxa"/>
            <w:tcBorders>
              <w:top w:val="nil"/>
            </w:tcBorders>
            <w:vAlign w:val="center"/>
          </w:tcPr>
          <w:p w14:paraId="0065F8DC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80.81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12.39</w:t>
            </w:r>
          </w:p>
        </w:tc>
        <w:tc>
          <w:tcPr>
            <w:tcW w:w="1603" w:type="dxa"/>
            <w:tcBorders>
              <w:top w:val="nil"/>
            </w:tcBorders>
            <w:vAlign w:val="center"/>
          </w:tcPr>
          <w:p w14:paraId="6308B9A8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85.72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16.55</w:t>
            </w:r>
          </w:p>
        </w:tc>
      </w:tr>
      <w:tr w14:paraId="7B7028E9">
        <w:trPr>
          <w:trHeight w:val="557" w:hRule="atLeast"/>
          <w:jc w:val="center"/>
        </w:trPr>
        <w:tc>
          <w:tcPr>
            <w:tcW w:w="2635" w:type="dxa"/>
            <w:tcBorders>
              <w:top w:val="nil"/>
            </w:tcBorders>
            <w:vAlign w:val="center"/>
          </w:tcPr>
          <w:p w14:paraId="57508E8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(beats/min)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4879E967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71.38 ± 14.68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07FBEC03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70.94 ± 12.09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6699EF87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71.16 ± 13.41</w:t>
            </w:r>
          </w:p>
        </w:tc>
        <w:tc>
          <w:tcPr>
            <w:tcW w:w="1601" w:type="dxa"/>
            <w:tcBorders>
              <w:top w:val="nil"/>
            </w:tcBorders>
            <w:vAlign w:val="center"/>
          </w:tcPr>
          <w:p w14:paraId="3A86EFFA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71.10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14.51</w:t>
            </w:r>
          </w:p>
        </w:tc>
        <w:tc>
          <w:tcPr>
            <w:tcW w:w="1601" w:type="dxa"/>
            <w:tcBorders>
              <w:top w:val="nil"/>
            </w:tcBorders>
            <w:vAlign w:val="center"/>
          </w:tcPr>
          <w:p w14:paraId="65B10CCE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70.62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12.17</w:t>
            </w:r>
          </w:p>
        </w:tc>
        <w:tc>
          <w:tcPr>
            <w:tcW w:w="1603" w:type="dxa"/>
            <w:tcBorders>
              <w:top w:val="nil"/>
            </w:tcBorders>
            <w:vAlign w:val="center"/>
          </w:tcPr>
          <w:p w14:paraId="54452383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70.86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13.34</w:t>
            </w:r>
          </w:p>
        </w:tc>
      </w:tr>
      <w:tr w14:paraId="7CB05BA2">
        <w:trPr>
          <w:trHeight w:val="557" w:hRule="atLeast"/>
          <w:jc w:val="center"/>
        </w:trPr>
        <w:tc>
          <w:tcPr>
            <w:tcW w:w="2635" w:type="dxa"/>
            <w:tcBorders>
              <w:top w:val="nil"/>
              <w:bottom w:val="single" w:color="auto" w:sz="4" w:space="0"/>
            </w:tcBorders>
            <w:vAlign w:val="center"/>
          </w:tcPr>
          <w:p w14:paraId="18DE680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>HR at 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szCs w:val="24"/>
              </w:rPr>
              <w:t xml:space="preserve"> (beats/min)</w:t>
            </w:r>
          </w:p>
        </w:tc>
        <w:tc>
          <w:tcPr>
            <w:tcW w:w="1778" w:type="dxa"/>
            <w:tcBorders>
              <w:top w:val="nil"/>
              <w:bottom w:val="single" w:color="auto" w:sz="4" w:space="0"/>
            </w:tcBorders>
            <w:vAlign w:val="center"/>
          </w:tcPr>
          <w:p w14:paraId="274AD334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65.32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14.02</w:t>
            </w:r>
          </w:p>
        </w:tc>
        <w:tc>
          <w:tcPr>
            <w:tcW w:w="1779" w:type="dxa"/>
            <w:tcBorders>
              <w:top w:val="nil"/>
              <w:bottom w:val="single" w:color="auto" w:sz="4" w:space="0"/>
            </w:tcBorders>
            <w:vAlign w:val="center"/>
          </w:tcPr>
          <w:p w14:paraId="7C953DD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66.87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12.14</w:t>
            </w:r>
          </w:p>
        </w:tc>
        <w:tc>
          <w:tcPr>
            <w:tcW w:w="1782" w:type="dxa"/>
            <w:tcBorders>
              <w:top w:val="nil"/>
              <w:bottom w:val="single" w:color="auto" w:sz="4" w:space="0"/>
            </w:tcBorders>
            <w:vAlign w:val="center"/>
          </w:tcPr>
          <w:p w14:paraId="04734E89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>66.09 ± 13.10</w:t>
            </w:r>
          </w:p>
        </w:tc>
        <w:tc>
          <w:tcPr>
            <w:tcW w:w="1601" w:type="dxa"/>
            <w:tcBorders>
              <w:top w:val="nil"/>
              <w:bottom w:val="single" w:color="auto" w:sz="4" w:space="0"/>
            </w:tcBorders>
            <w:vAlign w:val="center"/>
          </w:tcPr>
          <w:p w14:paraId="56988C00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64.85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13.77</w:t>
            </w:r>
          </w:p>
        </w:tc>
        <w:tc>
          <w:tcPr>
            <w:tcW w:w="1601" w:type="dxa"/>
            <w:tcBorders>
              <w:top w:val="nil"/>
              <w:bottom w:val="single" w:color="auto" w:sz="4" w:space="0"/>
            </w:tcBorders>
            <w:vAlign w:val="center"/>
          </w:tcPr>
          <w:p w14:paraId="353FB89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66.61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12.29</w:t>
            </w:r>
          </w:p>
        </w:tc>
        <w:tc>
          <w:tcPr>
            <w:tcW w:w="1603" w:type="dxa"/>
            <w:tcBorders>
              <w:top w:val="nil"/>
              <w:bottom w:val="single" w:color="auto" w:sz="4" w:space="0"/>
            </w:tcBorders>
            <w:vAlign w:val="center"/>
          </w:tcPr>
          <w:p w14:paraId="689A25FD">
            <w:pPr>
              <w:keepNext/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  <w:t>65.75</w:t>
            </w:r>
            <w:r>
              <w:rPr>
                <w:rFonts w:hint="default" w:ascii="Times New Roman Regular" w:hAnsi="Times New Roman Regular" w:eastAsia="MingLiU" w:cs="Times New Roman Regular"/>
                <w:sz w:val="24"/>
                <w:szCs w:val="24"/>
              </w:rPr>
              <w:t xml:space="preserve"> ± 13.02</w:t>
            </w:r>
          </w:p>
        </w:tc>
      </w:tr>
    </w:tbl>
    <w:p w14:paraId="14B8584E">
      <w:pPr>
        <w:spacing w:line="480" w:lineRule="auto"/>
        <w:jc w:val="left"/>
        <w:rPr>
          <w:rFonts w:hint="default" w:ascii="Times New Roman Regular" w:hAnsi="Times New Roman Regular" w:eastAsia="宋体" w:cs="Times New Roman Regular"/>
          <w:color w:val="000000"/>
          <w:sz w:val="24"/>
          <w:szCs w:val="24"/>
        </w:rPr>
      </w:pPr>
      <w:r>
        <w:rPr>
          <w:rFonts w:hint="default" w:ascii="Times New Roman Regular" w:hAnsi="Times New Roman Regular" w:eastAsia="Minion Pro" w:cs="Times New Roman Regular"/>
          <w:color w:val="000000"/>
          <w:kern w:val="0"/>
          <w:sz w:val="24"/>
          <w:szCs w:val="24"/>
          <w:lang w:bidi="ar"/>
        </w:rPr>
        <w:t>Values are presented as mean ± SD. E:  etomidate, R:  remimazolam, MAP:  mean arterial pressure, HR:  heart rate</w:t>
      </w:r>
      <w:r>
        <w:rPr>
          <w:rFonts w:hint="default" w:ascii="Times New Roman Regular" w:hAnsi="Times New Roman Regular" w:eastAsia="Minion Pro" w:cs="Times New Roman Regular"/>
          <w:color w:val="000000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hint="default" w:ascii="Times New Roman Regular" w:hAnsi="Times New Roman Regular" w:eastAsia="Minion Pro" w:cs="Times New Roman Regular"/>
          <w:color w:val="000000"/>
          <w:kern w:val="0"/>
          <w:sz w:val="24"/>
          <w:szCs w:val="24"/>
          <w:lang w:bidi="ar"/>
        </w:rPr>
        <w:t>T0, before anaesthetic induction; T1, immediately after anaesthetic induction; T2, before endotracheal intubation; T3, immediately after endotracheal intubation; T4, 1 min after endotracheal intubation; T5, 3 min after endotracheal intubation; T6, 5 min after endotracheal intubation.</w:t>
      </w:r>
    </w:p>
    <w:p w14:paraId="729B6A17">
      <w:pPr>
        <w:widowControl/>
        <w:spacing w:line="480" w:lineRule="auto"/>
        <w:jc w:val="left"/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  <w:br w:type="page"/>
      </w:r>
    </w:p>
    <w:p w14:paraId="7199405F">
      <w:pPr>
        <w:spacing w:line="240" w:lineRule="auto"/>
        <w:jc w:val="left"/>
        <w:rPr>
          <w:rFonts w:hint="default" w:ascii="Times New Roman Regular" w:hAnsi="Times New Roman Regular" w:eastAsia="宋体" w:cs="Times New Roman Regular"/>
          <w:color w:val="00000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  <w:t xml:space="preserve">Supplementary </w:t>
      </w:r>
      <w:r>
        <w:rPr>
          <w:rFonts w:hint="default" w:ascii="Times New Roman Regular" w:hAnsi="Times New Roman Regular" w:eastAsia="宋体" w:cs="Times New Roman Regular"/>
          <w:b/>
          <w:bCs/>
          <w:sz w:val="24"/>
          <w:szCs w:val="24"/>
          <w:shd w:val="clear" w:color="auto" w:fill="FFFFFF"/>
        </w:rPr>
        <w:t>Table 2. Intra-group paired comparisons of MAP at different time points in the intention-to-treat and per-protocol populations.</w:t>
      </w:r>
    </w:p>
    <w:tbl>
      <w:tblPr>
        <w:tblStyle w:val="11"/>
        <w:tblW w:w="139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427"/>
        <w:gridCol w:w="1339"/>
        <w:gridCol w:w="1350"/>
        <w:gridCol w:w="1050"/>
        <w:gridCol w:w="1944"/>
        <w:gridCol w:w="1325"/>
        <w:gridCol w:w="1309"/>
        <w:gridCol w:w="1080"/>
        <w:gridCol w:w="2160"/>
      </w:tblGrid>
      <w:tr w14:paraId="07ACACA1">
        <w:trPr>
          <w:trHeight w:val="297" w:hRule="atLeast"/>
          <w:tblHeader/>
          <w:jc w:val="center"/>
        </w:trPr>
        <w:tc>
          <w:tcPr>
            <w:tcW w:w="916" w:type="dxa"/>
            <w:vMerge w:val="restart"/>
            <w:vAlign w:val="center"/>
          </w:tcPr>
          <w:p w14:paraId="70BDD66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  <w:t>G</w:t>
            </w: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val="en-US"/>
              </w:rPr>
              <w:t>roup</w:t>
            </w:r>
          </w:p>
        </w:tc>
        <w:tc>
          <w:tcPr>
            <w:tcW w:w="1427" w:type="dxa"/>
            <w:vMerge w:val="restart"/>
            <w:vAlign w:val="center"/>
          </w:tcPr>
          <w:p w14:paraId="45F93543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  <w:t>Time comparison</w:t>
            </w:r>
          </w:p>
        </w:tc>
        <w:tc>
          <w:tcPr>
            <w:tcW w:w="5683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BB17E58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  <w:lang w:bidi="ar"/>
              </w:rPr>
              <w:t>Intention to Treat</w:t>
            </w:r>
          </w:p>
        </w:tc>
        <w:tc>
          <w:tcPr>
            <w:tcW w:w="5874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7CA5C0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  <w:lang w:bidi="ar"/>
              </w:rPr>
              <w:t>Per-protocol</w:t>
            </w:r>
          </w:p>
        </w:tc>
      </w:tr>
      <w:tr w14:paraId="56E64834">
        <w:trPr>
          <w:trHeight w:val="831" w:hRule="atLeast"/>
          <w:tblHeader/>
          <w:jc w:val="center"/>
        </w:trPr>
        <w:tc>
          <w:tcPr>
            <w:tcW w:w="916" w:type="dxa"/>
            <w:vMerge w:val="continue"/>
            <w:vAlign w:val="center"/>
          </w:tcPr>
          <w:p w14:paraId="64686731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Merge w:val="continue"/>
            <w:vAlign w:val="center"/>
          </w:tcPr>
          <w:p w14:paraId="7571405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E95A1B8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Mean difference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47318A3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MingLiU" w:cs="Times New Roman Regular"/>
                <w:b/>
                <w:bCs/>
                <w:color w:val="000000"/>
                <w:sz w:val="24"/>
                <w:szCs w:val="24"/>
              </w:rPr>
              <w:t>Standard Error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6557A21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iCs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iCs/>
                <w:sz w:val="24"/>
                <w:szCs w:val="24"/>
                <w:lang w:bidi="ar"/>
              </w:rPr>
              <w:t>P value</w:t>
            </w:r>
          </w:p>
        </w:tc>
        <w:tc>
          <w:tcPr>
            <w:tcW w:w="19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EA1E61D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  <w:t>95% CI</w:t>
            </w:r>
          </w:p>
        </w:tc>
        <w:tc>
          <w:tcPr>
            <w:tcW w:w="13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1CF5BE0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  <w:t>Mean difference</w:t>
            </w:r>
          </w:p>
        </w:tc>
        <w:tc>
          <w:tcPr>
            <w:tcW w:w="13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86A1B9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  <w:t>Standard Error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C36988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iCs/>
                <w:sz w:val="24"/>
                <w:szCs w:val="24"/>
                <w:lang w:bidi="ar"/>
              </w:rPr>
              <w:t>P value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4DDEBB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bidi="ar"/>
              </w:rPr>
              <w:t>95% CI</w:t>
            </w:r>
          </w:p>
        </w:tc>
      </w:tr>
      <w:tr w14:paraId="5CEC7A00">
        <w:trPr>
          <w:trHeight w:val="297" w:hRule="atLeast"/>
          <w:jc w:val="center"/>
        </w:trPr>
        <w:tc>
          <w:tcPr>
            <w:tcW w:w="916" w:type="dxa"/>
            <w:vMerge w:val="restart"/>
            <w:tcBorders>
              <w:top w:val="single" w:color="auto" w:sz="4" w:space="0"/>
            </w:tcBorders>
          </w:tcPr>
          <w:p w14:paraId="49D7FB2C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E30872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9A8BE9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-0.88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7710AB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07C8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9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CF610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(-3.70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1.94)</w:t>
            </w:r>
          </w:p>
        </w:tc>
        <w:tc>
          <w:tcPr>
            <w:tcW w:w="132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98A1D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-1.39</w:t>
            </w:r>
          </w:p>
        </w:tc>
        <w:tc>
          <w:tcPr>
            <w:tcW w:w="130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6A8DF8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9E2F1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21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11F564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(-4.32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, 1.54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)</w:t>
            </w:r>
          </w:p>
        </w:tc>
      </w:tr>
      <w:tr w14:paraId="254AF2E5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73DF2AB3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5369FFD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6E33F7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-19.17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F469D7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A603B7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F49726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(-22.38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-15.95)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93AFD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-18.52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127207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BD0AA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FC203E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(-21.85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-15.20)</w:t>
            </w:r>
          </w:p>
        </w:tc>
      </w:tr>
      <w:tr w14:paraId="3C5CF6D9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30B0364C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12FD583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E95691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15.47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331EA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D26050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04165A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(8.49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22.43)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191AD6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15.57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E8DCEF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B04C2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239767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(8.37,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22.78)</w:t>
            </w:r>
          </w:p>
        </w:tc>
      </w:tr>
      <w:tr w14:paraId="6CDC4FA5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5BC24DC8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7FDE66E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322212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ECBB1C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883A2B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98CAD6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(16.55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27.67)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5A67A5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22.99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A70750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928E5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A4840A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(17.32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28.66)</w:t>
            </w:r>
          </w:p>
        </w:tc>
      </w:tr>
      <w:tr w14:paraId="329A5E98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527889ED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232D976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469325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-5.68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1CCB0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2831B7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8511B4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(-10.04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-1.32)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E56F6F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-4.48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164F07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C2A1B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A7D1BA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(-8.98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-0.03)</w:t>
            </w:r>
          </w:p>
        </w:tc>
      </w:tr>
      <w:tr w14:paraId="79798BC2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29CE1ADC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0D72D8E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A36681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-17.44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767D66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7EBFF1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ECEFA5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(-21.40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-13.49)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86D49D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-16.66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E5E67A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1668D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A2BCC1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(-20.81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-12.51)</w:t>
            </w:r>
          </w:p>
        </w:tc>
      </w:tr>
      <w:tr w14:paraId="5FA86CA2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50F42CBF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nil"/>
            </w:tcBorders>
            <w:shd w:val="clear" w:color="auto" w:fill="auto"/>
            <w:vAlign w:val="center"/>
          </w:tcPr>
          <w:p w14:paraId="2D691F06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vAlign w:val="center"/>
          </w:tcPr>
          <w:p w14:paraId="202BF10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-18.29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  <w:vAlign w:val="center"/>
          </w:tcPr>
          <w:p w14:paraId="4203E7F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050" w:type="dxa"/>
            <w:tcBorders>
              <w:bottom w:val="nil"/>
            </w:tcBorders>
            <w:shd w:val="clear" w:color="auto" w:fill="auto"/>
            <w:vAlign w:val="center"/>
          </w:tcPr>
          <w:p w14:paraId="3153F61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tcBorders>
              <w:bottom w:val="nil"/>
            </w:tcBorders>
            <w:shd w:val="clear" w:color="auto" w:fill="auto"/>
            <w:vAlign w:val="center"/>
          </w:tcPr>
          <w:p w14:paraId="2E14848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(-21.47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-15.11)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uto"/>
            <w:vAlign w:val="center"/>
          </w:tcPr>
          <w:p w14:paraId="0A5445D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-17.13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auto"/>
            <w:vAlign w:val="center"/>
          </w:tcPr>
          <w:p w14:paraId="7445939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14:paraId="7073637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  <w:vAlign w:val="center"/>
          </w:tcPr>
          <w:p w14:paraId="2DCA43C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(-20.30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-13.97)</w:t>
            </w:r>
          </w:p>
        </w:tc>
      </w:tr>
      <w:tr w14:paraId="590F27D7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1FF3B2F4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nil"/>
            </w:tcBorders>
            <w:shd w:val="clear" w:color="auto" w:fill="auto"/>
            <w:vAlign w:val="center"/>
          </w:tcPr>
          <w:p w14:paraId="4AB2D08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vAlign w:val="center"/>
          </w:tcPr>
          <w:p w14:paraId="63C1C27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  <w:vAlign w:val="center"/>
          </w:tcPr>
          <w:p w14:paraId="229E4B6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050" w:type="dxa"/>
            <w:tcBorders>
              <w:bottom w:val="nil"/>
            </w:tcBorders>
            <w:shd w:val="clear" w:color="auto" w:fill="auto"/>
            <w:vAlign w:val="center"/>
          </w:tcPr>
          <w:p w14:paraId="326E8E3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944" w:type="dxa"/>
            <w:tcBorders>
              <w:bottom w:val="nil"/>
            </w:tcBorders>
            <w:shd w:val="clear" w:color="auto" w:fill="auto"/>
            <w:vAlign w:val="center"/>
          </w:tcPr>
          <w:p w14:paraId="0B7F9E8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(0.42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12.87)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uto"/>
            <w:vAlign w:val="center"/>
          </w:tcPr>
          <w:p w14:paraId="4551779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7.42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auto"/>
            <w:vAlign w:val="center"/>
          </w:tcPr>
          <w:p w14:paraId="4C6531A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14:paraId="22A1856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  <w:vAlign w:val="center"/>
          </w:tcPr>
          <w:p w14:paraId="46CC1E8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(0.97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13.86)</w:t>
            </w:r>
          </w:p>
        </w:tc>
      </w:tr>
      <w:tr w14:paraId="2B89E52F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3D167835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73B0E0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  <w:vAlign w:val="center"/>
          </w:tcPr>
          <w:p w14:paraId="05F9AA5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-21.14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vAlign w:val="center"/>
          </w:tcPr>
          <w:p w14:paraId="7141B63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50" w:type="dxa"/>
            <w:tcBorders>
              <w:top w:val="nil"/>
            </w:tcBorders>
            <w:shd w:val="clear" w:color="auto" w:fill="auto"/>
            <w:vAlign w:val="center"/>
          </w:tcPr>
          <w:p w14:paraId="0172CE4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tcBorders>
              <w:top w:val="nil"/>
            </w:tcBorders>
            <w:shd w:val="clear" w:color="auto" w:fill="auto"/>
            <w:vAlign w:val="center"/>
          </w:tcPr>
          <w:p w14:paraId="16D36D5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(-28.12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-14.17)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auto"/>
            <w:vAlign w:val="center"/>
          </w:tcPr>
          <w:p w14:paraId="4E3D287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-20.05</w:t>
            </w:r>
          </w:p>
        </w:tc>
        <w:tc>
          <w:tcPr>
            <w:tcW w:w="1309" w:type="dxa"/>
            <w:tcBorders>
              <w:top w:val="nil"/>
            </w:tcBorders>
            <w:shd w:val="clear" w:color="auto" w:fill="auto"/>
            <w:vAlign w:val="center"/>
          </w:tcPr>
          <w:p w14:paraId="6080A66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558C0B7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tcBorders>
              <w:top w:val="nil"/>
            </w:tcBorders>
            <w:shd w:val="clear" w:color="auto" w:fill="auto"/>
            <w:vAlign w:val="center"/>
          </w:tcPr>
          <w:p w14:paraId="52364E4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(-27.13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-12.96)</w:t>
            </w:r>
          </w:p>
        </w:tc>
      </w:tr>
      <w:tr w14:paraId="42936EFF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6C3DBEC0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201D516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B99AE4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-32.91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998AF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5EF857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05699C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(-39.87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-25.95)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D8EC0E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-32.23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AAF57B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96A19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226B9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(-39.34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-25.12)</w:t>
            </w:r>
          </w:p>
        </w:tc>
      </w:tr>
      <w:tr w14:paraId="3A79EE01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3C30878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5778E97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6B4959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-27.79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2598D5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30BEA7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7B12B9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(-32.09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-23.49)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5CFAA4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-27.46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821F35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080A4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CC6C72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(-31.87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-23.06)</w:t>
            </w:r>
          </w:p>
        </w:tc>
      </w:tr>
      <w:tr w14:paraId="32CF9676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46083BB2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3771679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CB1283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-39.56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9C118B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677D78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611AC0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(-44.65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-34.47)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DFA6B2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-39.65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FF8D51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6626B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5E48D0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(-44.88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-34.42)</w:t>
            </w:r>
          </w:p>
        </w:tc>
      </w:tr>
      <w:tr w14:paraId="3551A442">
        <w:trPr>
          <w:trHeight w:val="277" w:hRule="atLeast"/>
          <w:jc w:val="center"/>
        </w:trPr>
        <w:tc>
          <w:tcPr>
            <w:tcW w:w="916" w:type="dxa"/>
            <w:vMerge w:val="continue"/>
          </w:tcPr>
          <w:p w14:paraId="329D0A4D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66D989F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1D0970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-11.77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C60B39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0B1303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3E29CF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(-14.54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-9.00)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FD6FF0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-12.18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84120D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B108C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C62D3E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(-15.12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-9.24)</w:t>
            </w:r>
          </w:p>
        </w:tc>
      </w:tr>
      <w:tr w14:paraId="1B72F76B">
        <w:trPr>
          <w:trHeight w:val="277" w:hRule="atLeast"/>
          <w:jc w:val="center"/>
        </w:trPr>
        <w:tc>
          <w:tcPr>
            <w:tcW w:w="916" w:type="dxa"/>
            <w:vMerge w:val="restart"/>
          </w:tcPr>
          <w:p w14:paraId="62779DED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R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C5CD4FB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2AAF8D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-7.73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52DB61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F5B41D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B768F2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(-10.55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-4.91)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6461FE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-7.54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CB3B3B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.93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5C6BB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C5125B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(-10.41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-4.67)</w:t>
            </w:r>
          </w:p>
        </w:tc>
      </w:tr>
      <w:tr w14:paraId="60C93058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034662D2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9B7B196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050330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-24.66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CDE409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53CD41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9E9C7D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(-27.87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-21.44)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5AE583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-24.48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22261D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46C2D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754C69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(-27.75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-21.22)</w:t>
            </w:r>
          </w:p>
        </w:tc>
      </w:tr>
      <w:tr w14:paraId="4ED65F9C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1E74F90B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06A9643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B4B731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-2.41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B6F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77D35C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CF22DA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(-9.39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4.57)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C2A612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-2.86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81CD5C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00FD6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613DA1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(-9.94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4.22)</w:t>
            </w:r>
          </w:p>
        </w:tc>
      </w:tr>
      <w:tr w14:paraId="2BC8B8D7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38D4B1A0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352B10C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8D767A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90468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93EB0D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61589C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(-2.94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8.18)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692446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025A09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FC417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E2AE49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(-3.45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7.65)</w:t>
            </w:r>
          </w:p>
        </w:tc>
      </w:tr>
      <w:tr w14:paraId="56C89F43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6727C889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3C02AA1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DB0778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-15.90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D594F7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492482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53DCC7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(-20.26,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-11.54)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32E61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-15.86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A23ED8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41CF6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E22D46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(-20.28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-11.44)</w:t>
            </w:r>
          </w:p>
        </w:tc>
      </w:tr>
      <w:tr w14:paraId="64581FCE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06C7B5B6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3BE1611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14B519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-21.87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C8E96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080D3A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54C456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(-25.82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-17.91)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BD340C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-21.74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C1DE03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F9801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087537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(-25.82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-17.67)</w:t>
            </w:r>
          </w:p>
        </w:tc>
      </w:tr>
      <w:tr w14:paraId="30EEE5CE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352CDD9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0F51E1EB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069ECE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-16.92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F9CFD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1D0BC1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E52687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(-20.11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-13.74)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4541FC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-16.94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8F2E9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664D2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866621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(-20.05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-13.83)</w:t>
            </w:r>
          </w:p>
        </w:tc>
      </w:tr>
      <w:tr w14:paraId="78A841C0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7324459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17B202D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5251AB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71157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30345D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7A8FAC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(-1.19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11.26)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FC5F00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ACB88C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8DEED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0.361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28D6D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(-1.393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11.276)</w:t>
            </w:r>
          </w:p>
        </w:tc>
      </w:tr>
      <w:tr w14:paraId="28655EEF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1C99016B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0C76E44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55658E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-13.49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3C1C37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93982F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F8F8A3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(-20.46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-6.51)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A6D690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-13.00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D612AE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509508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262E8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(-19.96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-6.04)</w:t>
            </w:r>
          </w:p>
        </w:tc>
      </w:tr>
      <w:tr w14:paraId="07B00621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2782383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581C0DD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1B6D04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-19.46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D40BB0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ACDA7F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178E1F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(-26.42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-12.49)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A88C61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-18.88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27C323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A860B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73715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(-25.87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-11.90)</w:t>
            </w:r>
          </w:p>
        </w:tc>
      </w:tr>
      <w:tr w14:paraId="3F824666">
        <w:trPr>
          <w:trHeight w:val="287" w:hRule="atLeast"/>
          <w:jc w:val="center"/>
        </w:trPr>
        <w:tc>
          <w:tcPr>
            <w:tcW w:w="916" w:type="dxa"/>
            <w:vMerge w:val="continue"/>
            <w:vAlign w:val="center"/>
          </w:tcPr>
          <w:p w14:paraId="130F0908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00A493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89796D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-18.52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57E9A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AF82D8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6D1E54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(-22.82,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-14.22)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844976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-17.94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300658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99476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E693F0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(-22.27,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-13.62)</w:t>
            </w:r>
          </w:p>
        </w:tc>
      </w:tr>
      <w:tr w14:paraId="65340556">
        <w:trPr>
          <w:trHeight w:val="277" w:hRule="atLeast"/>
          <w:jc w:val="center"/>
        </w:trPr>
        <w:tc>
          <w:tcPr>
            <w:tcW w:w="916" w:type="dxa"/>
            <w:vMerge w:val="continue"/>
            <w:vAlign w:val="center"/>
          </w:tcPr>
          <w:p w14:paraId="6B6E0BD6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8645D9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48176D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-24.49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DAB26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CA6A08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6D4F8C1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(-29.58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-19.40)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5757F8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-23.82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B1400C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42F5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9EB429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(-28.96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-18.69)</w:t>
            </w:r>
          </w:p>
        </w:tc>
      </w:tr>
      <w:tr w14:paraId="076BB1AF">
        <w:trPr>
          <w:trHeight w:val="297" w:hRule="atLeast"/>
          <w:jc w:val="center"/>
        </w:trPr>
        <w:tc>
          <w:tcPr>
            <w:tcW w:w="916" w:type="dxa"/>
            <w:vMerge w:val="continue"/>
            <w:vAlign w:val="center"/>
          </w:tcPr>
          <w:p w14:paraId="6637D5A5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3D4E204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71FAA8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-5.97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D4B705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AD9AE7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D1B418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(-8.74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-3.20)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EFB16C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-5.88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81AA6D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DC254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A6BE15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(-8.77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-2.97)</w:t>
            </w:r>
          </w:p>
        </w:tc>
      </w:tr>
    </w:tbl>
    <w:p w14:paraId="6EAE8705">
      <w:pPr>
        <w:spacing w:line="240" w:lineRule="auto"/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 xml:space="preserve">Intra-group pairwise comparisons of MAP were performed using two-way repeated-measures analysis of variance. Mean differences were calculated as the value at the later time point minus the value at the reference time point; therefore, negative values indicate a decrease from the reference time point. Mean differences,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val="en-US" w:bidi="ar"/>
        </w:rPr>
        <w:t>s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 xml:space="preserve">tandard 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e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>rror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>s, and 95% CIs are expressed in mmHg. E, etomidate; R, remimazolam; MAP, mean arterial pressure; CI, confidence interval; T0, before anaesthetic induction; T1, immediately after anaesthetic induction; T2, before endotracheal intubation; T3, immediately after endotracheal intubation; T4, 1 min after endotracheal intubation; T5, 3 min after endotracheal intubation; T6, 5 min after endotracheal intubation.</w:t>
      </w:r>
      <w:r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  <w:br w:type="page"/>
      </w:r>
    </w:p>
    <w:p w14:paraId="0D4028A5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color w:val="00000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4"/>
          <w:szCs w:val="24"/>
          <w:lang w:bidi="ar"/>
        </w:rPr>
        <w:t xml:space="preserve">Supplementary </w:t>
      </w:r>
      <w:r>
        <w:rPr>
          <w:rFonts w:hint="default" w:ascii="Times New Roman Regular" w:hAnsi="Times New Roman Regular" w:eastAsia="宋体" w:cs="Times New Roman Regular"/>
          <w:b/>
          <w:bCs/>
          <w:sz w:val="24"/>
          <w:szCs w:val="24"/>
          <w:shd w:val="clear" w:color="auto" w:fill="FFFFFF"/>
        </w:rPr>
        <w:t>Table 3. Intra-group paired comparisons of HR at different time points in the intention-to-treat and per-protocol populations.</w:t>
      </w:r>
    </w:p>
    <w:tbl>
      <w:tblPr>
        <w:tblStyle w:val="11"/>
        <w:tblW w:w="1392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534"/>
        <w:gridCol w:w="1381"/>
        <w:gridCol w:w="1433"/>
        <w:gridCol w:w="967"/>
        <w:gridCol w:w="1802"/>
        <w:gridCol w:w="1384"/>
        <w:gridCol w:w="1400"/>
        <w:gridCol w:w="1033"/>
        <w:gridCol w:w="2051"/>
      </w:tblGrid>
      <w:tr w14:paraId="452D1243">
        <w:trPr>
          <w:trHeight w:val="283" w:hRule="atLeast"/>
          <w:jc w:val="center"/>
        </w:trPr>
        <w:tc>
          <w:tcPr>
            <w:tcW w:w="938" w:type="dxa"/>
            <w:vMerge w:val="restart"/>
            <w:vAlign w:val="center"/>
          </w:tcPr>
          <w:p w14:paraId="0E0DFB52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  <w:t>G</w:t>
            </w: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  <w:lang w:val="en-US"/>
              </w:rPr>
              <w:t>roup</w:t>
            </w:r>
          </w:p>
        </w:tc>
        <w:tc>
          <w:tcPr>
            <w:tcW w:w="1534" w:type="dxa"/>
            <w:vMerge w:val="restart"/>
            <w:vAlign w:val="center"/>
          </w:tcPr>
          <w:p w14:paraId="046B7221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  <w:t>Time comparison</w:t>
            </w:r>
          </w:p>
        </w:tc>
        <w:tc>
          <w:tcPr>
            <w:tcW w:w="5583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4DD04C9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Intention to Treat</w:t>
            </w:r>
          </w:p>
        </w:tc>
        <w:tc>
          <w:tcPr>
            <w:tcW w:w="5868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47A12D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Per-protocol</w:t>
            </w:r>
          </w:p>
        </w:tc>
      </w:tr>
      <w:tr w14:paraId="3459ED8C">
        <w:trPr>
          <w:trHeight w:val="283" w:hRule="atLeast"/>
          <w:jc w:val="center"/>
        </w:trPr>
        <w:tc>
          <w:tcPr>
            <w:tcW w:w="938" w:type="dxa"/>
            <w:vMerge w:val="continue"/>
            <w:vAlign w:val="center"/>
          </w:tcPr>
          <w:p w14:paraId="757FBFC2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34" w:type="dxa"/>
            <w:vMerge w:val="continue"/>
            <w:vAlign w:val="center"/>
          </w:tcPr>
          <w:p w14:paraId="2E59563F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DDB9983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Mean difference</w:t>
            </w:r>
          </w:p>
        </w:tc>
        <w:tc>
          <w:tcPr>
            <w:tcW w:w="14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CF84806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Standard Error</w:t>
            </w:r>
          </w:p>
        </w:tc>
        <w:tc>
          <w:tcPr>
            <w:tcW w:w="9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2C4CF70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P value</w:t>
            </w:r>
          </w:p>
        </w:tc>
        <w:tc>
          <w:tcPr>
            <w:tcW w:w="18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3D46DE1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95% CI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066F49F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Mean difference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40D48D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Standard Error</w:t>
            </w:r>
          </w:p>
        </w:tc>
        <w:tc>
          <w:tcPr>
            <w:tcW w:w="10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FE71A6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P value</w:t>
            </w:r>
          </w:p>
        </w:tc>
        <w:tc>
          <w:tcPr>
            <w:tcW w:w="20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983ABC">
            <w:pPr>
              <w:keepNext/>
              <w:widowControl/>
              <w:snapToGrid w:val="0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4"/>
                <w:szCs w:val="24"/>
                <w:lang w:bidi="ar"/>
              </w:rPr>
              <w:t>95% CI</w:t>
            </w:r>
          </w:p>
        </w:tc>
      </w:tr>
      <w:tr w14:paraId="54594411">
        <w:trPr>
          <w:trHeight w:val="283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</w:tcBorders>
          </w:tcPr>
          <w:p w14:paraId="4A3F41C9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E</w:t>
            </w:r>
          </w:p>
        </w:tc>
        <w:tc>
          <w:tcPr>
            <w:tcW w:w="15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34089A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9B531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14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921E87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461499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8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7BFFD8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(0.51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5.02)</w:t>
            </w:r>
          </w:p>
        </w:tc>
        <w:tc>
          <w:tcPr>
            <w:tcW w:w="13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CC2869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4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B9D7B8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31760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05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4FA06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(0.20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5.04)</w:t>
            </w:r>
          </w:p>
        </w:tc>
      </w:tr>
      <w:tr w14:paraId="0DC15606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265C1AF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5B8A165E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17B240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-4.31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3699AF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BF774B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A94C55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(-6.86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-1.76)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FA3AF0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-4.60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8AF3F6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74314B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2CEA56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(-7.29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-1.90)</w:t>
            </w:r>
          </w:p>
        </w:tc>
      </w:tr>
      <w:tr w14:paraId="087B38EC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47995110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3A9DAA6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10FD90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14.71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9A75BF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570753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46BC015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(9.63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19.80)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53FA8C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14.68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E3FCB8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827BC8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F2EE7D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(9.23,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20.14)</w:t>
            </w:r>
          </w:p>
        </w:tc>
      </w:tr>
      <w:tr w14:paraId="02BEE69E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0FE2A0A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0D3F8ED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C519F3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20.16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F1B2CE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D7345B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03B0935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(16.24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24.07)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941A29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20.74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811087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B03A94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F9CFAD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(16.60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24.86)</w:t>
            </w:r>
          </w:p>
        </w:tc>
      </w:tr>
      <w:tr w14:paraId="3EF216A3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709A753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0BFD4BF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DD9319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BB36DB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EFAD79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5E655CE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(-2.05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4.31)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55F7EA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E4E38B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FF533F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3807AF4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(-2.33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4.40)</w:t>
            </w:r>
          </w:p>
        </w:tc>
      </w:tr>
      <w:tr w14:paraId="3F3E63B5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1886A783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7386E43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A7D564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-4.92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5B95E2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58B77C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083CD9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(-7.96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-1.88)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17FED8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-5.21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013439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749CE8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76D0A35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(-8.40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-2.01)</w:t>
            </w:r>
          </w:p>
        </w:tc>
      </w:tr>
      <w:tr w14:paraId="7B5BA9DD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18A946FD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bottom w:val="nil"/>
            </w:tcBorders>
            <w:shd w:val="clear" w:color="auto" w:fill="auto"/>
            <w:vAlign w:val="center"/>
          </w:tcPr>
          <w:p w14:paraId="696B1560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auto"/>
            <w:vAlign w:val="center"/>
          </w:tcPr>
          <w:p w14:paraId="3BB9481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-7.08</w:t>
            </w:r>
          </w:p>
        </w:tc>
        <w:tc>
          <w:tcPr>
            <w:tcW w:w="1433" w:type="dxa"/>
            <w:tcBorders>
              <w:bottom w:val="nil"/>
            </w:tcBorders>
            <w:shd w:val="clear" w:color="auto" w:fill="auto"/>
            <w:vAlign w:val="center"/>
          </w:tcPr>
          <w:p w14:paraId="07C74FD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14:paraId="09127A9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tcBorders>
              <w:bottom w:val="nil"/>
            </w:tcBorders>
            <w:shd w:val="clear" w:color="auto" w:fill="auto"/>
            <w:vAlign w:val="center"/>
          </w:tcPr>
          <w:p w14:paraId="52AD7D8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(-9.09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-5.06)</w:t>
            </w:r>
          </w:p>
        </w:tc>
        <w:tc>
          <w:tcPr>
            <w:tcW w:w="1384" w:type="dxa"/>
            <w:tcBorders>
              <w:bottom w:val="nil"/>
            </w:tcBorders>
            <w:shd w:val="clear" w:color="auto" w:fill="auto"/>
            <w:vAlign w:val="center"/>
          </w:tcPr>
          <w:p w14:paraId="63CC490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-7.22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  <w:vAlign w:val="center"/>
          </w:tcPr>
          <w:p w14:paraId="7EF4E4D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14:paraId="649B920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tcBorders>
              <w:bottom w:val="nil"/>
            </w:tcBorders>
            <w:shd w:val="clear" w:color="auto" w:fill="auto"/>
            <w:vAlign w:val="center"/>
          </w:tcPr>
          <w:p w14:paraId="7D16F0C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(-9.33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-5.11)</w:t>
            </w:r>
          </w:p>
        </w:tc>
      </w:tr>
      <w:tr w14:paraId="79B6685D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66FB6DB2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bottom w:val="nil"/>
            </w:tcBorders>
            <w:shd w:val="clear" w:color="auto" w:fill="auto"/>
            <w:vAlign w:val="center"/>
          </w:tcPr>
          <w:p w14:paraId="010F632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81" w:type="dxa"/>
            <w:tcBorders>
              <w:bottom w:val="nil"/>
            </w:tcBorders>
            <w:shd w:val="clear" w:color="auto" w:fill="auto"/>
            <w:vAlign w:val="center"/>
          </w:tcPr>
          <w:p w14:paraId="3A1A049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5.44</w:t>
            </w:r>
          </w:p>
        </w:tc>
        <w:tc>
          <w:tcPr>
            <w:tcW w:w="1433" w:type="dxa"/>
            <w:tcBorders>
              <w:bottom w:val="nil"/>
            </w:tcBorders>
            <w:shd w:val="clear" w:color="auto" w:fill="auto"/>
            <w:vAlign w:val="center"/>
          </w:tcPr>
          <w:p w14:paraId="7CC4FA3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14:paraId="692E0F5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tcBorders>
              <w:bottom w:val="nil"/>
            </w:tcBorders>
            <w:shd w:val="clear" w:color="auto" w:fill="auto"/>
            <w:vAlign w:val="center"/>
          </w:tcPr>
          <w:p w14:paraId="1AA23C2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(1.66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, 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.23)</w:t>
            </w:r>
          </w:p>
        </w:tc>
        <w:tc>
          <w:tcPr>
            <w:tcW w:w="1384" w:type="dxa"/>
            <w:tcBorders>
              <w:bottom w:val="nil"/>
            </w:tcBorders>
            <w:shd w:val="clear" w:color="auto" w:fill="auto"/>
            <w:vAlign w:val="center"/>
          </w:tcPr>
          <w:p w14:paraId="715A6C0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6.06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  <w:vAlign w:val="center"/>
          </w:tcPr>
          <w:p w14:paraId="1617536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14:paraId="7F6FA5F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tcBorders>
              <w:bottom w:val="nil"/>
            </w:tcBorders>
            <w:shd w:val="clear" w:color="auto" w:fill="auto"/>
            <w:vAlign w:val="center"/>
          </w:tcPr>
          <w:p w14:paraId="1042429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(2.08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10.05)</w:t>
            </w:r>
          </w:p>
        </w:tc>
      </w:tr>
      <w:tr w14:paraId="0D0E156B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3F358EBF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</w:tcBorders>
            <w:shd w:val="clear" w:color="auto" w:fill="auto"/>
            <w:vAlign w:val="center"/>
          </w:tcPr>
          <w:p w14:paraId="7EBBF2A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81" w:type="dxa"/>
            <w:tcBorders>
              <w:top w:val="nil"/>
            </w:tcBorders>
            <w:shd w:val="clear" w:color="auto" w:fill="auto"/>
            <w:vAlign w:val="center"/>
          </w:tcPr>
          <w:p w14:paraId="0930A02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-13.58</w:t>
            </w:r>
          </w:p>
        </w:tc>
        <w:tc>
          <w:tcPr>
            <w:tcW w:w="1433" w:type="dxa"/>
            <w:tcBorders>
              <w:top w:val="nil"/>
            </w:tcBorders>
            <w:shd w:val="clear" w:color="auto" w:fill="auto"/>
            <w:vAlign w:val="center"/>
          </w:tcPr>
          <w:p w14:paraId="0874761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967" w:type="dxa"/>
            <w:tcBorders>
              <w:top w:val="nil"/>
            </w:tcBorders>
            <w:shd w:val="clear" w:color="auto" w:fill="auto"/>
            <w:vAlign w:val="center"/>
          </w:tcPr>
          <w:p w14:paraId="6E2EBD5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tcBorders>
              <w:top w:val="nil"/>
            </w:tcBorders>
            <w:shd w:val="clear" w:color="auto" w:fill="auto"/>
            <w:vAlign w:val="center"/>
          </w:tcPr>
          <w:p w14:paraId="65C0AFD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(-17.81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-9.35)</w:t>
            </w:r>
          </w:p>
        </w:tc>
        <w:tc>
          <w:tcPr>
            <w:tcW w:w="1384" w:type="dxa"/>
            <w:tcBorders>
              <w:top w:val="nil"/>
            </w:tcBorders>
            <w:shd w:val="clear" w:color="auto" w:fill="auto"/>
            <w:vAlign w:val="center"/>
          </w:tcPr>
          <w:p w14:paraId="537EA45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-13.65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 w14:paraId="6EEF90D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033" w:type="dxa"/>
            <w:tcBorders>
              <w:top w:val="nil"/>
            </w:tcBorders>
            <w:shd w:val="clear" w:color="auto" w:fill="auto"/>
            <w:vAlign w:val="center"/>
          </w:tcPr>
          <w:p w14:paraId="5033233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tcBorders>
              <w:top w:val="nil"/>
            </w:tcBorders>
            <w:shd w:val="clear" w:color="auto" w:fill="auto"/>
            <w:vAlign w:val="center"/>
          </w:tcPr>
          <w:p w14:paraId="3954EB3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(-18.19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-9.11)</w:t>
            </w:r>
          </w:p>
        </w:tc>
      </w:tr>
      <w:tr w14:paraId="2CCF3ABF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6A1BD8C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7B56043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F095C7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-19.63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10BABE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CF5818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5BF718E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(-24.11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-15.16)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D2DE91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-19.89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C886BA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6B0E6A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578DF5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(-24.68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-15.10)</w:t>
            </w:r>
          </w:p>
        </w:tc>
      </w:tr>
      <w:tr w14:paraId="006D0676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0C06EB1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33329DD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56C106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-19.02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9C77BB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40C4D1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E00995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(-21.86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-16.19)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48D4A3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-19.71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D5C917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DDF8F6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EFBABE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(-22.70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-16.72)</w:t>
            </w:r>
          </w:p>
        </w:tc>
      </w:tr>
      <w:tr w14:paraId="1B045266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54C74BFA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8F78CB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A5257B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-25.08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C39880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A73F46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6E56E03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(-28.49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-21.66)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1549C7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-25.95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BA4B78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76F5A6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37C603A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(-29.54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-22.36)</w:t>
            </w:r>
          </w:p>
        </w:tc>
      </w:tr>
      <w:tr w14:paraId="2452C5C8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397709A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7A0070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A10198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-6.06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65AF34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859843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317A076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(-7.76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-4.36)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8AA89C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-6.24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89B72D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CC0CE5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7EA105A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(-8.08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-4.41)</w:t>
            </w:r>
          </w:p>
        </w:tc>
      </w:tr>
      <w:tr w14:paraId="049D9C3E">
        <w:trPr>
          <w:trHeight w:val="283" w:hRule="atLeast"/>
          <w:jc w:val="center"/>
        </w:trPr>
        <w:tc>
          <w:tcPr>
            <w:tcW w:w="938" w:type="dxa"/>
            <w:vMerge w:val="restart"/>
          </w:tcPr>
          <w:p w14:paraId="69AFA416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R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425E54B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D52751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538827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71C102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36CB6A2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(3.02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7.53)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DE1A38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5.41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E7E18F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63C65D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7021543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(3.04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7.79)</w:t>
            </w:r>
          </w:p>
        </w:tc>
      </w:tr>
      <w:tr w14:paraId="3C84B540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08F3B69E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0A79A300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6B641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-1.43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96C148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D317A6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48701E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(-3.99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1.12)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A74AA4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-1.29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01136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275AD7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009C39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(-3.94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1.35)</w:t>
            </w:r>
          </w:p>
        </w:tc>
      </w:tr>
      <w:tr w14:paraId="415B971A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4AE0B85C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50C56DC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7E9969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9.90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244960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7714EA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26B3EE7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(4.81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14.99)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36265C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402B3C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D5D7A1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3A51D55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(4.69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15.40)</w:t>
            </w:r>
          </w:p>
        </w:tc>
      </w:tr>
      <w:tr w14:paraId="2D0B62B1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08DAAC70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5814EA9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D60DC9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12.60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BB84F6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8716EF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43AE5A4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(8.69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16.51)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CFFB7A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12.54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64057A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82C7E6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3CF94B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(8.47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16.61)</w:t>
            </w:r>
          </w:p>
        </w:tc>
      </w:tr>
      <w:tr w14:paraId="5356A683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65A48DF4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24D5F51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5E3F91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03D05E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F4425D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0.666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6AB3E08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(-0.95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5.41)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EB52BC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956372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70FA1B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0.620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5FDDA08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(-0.95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5.66)</w:t>
            </w:r>
          </w:p>
        </w:tc>
      </w:tr>
      <w:tr w14:paraId="0AD16761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52D898A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59B38C9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F7BDE50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-1.84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548F67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80ECFD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712ED8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(-4.88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1.20)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D5130E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-1.66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C77F71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62A189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EFC3D1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(-4.80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1.48)</w:t>
            </w:r>
          </w:p>
        </w:tc>
      </w:tr>
      <w:tr w14:paraId="54B67C24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4705C76D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44A4B972">
            <w:pPr>
              <w:snapToGri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T2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2BC400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-6.71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B0C974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009B30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2693D56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(-8.73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-4.70)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76D289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-6.71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68BEB9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7AC4EF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65A179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(-8.78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-4.64)</w:t>
            </w:r>
          </w:p>
        </w:tc>
      </w:tr>
      <w:tr w14:paraId="352E977B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15BAFF9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259166A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C61295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2.70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DB68BD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E90FB3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0.610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E549B4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(-1.08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6.48)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63EFC5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C3DBA3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77EA5D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57B52D8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(-1.42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6.41)</w:t>
            </w:r>
          </w:p>
        </w:tc>
      </w:tr>
      <w:tr w14:paraId="3FE082D5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28D61307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05AA3F6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4C2283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-7.67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9C8EA7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C3D689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3A5C75A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(-11.90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-3.44)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AD9E3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-7.69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D0B1C7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53A911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1820527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(-12.15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-3.23)</w:t>
            </w:r>
          </w:p>
        </w:tc>
      </w:tr>
      <w:tr w14:paraId="25D6CD3F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4060DF54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7CA56A5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E7E242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-11.74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329085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221F39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6451861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(-16.22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-7.27)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AFC15D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-11.71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124F33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517CFE4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D78FF8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(-16.41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-7.00)</w:t>
            </w:r>
          </w:p>
        </w:tc>
      </w:tr>
      <w:tr w14:paraId="5CC1FC64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52A86935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32A429D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961087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-10.37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10931A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43A5023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704DC0D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(-13.20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-7.53)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2508D4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-10.19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D43E0B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BBD7AD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4FC0026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(-13.12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-7.25)</w:t>
            </w:r>
          </w:p>
        </w:tc>
      </w:tr>
      <w:tr w14:paraId="6F4FB542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0E7A1AEA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759E951F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E9D39E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-14.44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B193E3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044F4E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3F2D8DD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(-17.86,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-11.03)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7C46F5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-14.20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F5DBB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8E8CED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34E8BA2D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(-17.73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-10.67)</w:t>
            </w:r>
          </w:p>
        </w:tc>
      </w:tr>
      <w:tr w14:paraId="1B52582F">
        <w:trPr>
          <w:trHeight w:val="283" w:hRule="atLeast"/>
          <w:jc w:val="center"/>
        </w:trPr>
        <w:tc>
          <w:tcPr>
            <w:tcW w:w="938" w:type="dxa"/>
            <w:vMerge w:val="continue"/>
          </w:tcPr>
          <w:p w14:paraId="779C2903">
            <w:pPr>
              <w:snapToGrid w:val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19D1CC6E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eastAsia="MingLiU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B989697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-4.08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3A9F7BC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7DB1A1B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28D0FA55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(-5.78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-2.38)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77020FA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-4.01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0BD1601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60B0C29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115E23C2">
            <w:pPr>
              <w:widowControl/>
              <w:snapToGrid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(-5.81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-2.21)</w:t>
            </w:r>
          </w:p>
        </w:tc>
      </w:tr>
    </w:tbl>
    <w:p w14:paraId="0143ACBB">
      <w:pPr>
        <w:spacing w:line="240" w:lineRule="auto"/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 xml:space="preserve">Intra-group pairwise comparisons of HR were performed using two-way repeated-measures analysis of variance. Mean differences were calculated as the value at the later time point minus the value at the reference time point; therefore, negative values indicate a decrease from the reference time point. Mean differences,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val="en-US" w:bidi="ar"/>
        </w:rPr>
        <w:t>s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 xml:space="preserve">tandard 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e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4"/>
          <w:szCs w:val="24"/>
          <w:lang w:bidi="ar"/>
        </w:rPr>
        <w:t>rrors, and 95% CIs are expressed in beats/min. E, etomidate; R, remimazolam; HR, heart rate; CI, confidence interval; T0, before anaesthetic induction; T1, immediately after anaesthetic induction; T2, before endotracheal intubation; T3, immediately after endotracheal intubation; T4, 1 min after endotracheal intubation; T5, 3 min after endotracheal intubation; T6, 5 min after endotracheal intubation.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ingLiU">
    <w:altName w:val="宋体-繁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inion Pro">
    <w:altName w:val="苹方-简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18"/>
    <w:rsid w:val="000E796F"/>
    <w:rsid w:val="00135E17"/>
    <w:rsid w:val="001E006E"/>
    <w:rsid w:val="00293B7B"/>
    <w:rsid w:val="002952A3"/>
    <w:rsid w:val="00553C18"/>
    <w:rsid w:val="006B3C1F"/>
    <w:rsid w:val="006D6143"/>
    <w:rsid w:val="007A55DC"/>
    <w:rsid w:val="008D6A28"/>
    <w:rsid w:val="00922793"/>
    <w:rsid w:val="00A20231"/>
    <w:rsid w:val="00BE65F8"/>
    <w:rsid w:val="00CD68CB"/>
    <w:rsid w:val="00D437B0"/>
    <w:rsid w:val="00D53999"/>
    <w:rsid w:val="00D94E42"/>
    <w:rsid w:val="00FE73AD"/>
    <w:rsid w:val="3BFF1829"/>
    <w:rsid w:val="57DF869A"/>
    <w:rsid w:val="5FBB9783"/>
    <w:rsid w:val="6EFE3147"/>
    <w:rsid w:val="72FEC54F"/>
    <w:rsid w:val="7DDD2EEB"/>
    <w:rsid w:val="7E5997BD"/>
    <w:rsid w:val="BAFCC04F"/>
    <w:rsid w:val="BFDD2791"/>
    <w:rsid w:val="CEDBAD1B"/>
    <w:rsid w:val="D7A6363C"/>
    <w:rsid w:val="DEB6FE97"/>
    <w:rsid w:val="F53C13F6"/>
    <w:rsid w:val="F7DF4610"/>
    <w:rsid w:val="FF2F7F9E"/>
    <w:rsid w:val="FFDC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link w:val="15"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MingLiU" w:hAnsi="MingLiU" w:eastAsia="MingLiU" w:cs="Times New Roman"/>
      <w:b/>
      <w:color w:val="000000"/>
      <w:kern w:val="0"/>
      <w:sz w:val="32"/>
      <w:szCs w:val="24"/>
      <w:lang w:val="en-US" w:eastAsia="zh-CN" w:bidi="ar-SA"/>
    </w:rPr>
  </w:style>
  <w:style w:type="paragraph" w:styleId="3">
    <w:name w:val="heading 2"/>
    <w:link w:val="16"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MingLiU" w:hAnsi="MingLiU" w:eastAsia="MingLiU" w:cs="Times New Roman"/>
      <w:b/>
      <w:i/>
      <w:color w:val="000000"/>
      <w:kern w:val="0"/>
      <w:sz w:val="28"/>
      <w:szCs w:val="24"/>
      <w:lang w:val="en-US" w:eastAsia="zh-CN" w:bidi="ar-SA"/>
    </w:rPr>
  </w:style>
  <w:style w:type="paragraph" w:styleId="4">
    <w:name w:val="heading 3"/>
    <w:link w:val="17"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MingLiU" w:hAnsi="MingLiU" w:eastAsia="MingLiU" w:cs="Times New Roman"/>
      <w:b/>
      <w:color w:val="000000"/>
      <w:kern w:val="0"/>
      <w:sz w:val="26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customStyle="1" w:styleId="15">
    <w:name w:val="标题 1 Char"/>
    <w:basedOn w:val="13"/>
    <w:link w:val="2"/>
    <w:uiPriority w:val="99"/>
    <w:rPr>
      <w:rFonts w:ascii="MingLiU" w:hAnsi="MingLiU" w:eastAsia="MingLiU" w:cs="Times New Roman"/>
      <w:b/>
      <w:color w:val="000000"/>
      <w:kern w:val="0"/>
      <w:sz w:val="32"/>
      <w:szCs w:val="24"/>
    </w:rPr>
  </w:style>
  <w:style w:type="character" w:customStyle="1" w:styleId="16">
    <w:name w:val="标题 2 Char"/>
    <w:basedOn w:val="13"/>
    <w:link w:val="3"/>
    <w:uiPriority w:val="99"/>
    <w:rPr>
      <w:rFonts w:ascii="MingLiU" w:hAnsi="MingLiU" w:eastAsia="MingLiU" w:cs="Times New Roman"/>
      <w:b/>
      <w:i/>
      <w:color w:val="000000"/>
      <w:kern w:val="0"/>
      <w:sz w:val="28"/>
      <w:szCs w:val="24"/>
    </w:rPr>
  </w:style>
  <w:style w:type="character" w:customStyle="1" w:styleId="17">
    <w:name w:val="标题 3 Char"/>
    <w:basedOn w:val="13"/>
    <w:link w:val="4"/>
    <w:uiPriority w:val="99"/>
    <w:rPr>
      <w:rFonts w:ascii="MingLiU" w:hAnsi="MingLiU" w:eastAsia="MingLiU" w:cs="Times New Roman"/>
      <w:b/>
      <w:color w:val="000000"/>
      <w:kern w:val="0"/>
      <w:sz w:val="26"/>
      <w:szCs w:val="24"/>
    </w:rPr>
  </w:style>
  <w:style w:type="character" w:customStyle="1" w:styleId="18">
    <w:name w:val="批注文字 Char"/>
    <w:basedOn w:val="13"/>
    <w:link w:val="5"/>
    <w:semiHidden/>
    <w:qFormat/>
    <w:uiPriority w:val="99"/>
  </w:style>
  <w:style w:type="character" w:customStyle="1" w:styleId="19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7"/>
    <w:uiPriority w:val="99"/>
    <w:rPr>
      <w:sz w:val="18"/>
      <w:szCs w:val="18"/>
    </w:rPr>
  </w:style>
  <w:style w:type="character" w:customStyle="1" w:styleId="21">
    <w:name w:val="页眉 Char"/>
    <w:basedOn w:val="13"/>
    <w:link w:val="8"/>
    <w:uiPriority w:val="99"/>
    <w:rPr>
      <w:sz w:val="18"/>
      <w:szCs w:val="18"/>
    </w:rPr>
  </w:style>
  <w:style w:type="character" w:customStyle="1" w:styleId="22">
    <w:name w:val="批注主题 Char"/>
    <w:basedOn w:val="18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6</Pages>
  <Words>755</Words>
  <Characters>4310</Characters>
  <Lines>35</Lines>
  <Paragraphs>10</Paragraphs>
  <TotalTime>9</TotalTime>
  <ScaleCrop>false</ScaleCrop>
  <LinksUpToDate>false</LinksUpToDate>
  <CharactersWithSpaces>5055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2026-05-18T16:55:00Z</dcterms:created>
  <dc:creator>杨孔雨</dc:creator>
  <cp:lastModifiedBy>慕慕</cp:lastModifiedBy>
  <dcterms:modified xsi:type="dcterms:W3CDTF">2026-05-18T19:07:40Z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DE4D469EE89D2EE6EAB20A6A2E2F3E92_42</vt:lpwstr>
  </property>
</Properties>
</file>