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9EB06">
      <w:pPr>
        <w:jc w:val="center"/>
      </w:pPr>
      <w:r>
        <w:rPr>
          <w:rFonts w:ascii="Arial" w:hAnsi="Arial" w:eastAsia="Arial"/>
          <w:b/>
          <w:sz w:val="26"/>
        </w:rPr>
        <w:t>Supplementary File 1. CONSORT 2025 checklist</w:t>
      </w:r>
    </w:p>
    <w:p w14:paraId="61E45867">
      <w:pPr>
        <w:jc w:val="center"/>
      </w:pPr>
      <w:r>
        <w:rPr>
          <w:rFonts w:ascii="Arial" w:hAnsi="Arial" w:eastAsia="Arial"/>
          <w:sz w:val="17"/>
        </w:rPr>
        <w:t>Manuscript: Effects of VR-CALM on cancer-related fatigue, psychological distress and related symptoms in patients with non-small cell lung cancer: a randomised controlled trial</w:t>
      </w:r>
    </w:p>
    <w:p w14:paraId="2814EA43">
      <w:pPr>
        <w:jc w:val="left"/>
      </w:pPr>
      <w:r>
        <w:rPr>
          <w:rFonts w:ascii="Arial" w:hAnsi="Arial" w:eastAsia="Arial"/>
          <w:i/>
          <w:sz w:val="16"/>
        </w:rPr>
        <w:t>Note: Page references are based on the uploaded English manuscript used for BMJ Supportive &amp; Palliative Care preparation. Items marked as not reported/not applicable should be checked before submission and updated after final typesetting.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8"/>
        <w:gridCol w:w="601"/>
        <w:gridCol w:w="7198"/>
        <w:gridCol w:w="5617"/>
      </w:tblGrid>
      <w:tr w14:paraId="1DA87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D9EAF7"/>
            <w:vAlign w:val="center"/>
          </w:tcPr>
          <w:p w14:paraId="46F93F19"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Section / Topic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D9EAF7"/>
            <w:vAlign w:val="center"/>
          </w:tcPr>
          <w:p w14:paraId="5D9F5CE4"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No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D9EAF7"/>
            <w:vAlign w:val="center"/>
          </w:tcPr>
          <w:p w14:paraId="6FFD9745"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CONSORT 2025 checklist item description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D9EAF7"/>
            <w:vAlign w:val="center"/>
          </w:tcPr>
          <w:p w14:paraId="5BAC65BC"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Reported on page no.</w:t>
            </w:r>
          </w:p>
        </w:tc>
      </w:tr>
      <w:tr w14:paraId="1535D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18E1F6E7"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5"/>
              </w:rPr>
              <w:t>Title and abstract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1BDCA71B">
            <w:pPr>
              <w:spacing w:before="0" w:after="0" w:line="240" w:lineRule="auto"/>
            </w:pP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4EEC3175">
            <w:pPr>
              <w:spacing w:before="0" w:after="0" w:line="240" w:lineRule="auto"/>
            </w:pP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15860E52">
            <w:pPr>
              <w:spacing w:before="0" w:after="0" w:line="240" w:lineRule="auto"/>
            </w:pPr>
          </w:p>
        </w:tc>
      </w:tr>
      <w:tr w14:paraId="5FB0A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4BAD138C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Title and structured abstract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A2714D1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1a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62A4C862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Identification as a randomised trial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3E984664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p.1, title</w:t>
            </w:r>
          </w:p>
        </w:tc>
      </w:tr>
      <w:tr w14:paraId="27953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020F07BB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Title and structured abstract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4FDE87C6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1b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34760383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Structured summary of the trial design, methods, results, and conclusions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3F025DE4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p.1, Abstract</w:t>
            </w:r>
          </w:p>
        </w:tc>
      </w:tr>
      <w:tr w14:paraId="0FF73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5161C345"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5"/>
              </w:rPr>
              <w:t>Open science and ethics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2B84519E">
            <w:pPr>
              <w:spacing w:before="0" w:after="0" w:line="240" w:lineRule="auto"/>
            </w:pP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76FF9DAD">
            <w:pPr>
              <w:spacing w:before="0" w:after="0" w:line="240" w:lineRule="auto"/>
            </w:pP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253D80F1">
            <w:pPr>
              <w:spacing w:before="0" w:after="0" w:line="240" w:lineRule="auto"/>
            </w:pPr>
          </w:p>
        </w:tc>
      </w:tr>
      <w:tr w14:paraId="42694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7D34B27C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Trial registration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07BCD15A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3D4AE3B5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Name of trial registry, identifying number (with URL) and date of registration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6069C697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p.1, Abstract; p.10, Trial registration. ClinicalTrials.gov number reported (NCT06348940).</w:t>
            </w:r>
          </w:p>
        </w:tc>
      </w:tr>
      <w:tr w14:paraId="4D479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79F23466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Protocol and statistical analysis plan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1A4233EB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3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122AAFB5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Where the trial protocol and statistical analysis plan can be accessed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745EF36D"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5"/>
              </w:rPr>
              <w:t>The full trial protocol and a separate statistical analysis plan are not publicly available. The statistical methods are described in the Methods section.</w:t>
            </w:r>
          </w:p>
        </w:tc>
      </w:tr>
      <w:tr w14:paraId="1E56E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21B4FA5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Data sharing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3DBAC4F7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4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106E4105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52BDC6E2"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5"/>
              </w:rPr>
              <w:t>p.10, Data availability statement. De-identified data are available from the corresponding author upon reasonable request.</w:t>
            </w:r>
          </w:p>
        </w:tc>
      </w:tr>
      <w:tr w14:paraId="066EA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5587DFDD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Funding and conflicts of interest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5CC8D92F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5a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44B0EBFD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Sources of funding and other support (e.g., supply of drugs), and role of funders in the design, conduct, analysis and reporting of the trial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538131D5"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5"/>
              </w:rPr>
              <w:t>p.10, Funding statement. Funding sources and the role of funders are reported.</w:t>
            </w:r>
          </w:p>
        </w:tc>
      </w:tr>
      <w:tr w14:paraId="57142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9CA9338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Funding and conflicts of interest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02A0BE8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5b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20F310C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Financial and other conflicts of interest of the manuscript authors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60A64D1F"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5"/>
              </w:rPr>
              <w:t>p.11, Declarations/competing interests. The authors declared no relevant financial or other competing interests.</w:t>
            </w:r>
          </w:p>
        </w:tc>
      </w:tr>
      <w:tr w14:paraId="23FEF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525AF68A"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5"/>
              </w:rPr>
              <w:t>Ethics approval and consent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BF95003"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5"/>
              </w:rPr>
              <w:t>NA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C9D9133"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5"/>
              </w:rPr>
              <w:t>Ethics approval and participant consent for the trial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7E7B243">
            <w:pPr>
              <w:spacing w:before="0" w:after="0" w:line="240" w:lineRule="auto"/>
              <w:rPr>
                <w:rFonts w:ascii="Arial" w:hAnsi="Arial" w:eastAsia="Arial"/>
                <w:b w:val="0"/>
                <w:i w:val="0"/>
                <w:sz w:val="15"/>
              </w:rPr>
            </w:pPr>
            <w:r>
              <w:rPr>
                <w:rFonts w:ascii="Arial" w:hAnsi="Arial" w:eastAsia="Arial"/>
                <w:b w:val="0"/>
                <w:i w:val="0"/>
                <w:sz w:val="15"/>
              </w:rPr>
              <w:t>p.10, Ethics approval and consent to participate. Ethics approval was obtained from the Ethics Committee of Shenzhen Hospital, Southern Medical University (approval number: NYSZYYEC2024K047R002). All participants provided written informed consent before enrolment.</w:t>
            </w:r>
          </w:p>
        </w:tc>
      </w:tr>
      <w:tr w14:paraId="2A749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5CCA11C2"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5"/>
              </w:rPr>
              <w:t>Introduction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5B60F9C3">
            <w:pPr>
              <w:spacing w:before="0" w:after="0" w:line="240" w:lineRule="auto"/>
            </w:pP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7429EF56">
            <w:pPr>
              <w:spacing w:before="0" w:after="0" w:line="240" w:lineRule="auto"/>
            </w:pP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3B921A48">
            <w:pPr>
              <w:spacing w:before="0" w:after="0" w:line="240" w:lineRule="auto"/>
            </w:pPr>
          </w:p>
        </w:tc>
      </w:tr>
      <w:tr w14:paraId="117AF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0FDB5A1A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Background and rationale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1FE223C0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6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60876369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Scientific background and rationale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E1D6DFB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pp.2-3, Introduction</w:t>
            </w:r>
          </w:p>
        </w:tc>
      </w:tr>
      <w:tr w14:paraId="1D933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1E9A7E7A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Objectives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540D3BD0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7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A1CF51D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Specific objectives related to benefits and harms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32C52BDB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p.1, Objectives; p.3, end of Introduction. Harms/safety monitoring described in Methods (p.4).</w:t>
            </w:r>
          </w:p>
        </w:tc>
      </w:tr>
      <w:tr w14:paraId="419D8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53F8BF74"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5"/>
              </w:rPr>
              <w:t>Methods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20CC38DF">
            <w:pPr>
              <w:spacing w:before="0" w:after="0" w:line="240" w:lineRule="auto"/>
            </w:pP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6BBF2435">
            <w:pPr>
              <w:spacing w:before="0" w:after="0" w:line="240" w:lineRule="auto"/>
            </w:pP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59D785F2">
            <w:pPr>
              <w:spacing w:before="0" w:after="0" w:line="240" w:lineRule="auto"/>
            </w:pPr>
          </w:p>
        </w:tc>
      </w:tr>
      <w:tr w14:paraId="60066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58E71232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Trial design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056D97F7">
            <w:pPr>
              <w:spacing w:before="0" w:after="0" w:line="240" w:lineRule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8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3C54C445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Description of trial design including type of trial (e.g., parallel group, crossover), allocation ratio, and framework (e.g., superiority, equivalence, non-inferiority, exploratory)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275E54AA">
            <w:pPr>
              <w:spacing w:before="0" w:after="0" w:line="240" w:lineRule="auto"/>
              <w:rPr>
                <w:rFonts w:hint="eastAsia" w:eastAsia="宋体"/>
                <w:lang w:val="en-US" w:eastAsia="zh-CN"/>
              </w:rPr>
            </w:pPr>
            <w:r>
              <w:rPr>
                <w:rFonts w:ascii="Arial" w:hAnsi="Arial" w:eastAsia="Arial"/>
                <w:sz w:val="15"/>
              </w:rPr>
              <w:t>p.3, Study design and participants; p.4, Randomisation and masking. Single-centre, blinded outcome assessment, parallel-group RCT; 1:1 allocation.</w:t>
            </w:r>
          </w:p>
        </w:tc>
      </w:tr>
      <w:tr w14:paraId="150C9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43E7EF3E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Changes to trial protocol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31229911">
            <w:pPr>
              <w:spacing w:before="0" w:after="0" w:line="240" w:lineRule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9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03168A1B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4F5AAFD5">
            <w:pPr>
              <w:spacing w:before="0" w:after="0" w:line="240" w:lineRule="auto"/>
              <w:rPr>
                <w:rFonts w:ascii="Arial" w:hAnsi="Arial" w:eastAsia="Arial"/>
                <w:sz w:val="15"/>
              </w:rPr>
            </w:pPr>
            <w:r>
              <w:rPr>
                <w:rFonts w:ascii="Arial" w:hAnsi="Arial" w:eastAsia="Arial"/>
                <w:sz w:val="15"/>
              </w:rPr>
              <w:t>No important changes to the trial protocol occurred after trial commencement.</w:t>
            </w:r>
          </w:p>
        </w:tc>
      </w:tr>
      <w:tr w14:paraId="2F04D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3DEC834D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Trial setting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35B84D6">
            <w:pPr>
              <w:spacing w:before="0" w:after="0" w:line="240" w:lineRule="auto"/>
              <w:rPr>
                <w:rFonts w:hint="eastAsia" w:eastAsia="宋体"/>
                <w:lang w:val="en-US" w:eastAsia="zh-CN"/>
              </w:rPr>
            </w:pPr>
            <w:r>
              <w:rPr>
                <w:rFonts w:ascii="Arial" w:hAnsi="Arial" w:eastAsia="Arial"/>
                <w:sz w:val="16"/>
              </w:rPr>
              <w:t>1</w:t>
            </w:r>
            <w:r>
              <w:rPr>
                <w:rFonts w:hint="eastAsia" w:eastAsia="宋体"/>
                <w:sz w:val="16"/>
                <w:lang w:val="en-US" w:eastAsia="zh-CN"/>
              </w:rPr>
              <w:t>0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0249D3F2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Settings (e.g., community, hospital) and locations (e.g., countries, sites) where the trial was conducted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662EDD20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p.3, Study design and participants; Shenzhen Hospital of Southern Medical University</w:t>
            </w:r>
          </w:p>
        </w:tc>
      </w:tr>
      <w:tr w14:paraId="24857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A526AFD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Eligibility criteria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5165E018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</w:t>
            </w:r>
            <w:r>
              <w:rPr>
                <w:rFonts w:hint="eastAsia" w:eastAsia="宋体"/>
                <w:sz w:val="16"/>
                <w:lang w:val="en-US" w:eastAsia="zh-CN"/>
              </w:rPr>
              <w:t>1</w:t>
            </w:r>
            <w:r>
              <w:rPr>
                <w:rFonts w:ascii="Arial" w:hAnsi="Arial" w:eastAsia="Arial"/>
                <w:sz w:val="16"/>
              </w:rPr>
              <w:t>a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4686517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Eligibility criteria for participants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0A20346E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pp.3-4, Study design and participants</w:t>
            </w:r>
          </w:p>
        </w:tc>
      </w:tr>
      <w:tr w14:paraId="6218E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0BB91AB7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Eligibility criteria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5B49E8EE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</w:t>
            </w:r>
            <w:r>
              <w:rPr>
                <w:rFonts w:hint="eastAsia" w:eastAsia="宋体"/>
                <w:sz w:val="16"/>
                <w:lang w:val="en-US" w:eastAsia="zh-CN"/>
              </w:rPr>
              <w:t>1</w:t>
            </w:r>
            <w:r>
              <w:rPr>
                <w:rFonts w:ascii="Arial" w:hAnsi="Arial" w:eastAsia="Arial"/>
                <w:sz w:val="16"/>
              </w:rPr>
              <w:t>b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44D9B400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If applicable, eligibility criteria for sites and for individuals delivering the interventions (e.g., surgeons, physiotherapists)</w:t>
            </w:r>
            <w:bookmarkStart w:id="0" w:name="_GoBack"/>
            <w:bookmarkEnd w:id="0"/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376325D4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Partly reported on p.4</w:t>
            </w:r>
            <w:r>
              <w:rPr>
                <w:rFonts w:hint="eastAsia" w:ascii="Arial" w:hAnsi="Arial" w:eastAsia="Arial"/>
                <w:sz w:val="15"/>
                <w:lang w:val="en-US" w:eastAsia="zh-CN"/>
              </w:rPr>
              <w:t>.</w:t>
            </w:r>
            <w:r>
              <w:rPr>
                <w:rFonts w:ascii="Arial" w:hAnsi="Arial" w:eastAsia="Arial"/>
                <w:sz w:val="15"/>
              </w:rPr>
              <w:t xml:space="preserve"> </w:t>
            </w:r>
            <w:r>
              <w:rPr>
                <w:rFonts w:hint="eastAsia" w:ascii="Arial" w:hAnsi="Arial" w:eastAsia="Arial"/>
                <w:sz w:val="15"/>
                <w:lang w:val="en-US" w:eastAsia="zh-CN"/>
              </w:rPr>
              <w:t>I</w:t>
            </w:r>
            <w:r>
              <w:rPr>
                <w:rFonts w:ascii="Arial" w:hAnsi="Arial" w:eastAsia="Arial"/>
                <w:b w:val="0"/>
                <w:sz w:val="14"/>
              </w:rPr>
              <w:t>ntervention delivered by uniformly trained counsellors; detailed provider eligibility not fully specified.</w:t>
            </w:r>
          </w:p>
        </w:tc>
      </w:tr>
      <w:tr w14:paraId="2BD3C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681B8BA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Intervention and comparator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30F3ED90">
            <w:pPr>
              <w:spacing w:before="0" w:after="0" w:line="240" w:lineRule="auto"/>
              <w:rPr>
                <w:rFonts w:hint="eastAsia" w:eastAsia="宋体"/>
                <w:lang w:val="en-US" w:eastAsia="zh-CN"/>
              </w:rPr>
            </w:pPr>
            <w:r>
              <w:rPr>
                <w:rFonts w:ascii="Arial" w:hAnsi="Arial" w:eastAsia="Arial"/>
                <w:sz w:val="16"/>
              </w:rPr>
              <w:t>1</w:t>
            </w:r>
            <w:r>
              <w:rPr>
                <w:rFonts w:hint="eastAsia" w:eastAsia="宋体"/>
                <w:sz w:val="16"/>
                <w:lang w:val="en-US" w:eastAsia="zh-CN"/>
              </w:rPr>
              <w:t>2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6277B5B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Intervention and comparator with sufficient details to allow replication. If relevant, where additional materials describing the intervention and comparator (e.g., intervention manual) can be accessed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10F7DCA5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p.4, Intervention; CAU and health education described. Intervention materials/manual access not reported.</w:t>
            </w:r>
          </w:p>
        </w:tc>
      </w:tr>
      <w:tr w14:paraId="6EE24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300300C0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Outcomes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562983E">
            <w:pPr>
              <w:spacing w:before="0" w:after="0" w:line="240" w:lineRule="auto"/>
              <w:rPr>
                <w:rFonts w:hint="eastAsia" w:eastAsia="宋体"/>
                <w:lang w:val="en-US" w:eastAsia="zh-CN"/>
              </w:rPr>
            </w:pPr>
            <w:r>
              <w:rPr>
                <w:rFonts w:ascii="Arial" w:hAnsi="Arial" w:eastAsia="Arial"/>
                <w:sz w:val="16"/>
              </w:rPr>
              <w:t>1</w:t>
            </w:r>
            <w:r>
              <w:rPr>
                <w:rFonts w:hint="eastAsia" w:eastAsia="宋体"/>
                <w:sz w:val="16"/>
                <w:lang w:val="en-US" w:eastAsia="zh-CN"/>
              </w:rPr>
              <w:t>3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493F844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Pre-specified primary and secondary outcomes, including the specific measurement variable, analysis metric, method of aggregation, and time point for each outcome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083CA4F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pp.4-5, Outcomes; pp.7-8, Tables 2-3. Outcomes assessed at baseline and after 4 weeks.</w:t>
            </w:r>
          </w:p>
        </w:tc>
      </w:tr>
      <w:tr w14:paraId="19E4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59F71FD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Harms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60A4F2D">
            <w:pPr>
              <w:spacing w:before="0" w:after="0" w:line="240" w:lineRule="auto"/>
              <w:rPr>
                <w:rFonts w:hint="eastAsia" w:eastAsia="宋体"/>
                <w:lang w:val="en-US" w:eastAsia="zh-CN"/>
              </w:rPr>
            </w:pPr>
            <w:r>
              <w:rPr>
                <w:rFonts w:ascii="Arial" w:hAnsi="Arial" w:eastAsia="Arial"/>
                <w:sz w:val="16"/>
              </w:rPr>
              <w:t>1</w:t>
            </w:r>
            <w:r>
              <w:rPr>
                <w:rFonts w:hint="eastAsia" w:eastAsia="宋体"/>
                <w:sz w:val="16"/>
                <w:lang w:val="en-US" w:eastAsia="zh-CN"/>
              </w:rPr>
              <w:t>4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69BCF21B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How harms were defined and assessed (e.g., systematically, non-systematically)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39DCB5A9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p.4, Intervention. VR-related discomfort/adverse reactions were observed and recorded after each session.</w:t>
            </w:r>
          </w:p>
        </w:tc>
      </w:tr>
      <w:tr w14:paraId="33953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37F84AB5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Sample size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3E4DDA4D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</w:t>
            </w:r>
            <w:r>
              <w:rPr>
                <w:rFonts w:hint="eastAsia" w:eastAsia="宋体"/>
                <w:sz w:val="16"/>
                <w:lang w:val="en-US" w:eastAsia="zh-CN"/>
              </w:rPr>
              <w:t>5</w:t>
            </w:r>
            <w:r>
              <w:rPr>
                <w:rFonts w:ascii="Arial" w:hAnsi="Arial" w:eastAsia="Arial"/>
                <w:sz w:val="16"/>
              </w:rPr>
              <w:t>a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0E726133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How sample size was determined, including all assumptions supporting the sample size calculation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3DF3A84E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p.5, Sample size</w:t>
            </w:r>
          </w:p>
        </w:tc>
      </w:tr>
      <w:tr w14:paraId="3C385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023FC9B8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Sample size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2A17078A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</w:t>
            </w:r>
            <w:r>
              <w:rPr>
                <w:rFonts w:hint="eastAsia" w:eastAsia="宋体"/>
                <w:sz w:val="16"/>
                <w:lang w:val="en-US" w:eastAsia="zh-CN"/>
              </w:rPr>
              <w:t>5</w:t>
            </w:r>
            <w:r>
              <w:rPr>
                <w:rFonts w:ascii="Arial" w:hAnsi="Arial" w:eastAsia="Arial"/>
                <w:sz w:val="16"/>
              </w:rPr>
              <w:t>b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6D16FB91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Explanation of any interim analyses and stopping guidelines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59CB6B1D">
            <w:pPr>
              <w:spacing w:before="0" w:after="0" w:line="240" w:lineRule="auto"/>
              <w:rPr>
                <w:rFonts w:ascii="Arial" w:hAnsi="Arial" w:eastAsia="Arial"/>
                <w:sz w:val="15"/>
              </w:rPr>
            </w:pPr>
            <w:r>
              <w:rPr>
                <w:rFonts w:ascii="Arial" w:hAnsi="Arial" w:eastAsia="Arial"/>
                <w:sz w:val="15"/>
              </w:rPr>
              <w:t>No interim analyses or stopping guidelines were prespecified.</w:t>
            </w:r>
          </w:p>
        </w:tc>
      </w:tr>
      <w:tr w14:paraId="5F347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3D139F9A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Patient and public involvement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44110E4C">
            <w:pPr>
              <w:spacing w:before="0" w:after="0"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16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6FEDCEC4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Details of patient or public involvement in the design, conduct and reporting of the trial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4C64C135">
            <w:pPr>
              <w:spacing w:before="0" w:after="0" w:line="240" w:lineRule="auto"/>
              <w:rPr>
                <w:rFonts w:ascii="Arial" w:hAnsi="Arial" w:eastAsia="Arial"/>
                <w:sz w:val="15"/>
              </w:rPr>
            </w:pPr>
            <w:r>
              <w:rPr>
                <w:rFonts w:ascii="Arial" w:hAnsi="Arial" w:eastAsia="Arial"/>
                <w:sz w:val="15"/>
              </w:rPr>
              <w:t>p.</w:t>
            </w:r>
            <w:r>
              <w:rPr>
                <w:rFonts w:hint="eastAsia" w:eastAsia="宋体"/>
                <w:sz w:val="15"/>
                <w:lang w:val="en-US" w:eastAsia="zh-CN"/>
              </w:rPr>
              <w:t>5</w:t>
            </w:r>
            <w:r>
              <w:rPr>
                <w:rFonts w:ascii="Arial" w:hAnsi="Arial" w:eastAsia="Arial"/>
                <w:sz w:val="15"/>
              </w:rPr>
              <w:t>, Patients or the public were not involved in the design, conduct, reporting or dissemination plans of this study.</w:t>
            </w:r>
          </w:p>
        </w:tc>
      </w:tr>
      <w:tr w14:paraId="2CA0A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681B4083"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5"/>
              </w:rPr>
              <w:t>Randomisation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4AF94018">
            <w:pPr>
              <w:spacing w:before="0" w:after="0" w:line="240" w:lineRule="auto"/>
            </w:pP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031AAF75">
            <w:pPr>
              <w:spacing w:before="0" w:after="0" w:line="240" w:lineRule="auto"/>
            </w:pP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1C6A8027">
            <w:pPr>
              <w:spacing w:before="0" w:after="0" w:line="240" w:lineRule="auto"/>
            </w:pPr>
          </w:p>
        </w:tc>
      </w:tr>
      <w:tr w14:paraId="59F10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C42087E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Sequence generation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0F6DC61C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17a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183DD521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Who generated the random allocation sequence and the method used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53F0C870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p.4, Randomisation and masking</w:t>
            </w:r>
          </w:p>
        </w:tc>
      </w:tr>
      <w:tr w14:paraId="55087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49000812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Sequence generation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4A12886B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17b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08F8C9AD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Type of randomisation and details of any restriction (e.g., stratification, blocking and block size)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11591B6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p.4, Randomisation and masking. Computer-generated random sequence reported; restriction/blocking not reported.</w:t>
            </w:r>
          </w:p>
        </w:tc>
      </w:tr>
      <w:tr w14:paraId="400EE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0EB79F30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Allocation concealment mechanism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451EE33C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18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6F590E0C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Mechanism used to implement the random allocation sequence, describing any steps to conceal the sequence until interventions were assigned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2647FE19"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5"/>
              </w:rPr>
              <w:t>Reported on p.4. Allocation concealment was maintained using sequentially numbered, opaque, sealed envelopes prepared by an independent researcher.</w:t>
            </w:r>
          </w:p>
        </w:tc>
      </w:tr>
      <w:tr w14:paraId="6343B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06FE4C63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Implementation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1800EC30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19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357C1297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5FADD338">
            <w:pPr>
              <w:spacing w:before="0" w:after="0" w:line="240" w:lineRule="auto"/>
              <w:rPr>
                <w:rFonts w:ascii="Arial" w:hAnsi="Arial" w:eastAsia="Arial"/>
                <w:sz w:val="15"/>
              </w:rPr>
            </w:pPr>
            <w:r>
              <w:rPr>
                <w:rFonts w:ascii="Arial" w:hAnsi="Arial" w:eastAsia="Arial"/>
                <w:sz w:val="15"/>
              </w:rPr>
              <w:t>Reported on p.4. An independent researcher generated the computer-based random sequence and performed participant allocation after baseline assessment. The researcher was not involved in intervention delivery or outcome assessment.</w:t>
            </w:r>
            <w:r>
              <w:rPr>
                <w:rFonts w:hint="eastAsia" w:ascii="Arial" w:hAnsi="Arial" w:eastAsia="Arial"/>
                <w:sz w:val="15"/>
                <w:lang w:val="en-US" w:eastAsia="zh-CN"/>
              </w:rPr>
            </w:r>
            <w:r>
              <w:rPr>
                <w:rFonts w:ascii="Arial" w:hAnsi="Arial" w:eastAsia="Arial"/>
                <w:sz w:val="15"/>
              </w:rPr>
            </w:r>
          </w:p>
        </w:tc>
      </w:tr>
      <w:tr w14:paraId="13A09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8C54BE8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Blinding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6CDAD2CB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20a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3B4EACC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Who was blinded after assignment to interventions (e.g., participants, care providers, outcome assessors, data analysts)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52047977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p.4, Randomisation and masking. Outcome assessors were unaware of allocation; group assignments were coded before statistical analysis.</w:t>
            </w:r>
          </w:p>
        </w:tc>
      </w:tr>
      <w:tr w14:paraId="51994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4BAE8C76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Blinding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53D653CA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20b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DB301E8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If blinded, how blinding was achieved and description of the similarity of interventions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FAB86E7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p.4, Randomisation and masking. Participants and intervention providers could not be blinded; outcome assessment/statistical coding described. Similarity of interventions not applicable.</w:t>
            </w:r>
          </w:p>
        </w:tc>
      </w:tr>
      <w:tr w14:paraId="432E3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94A430F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Statistical methods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6F9BABCE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21a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0A10A63A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Statistical methods used to compare groups for primary and secondary outcomes, including harms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D49C0FF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p.5, Statistical analysis</w:t>
            </w:r>
          </w:p>
        </w:tc>
      </w:tr>
      <w:tr w14:paraId="3FB61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68E10DFB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Statistical methods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32AD4174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21b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065487A1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Definition of who is included in each analysis (e.g., all randomised participants), and in which group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66190BE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p.5, Statistical analysis. The primary analysis included participants with available post-intervention outcome data (complete-case analysis). Participants were analysed according to their assigned groups.</w:t>
            </w:r>
          </w:p>
        </w:tc>
      </w:tr>
      <w:tr w14:paraId="6487E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5F97F68A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Statistical methods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0A131EB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21c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5E5EC5EE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How missing data were handled in the analysis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65BB0685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p.5, Statistical analysis; missing post-intervention data were not imputed</w:t>
            </w:r>
          </w:p>
        </w:tc>
      </w:tr>
      <w:tr w14:paraId="430BE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28C5A054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Statistical methods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1DB9846D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21d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5A93F642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Methods for any additional analyses (e.g., subgroup and sensitivity analyses), distinguishing prespecified from post-hoc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5CFC4BF9">
            <w:pPr>
              <w:spacing w:before="0" w:after="0" w:line="240" w:lineRule="auto"/>
              <w:rPr>
                <w:rFonts w:ascii="Arial" w:hAnsi="Arial" w:eastAsia="Arial"/>
                <w:sz w:val="15"/>
              </w:rPr>
            </w:pPr>
            <w:r>
              <w:rPr>
                <w:rFonts w:ascii="Arial" w:hAnsi="Arial" w:eastAsia="Arial"/>
                <w:sz w:val="15"/>
              </w:rPr>
              <w:t>Not applicable. No prespecified or post-hoc subgroup, sensitivity or other additional analyses were performed.</w:t>
            </w:r>
          </w:p>
        </w:tc>
      </w:tr>
      <w:tr w14:paraId="0B446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07330FD6"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5"/>
              </w:rPr>
              <w:t>Results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73FAA094">
            <w:pPr>
              <w:spacing w:before="0" w:after="0" w:line="240" w:lineRule="auto"/>
            </w:pP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013BA9CB">
            <w:pPr>
              <w:spacing w:before="0" w:after="0" w:line="240" w:lineRule="auto"/>
            </w:pP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2BEAFCCC">
            <w:pPr>
              <w:spacing w:before="0" w:after="0" w:line="240" w:lineRule="auto"/>
            </w:pPr>
          </w:p>
        </w:tc>
      </w:tr>
      <w:tr w14:paraId="124EE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416EE669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Participant flow, including flow diagram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49BF1FD1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22a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482C101D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For each group, the numbers of participants who were randomly assigned, received intended intervention, and were analysed for the primary outcome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4BF843E5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Reported on p.6, Figure 1. Participant flow is presented according to CONSORT recommendations.</w:t>
            </w:r>
          </w:p>
        </w:tc>
      </w:tr>
      <w:tr w14:paraId="051BE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0FC6D3FD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Participant flow, including flow diagram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5429D86F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22b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156BA08F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For each group, losses and exclusions after randomisation, together with reasons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1673A2B7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Reported on p.6, Figure 1. Participant flow is presented according to CONSORT recommendations.</w:t>
            </w:r>
          </w:p>
        </w:tc>
      </w:tr>
      <w:tr w14:paraId="548F6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9771EFC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Recruitment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611F0BC5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23a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1F95A1F6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Dates defining the periods of recruitment and follow-up for outcomes of benefits and harms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097F9C86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p.3, Study design and participants; p.6, Participant flow. Recruitment March-December 2025; outcomes at baseline and 4 weeks.</w:t>
            </w:r>
          </w:p>
        </w:tc>
      </w:tr>
      <w:tr w14:paraId="7F7C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4BA5CE79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Recruitment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6D902029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23b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47E8B51C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If relevant, why the trial ended or was stopped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31412020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Not applicable/not reported. Trial was not described as stopped early.</w:t>
            </w:r>
          </w:p>
        </w:tc>
      </w:tr>
      <w:tr w14:paraId="1B638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0992B713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Intervention and comparator delivery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56D5F6F8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24a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2FAB21F6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Intervention and comparator as they were actually administered, including fidelity where appropriate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1C49355C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Reported on p.4. Intervention components, delivery schedule, duration, VR scenes, and supervision procedures are described.</w:t>
            </w:r>
          </w:p>
        </w:tc>
      </w:tr>
      <w:tr w14:paraId="1DBE7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8BA13E0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Intervention and comparator delivery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32AB252F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24b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61402C8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Concomitant care received during the trial for each group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6CAC580C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p.4, Intervention; CAU and health education described</w:t>
            </w:r>
          </w:p>
        </w:tc>
      </w:tr>
      <w:tr w14:paraId="1A316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10D7832E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Baseline data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8846FBD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25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6E76971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A table showing baseline demographic and clinical characteristics for each group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4AE4BBCC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pp.6-7, Table 1</w:t>
            </w:r>
          </w:p>
        </w:tc>
      </w:tr>
      <w:tr w14:paraId="5FCED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456DACFD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Numbers analysed, outcomes and estimation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68C0917A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26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0B673356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For each primary and secondary outcome, by group: numbers analysed, available data at outcome time point, result for each group, and estimated effect size and precision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538BD7B3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Reported on pp.6-8, Tables 2-3 and Figure 1. The analysed sample included VR-CALM (n=48) and CAU (n=47) participants with available post-intervention data.</w:t>
            </w:r>
          </w:p>
        </w:tc>
      </w:tr>
      <w:tr w14:paraId="1D49D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5CA8093E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Harms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65DF1651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27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4819CB3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All harms or unintended events in each group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10ED7CC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Reported on p.4. VR-related discomfort or adverse reactions were monitored after each session. No adverse events were observed in either group.</w:t>
            </w:r>
          </w:p>
        </w:tc>
      </w:tr>
      <w:tr w14:paraId="44B87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310EB7F6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Ancillary analyses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534021C3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28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0BACB07A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Any other analyses performed, including subgroup and sensitivity analyses, distinguishing prespecified from post-hoc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FFFFFF" w:themeFill="background1"/>
            <w:vAlign w:val="top"/>
          </w:tcPr>
          <w:p w14:paraId="3778DA97">
            <w:pPr>
              <w:spacing w:before="0" w:after="0" w:line="240" w:lineRule="auto"/>
              <w:rPr>
                <w:rFonts w:ascii="Arial" w:hAnsi="Arial" w:eastAsia="Arial"/>
                <w:sz w:val="15"/>
              </w:rPr>
            </w:pPr>
            <w:r>
              <w:rPr>
                <w:rFonts w:ascii="Arial" w:hAnsi="Arial" w:eastAsia="Arial"/>
                <w:sz w:val="15"/>
              </w:rPr>
              <w:t>Not applicable. No prespecified or post-hoc subgroup, sensitivity or other ancillary analyses were performed.</w:t>
            </w:r>
          </w:p>
        </w:tc>
      </w:tr>
      <w:tr w14:paraId="4161D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2C5BAB84"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5"/>
              </w:rPr>
              <w:t>Discussion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26DD04FD">
            <w:pPr>
              <w:spacing w:before="0" w:after="0" w:line="240" w:lineRule="auto"/>
            </w:pP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7036C6AC">
            <w:pPr>
              <w:spacing w:before="0" w:after="0" w:line="240" w:lineRule="auto"/>
            </w:pP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shd w:val="clear" w:color="auto" w:fill="BDD7EE"/>
            <w:vAlign w:val="top"/>
          </w:tcPr>
          <w:p w14:paraId="4DD660C4">
            <w:pPr>
              <w:spacing w:before="0" w:after="0" w:line="240" w:lineRule="auto"/>
            </w:pPr>
          </w:p>
        </w:tc>
      </w:tr>
      <w:tr w14:paraId="3C1EB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6DD7482B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Interpretation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196AD423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29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2610AB2C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Interpretation consistent with results, balancing benefits and harms, and considering other relevant evidence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5B8BAB69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pp.9-11, Discussion</w:t>
            </w:r>
          </w:p>
        </w:tc>
      </w:tr>
      <w:tr w14:paraId="212D1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3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5785286B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Limitations</w:t>
            </w:r>
          </w:p>
        </w:tc>
        <w:tc>
          <w:tcPr>
            <w:tcW w:w="60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743C41A2"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30</w:t>
            </w:r>
          </w:p>
        </w:tc>
        <w:tc>
          <w:tcPr>
            <w:tcW w:w="7198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0C735B77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Trial limitations, addressing sources of potential bias, imprecision, generalisability, and, if relevant, multiplicity of analyses</w:t>
            </w:r>
          </w:p>
        </w:tc>
        <w:tc>
          <w:tcPr>
            <w:tcW w:w="5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  <w:insideH w:val="single" w:sz="4" w:space="0"/>
              <w:insideV w:val="single" w:sz="4" w:space="0"/>
            </w:tcBorders>
            <w:vAlign w:val="top"/>
          </w:tcPr>
          <w:p w14:paraId="07CEA293">
            <w:pPr>
              <w:spacing w:before="0" w:after="0" w:line="240" w:lineRule="auto"/>
            </w:pPr>
            <w:r>
              <w:rPr>
                <w:rFonts w:ascii="Arial" w:hAnsi="Arial" w:eastAsia="Arial"/>
                <w:sz w:val="15"/>
              </w:rPr>
              <w:t>p.11, Limitations</w:t>
            </w:r>
          </w:p>
        </w:tc>
      </w:tr>
    </w:tbl>
    <w:p w14:paraId="32CCCF9F">
      <w:pPr>
        <w:spacing w:before="120"/>
      </w:pPr>
      <w:r>
        <w:rPr>
          <w:rFonts w:ascii="Arial" w:hAnsi="Arial" w:eastAsia="Arial"/>
          <w:sz w:val="15"/>
        </w:rPr>
        <w:t>Citation: Hopewell S, Chan AW, Collins GS, Hróbjartsson A, Moher D, Schulz KF, et al. CONSORT 2025 Statement: updated guideline for reporting randomised trials. BMJ. 2025;388:e081123. doi:10.1136/bmj-2024-081123.</w:t>
      </w:r>
    </w:p>
    <w:sectPr>
      <w:pgSz w:w="16834" w:h="11909" w:orient="landscape"/>
      <w:pgMar w:top="648" w:right="648" w:bottom="648" w:left="648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2320F74"/>
    <w:rsid w:val="562838B8"/>
    <w:rsid w:val="5E30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="Arial" w:cstheme="minorBidi"/>
      <w:sz w:val="16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1333</Words>
  <Characters>8652</Characters>
  <Lines>0</Lines>
  <Paragraphs>0</Paragraphs>
  <TotalTime>1</TotalTime>
  <ScaleCrop>false</ScaleCrop>
  <LinksUpToDate>false</LinksUpToDate>
  <CharactersWithSpaces>9798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美美坨</cp:lastModifiedBy>
  <dcterms:modified xsi:type="dcterms:W3CDTF">2026-07-09T13:31:03Z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eyJoZGlkIjoiYTc3YmJiNTIwMTFkMjM2YTAzZWUzYzkyNDc4OGUyYmUiLCJ1c2VySWQiOiI1OTI5ODYzNDkifQ==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67A03D853CB448769D73E6937982EC44_12</vt:lpwstr>
  </property>
</Properties>
</file>