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Additional file 1</w:t>
      </w:r>
    </w:p>
    <w:p>
      <w:pPr>
        <w:jc w:val="center"/>
      </w:pPr>
      <w:r>
        <w:rPr>
          <w:b/>
        </w:rPr>
        <w:t>Peripheral blood transcriptomic reanalysis prioritizes a neutrophil–matrix metalloproteinase axis and doxycycline in adult tuberculous meningitis</w:t>
      </w:r>
    </w:p>
    <w:p>
      <w:pPr>
        <w:jc w:val="center"/>
      </w:pPr>
      <w:r>
        <w:t>Supplementary methods and evidence-triage matrix</w:t>
      </w:r>
    </w:p>
    <w:p>
      <w:pPr>
        <w:pStyle w:val="Heading1"/>
        <w:keepNext w:val="1"/>
      </w:pPr>
      <w:r>
        <w:t>Supplementary methods</w:t>
      </w:r>
    </w:p>
    <w:p>
      <w:r>
        <w:t>Cohort and contrast hierarchy. The source cohort contained HIV-negative TBM (n = 207), PTB (n = 295), healthy controls (n = 30), and HIV-positive TBM (n = 74). The primary candidate-prioritization contrast was HIV-negative TBM versus PTB because both groups were sequenced in Run 1. The TBM-versus-healthy contrast was used only as an exploratory background signature because disease group and sequencing run were fully confounded.</w:t>
      </w:r>
    </w:p>
    <w:p>
      <w:r>
        <w:t>Expression and network analysis. Variance-stabilized expression was modeled using limma-trend. Differentially expressed genes required absolute VST-scale difference ≥1 and BH-adjusted P &lt;0.05. Ranked enrichment used the limma t statistic. STRING mapping used score ≥0.4; maximal clique centrality was the primary hub metric. Connected nodes were not treated as equivalent hubs.</w:t>
      </w:r>
    </w:p>
    <w:p>
      <w:r>
        <w:t>Cellular and external analyses. MCP-counter and quanTIseq outputs were interpreted as relative method-derived signals. The quanTIseq input was a transformed-expression proxy rather than native TPM, so this layer was supportive only. GSE83456 and GSE107991 were used to test cross-platform transportability of a broad blood program; neither is an independent TBM cohort. Specificity comparisons against sarcoidosis and latent infection were used to define the boundary of the signal.</w:t>
      </w:r>
    </w:p>
    <w:p>
      <w:r>
        <w:t>Drug and structural evidence. Direct curated drug-target records, literature-supported target-class effects, and docking poses were classified separately. Doxycycline maps directly to MMP8 in the curated drug-target table. The doxycycline–MMP9 link is a literature-supported and structurally evaluated hypothesis. Co-crystal self-redocking had to achieve top-ranked RMSD ≤2.0 Å before a receptor protocol could contribute candidate-pose evidence. The MMP9 protocol used PDB 1GKC, the NFH co-crystal ligand and AutoDock4-Zn. Candidate scores are not affinities, and zinc distances are geometric proximities rather than proof of coordination or inhibition.</w:t>
      </w:r>
    </w:p>
    <w:p>
      <w:pPr>
        <w:pStyle w:val="Heading1"/>
        <w:keepNext w:val="1"/>
      </w:pPr>
      <w:r>
        <w:t>Supplementary Table S7. Evidence-triage matrix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</w:tblPr>
      <w:tblGrid>
        <w:gridCol w:w="2960"/>
        <w:gridCol w:w="2960"/>
        <w:gridCol w:w="2960"/>
        <w:gridCol w:w="2960"/>
        <w:gridCol w:w="2960"/>
      </w:tblGrid>
      <w:tr>
        <w:trPr>
          <w:tblHeader w:val="true"/>
        </w:trPr>
        <w:tc>
          <w:tcPr>
            <w:tcW w:type="dxa" w:w="2232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b/>
                <w:sz w:val="17"/>
              </w:rPr>
              <w:t>Axis</w:t>
            </w:r>
          </w:p>
        </w:tc>
        <w:tc>
          <w:tcPr>
            <w:tcW w:type="dxa" w:w="35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b/>
                <w:sz w:val="17"/>
              </w:rPr>
              <w:t>Support in submitted data</w:t>
            </w:r>
          </w:p>
        </w:tc>
        <w:tc>
          <w:tcPr>
            <w:tcW w:type="dxa" w:w="345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b/>
                <w:sz w:val="17"/>
              </w:rPr>
              <w:t>External or literature support</w:t>
            </w:r>
          </w:p>
        </w:tc>
        <w:tc>
          <w:tcPr>
            <w:tcW w:type="dxa" w:w="345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b/>
                <w:sz w:val="17"/>
              </w:rPr>
              <w:t>Critical caveat</w:t>
            </w:r>
          </w:p>
        </w:tc>
        <w:tc>
          <w:tcPr>
            <w:tcW w:type="dxa" w:w="17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b/>
                <w:sz w:val="17"/>
              </w:rPr>
              <w:t>Decision</w:t>
            </w:r>
          </w:p>
        </w:tc>
      </w:tr>
      <w:tr>
        <w:tc>
          <w:tcPr>
            <w:tcW w:type="dxa" w:w="223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MMP9 discovery arm</w:t>
            </w:r>
          </w:p>
        </w:tc>
        <w:tc>
          <w:tcPr>
            <w:tcW w:type="dxa" w:w="35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MMP9 MCC rank 1; TBM-versus-PTB VST difference 1.3797; neutrophil axis; 1GKC/NFH redocking pass.</w:t>
            </w:r>
          </w:p>
        </w:tc>
        <w:tc>
          <w:tcPr>
            <w:tcW w:type="dxa" w:w="34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TBM/TB MMP literature and pulmonary-TB doxycycline trial support broad MMP modulation.</w:t>
            </w:r>
          </w:p>
        </w:tc>
        <w:tc>
          <w:tcPr>
            <w:tcW w:type="dxa" w:w="34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Doxycycline–MMP9 is literature- and pose-supported, not a direct database hit.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Lead discovery arm</w:t>
            </w:r>
          </w:p>
        </w:tc>
      </w:tr>
      <w:tr>
        <w:tc>
          <w:tcPr>
            <w:tcW w:type="dxa" w:w="223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MMP8 pharmacology arm</w:t>
            </w:r>
          </w:p>
        </w:tc>
        <w:tc>
          <w:tcPr>
            <w:tcW w:type="dxa" w:w="35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MMP8 MCC rank 6; direct curated doxycycline interaction.</w:t>
            </w:r>
          </w:p>
        </w:tc>
        <w:tc>
          <w:tcPr>
            <w:tcW w:type="dxa" w:w="34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MMP8 is FDR-significant in both external cohorts.</w:t>
            </w:r>
          </w:p>
        </w:tc>
        <w:tc>
          <w:tcPr>
            <w:tcW w:type="dxa" w:w="3456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The MMP8 docking protocols did not pass the top-ranked redocking gate.</w:t>
            </w:r>
          </w:p>
        </w:tc>
        <w:tc>
          <w:tcPr>
            <w:tcW w:type="dxa" w:w="172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line="240" w:lineRule="auto"/>
            </w:pPr>
            <w:r>
              <w:rPr>
                <w:sz w:val="16"/>
              </w:rPr>
              <w:t>Direct drug arm</w:t>
            </w:r>
          </w:p>
        </w:tc>
      </w:tr>
    </w:tbl>
    <w:p>
      <w:r>
        <w:t>Abbreviations: FDR, false-discovery rate; IL, interleukin; MCC, maximal clique centrality; MMP, matrix metalloproteinase; PTB, pulmonary tuberculosis; TB, tuberculosis; TBM, tuberculous meningitis; VST, variance-stabilized transformation.</w:t>
      </w:r>
    </w:p>
    <w:sectPr w:rsidR="00FC693F" w:rsidRPr="0006063C" w:rsidSect="00034616">
      <w:footerReference w:type="default" r:id="rId9"/>
      <w:pgSz w:w="16838" w:h="11906" w:orient="landscape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Calibri" w:hAnsi="Calibri" w:eastAsia="Calibri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 w:ascii="Calibri" w:hAnsi="Calibri" w:eastAsia="Calibri"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