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00"/>
      </w:pPr>
      <w:r>
        <w:rPr>
          <w:rFonts w:ascii="Times New Roman" w:cs="Times New Roman" w:eastAsia="Times New Roman" w:hAnsi="Times New Roman"/>
          <w:b/>
          <w:bCs/>
          <w:i w:val="false"/>
          <w:iCs w:val="false"/>
          <w:sz w:val="28"/>
          <w:szCs w:val="28"/>
        </w:rPr>
        <w:t xml:space="preserve">Supplementary File 1</w:t>
      </w:r>
    </w:p>
    <w:p>
      <w:pPr>
        <w:spacing w:after="200" w:before="100"/>
      </w:pPr>
      <w:r>
        <w:rPr>
          <w:rFonts w:ascii="Times New Roman" w:cs="Times New Roman" w:eastAsia="Times New Roman" w:hAnsi="Times New Roman"/>
          <w:b/>
          <w:bCs/>
          <w:i w:val="false"/>
          <w:iCs w:val="false"/>
          <w:sz w:val="26"/>
          <w:szCs w:val="26"/>
        </w:rPr>
        <w:t xml:space="preserve">Source Inventory and Analytical Notes</w:t>
      </w:r>
    </w:p>
    <w:p>
      <w:pPr>
        <w:spacing w:after="100" w:before="100"/>
      </w:pPr>
      <w:r>
        <w:rPr>
          <w:rFonts w:ascii="Times New Roman" w:cs="Times New Roman" w:eastAsia="Times New Roman" w:hAnsi="Times New Roman"/>
          <w:b w:val="false"/>
          <w:bCs w:val="false"/>
          <w:i w:val="false"/>
          <w:iCs w:val="false"/>
          <w:sz w:val="22"/>
          <w:szCs w:val="22"/>
        </w:rPr>
        <w:t xml:space="preserve">Manuscript: How a Humanitarian Form Takes Shape: Practice Sedimentation and China’s Engagement with Africa, 1950–2022</w:t>
      </w:r>
    </w:p>
    <w:p>
      <w:pPr>
        <w:spacing w:after="100" w:before="100"/>
      </w:pPr>
      <w:r>
        <w:rPr>
          <w:rFonts w:ascii="Times New Roman" w:cs="Times New Roman" w:eastAsia="Times New Roman" w:hAnsi="Times New Roman"/>
          <w:b w:val="false"/>
          <w:bCs w:val="false"/>
          <w:i w:val="false"/>
          <w:iCs w:val="false"/>
          <w:sz w:val="22"/>
          <w:szCs w:val="22"/>
        </w:rPr>
        <w:t xml:space="preserve">Submission ID: e2bd3802-1677-4433-80f3-6e2dae0d7da4</w:t>
      </w:r>
    </w:p>
    <w:p>
      <w:pPr>
        <w:spacing w:after="200" w:before="100"/>
      </w:pPr>
      <w:r>
        <w:rPr>
          <w:rFonts w:ascii="Times New Roman" w:cs="Times New Roman" w:eastAsia="Times New Roman" w:hAnsi="Times New Roman"/>
          <w:b w:val="false"/>
          <w:bCs w:val="false"/>
          <w:i/>
          <w:iCs/>
          <w:sz w:val="22"/>
          <w:szCs w:val="22"/>
        </w:rPr>
        <w:t xml:space="preserve">This file contains no author-identifying information and may be shared with referees under double-blind review.</w:t>
      </w:r>
    </w:p>
    <w:p>
      <w:pPr>
        <w:spacing w:after="140" w:before="320"/>
      </w:pPr>
      <w:r>
        <w:rPr>
          <w:rFonts w:ascii="Times New Roman" w:cs="Times New Roman" w:eastAsia="Times New Roman" w:hAnsi="Times New Roman"/>
          <w:b/>
          <w:bCs/>
          <w:i w:val="false"/>
          <w:iCs w:val="false"/>
          <w:sz w:val="26"/>
          <w:szCs w:val="26"/>
        </w:rPr>
        <w:t xml:space="preserve">1. Note on the Evidentiary Basis</w:t>
      </w:r>
    </w:p>
    <w:p>
      <w:pPr>
        <w:spacing w:after="100" w:before="100"/>
      </w:pPr>
      <w:r>
        <w:rPr>
          <w:rFonts w:ascii="Times New Roman" w:cs="Times New Roman" w:eastAsia="Times New Roman" w:hAnsi="Times New Roman"/>
          <w:b w:val="false"/>
          <w:bCs w:val="false"/>
          <w:i w:val="false"/>
          <w:iCs w:val="false"/>
          <w:sz w:val="22"/>
          <w:szCs w:val="22"/>
        </w:rPr>
        <w:t xml:space="preserve">This article is a qualitative, historical-interpretive study conducted through process-tracing in a historically extended mode. It generates no new quantitative datasets: no survey instruments, interview schedules, experimental protocols, statistical code or variable-coding schemes were produced at any stage, and no human participants were involved.</w:t>
      </w:r>
    </w:p>
    <w:p>
      <w:pPr>
        <w:spacing w:after="100" w:before="100"/>
      </w:pPr>
      <w:r>
        <w:rPr>
          <w:rFonts w:ascii="Times New Roman" w:cs="Times New Roman" w:eastAsia="Times New Roman" w:hAnsi="Times New Roman"/>
          <w:b w:val="false"/>
          <w:bCs w:val="false"/>
          <w:i w:val="false"/>
          <w:iCs w:val="false"/>
          <w:sz w:val="22"/>
          <w:szCs w:val="22"/>
        </w:rPr>
        <w:t xml:space="preserve">The evidence is a documentary corpus of publicly available materials in Chinese and English. This file provides (i) an inventory of that corpus, organised by the five evidentiary streams used in the article, with the access route and analytical role of each item (Section 2); (ii) the analytical protocol — unit of analysis, coding frame, source-criticism rules and reading procedure (Section 3); (iii) a mapping of the article’s empirical claims to their supporting sources (Section 4); and (iv) the limitations of the corpus (Section 5).</w:t>
      </w:r>
    </w:p>
    <w:p>
      <w:pPr>
        <w:spacing w:after="100" w:before="100"/>
      </w:pPr>
      <w:r>
        <w:rPr>
          <w:rFonts w:ascii="Times New Roman" w:cs="Times New Roman" w:eastAsia="Times New Roman" w:hAnsi="Times New Roman"/>
          <w:b w:val="false"/>
          <w:bCs w:val="false"/>
          <w:i/>
          <w:iCs/>
          <w:sz w:val="22"/>
          <w:szCs w:val="22"/>
        </w:rPr>
        <w:t xml:space="preserve">Full bibliographic details for every item appear in the References of the manuscript; the entries below give short titles and concentrate on access and analytical role. Translations from Chinese-language sources are the authors’ own.</w:t>
      </w:r>
    </w:p>
    <w:p>
      <w:pPr>
        <w:spacing w:after="140" w:before="320"/>
      </w:pPr>
      <w:r>
        <w:rPr>
          <w:rFonts w:ascii="Times New Roman" w:cs="Times New Roman" w:eastAsia="Times New Roman" w:hAnsi="Times New Roman"/>
          <w:b/>
          <w:bCs/>
          <w:i w:val="false"/>
          <w:iCs w:val="false"/>
          <w:sz w:val="26"/>
          <w:szCs w:val="26"/>
        </w:rPr>
        <w:t xml:space="preserve">2. Corpus Inventory</w:t>
      </w:r>
    </w:p>
    <w:p>
      <w:pPr>
        <w:spacing w:after="100" w:before="240"/>
      </w:pPr>
      <w:r>
        <w:rPr>
          <w:rFonts w:ascii="Times New Roman" w:cs="Times New Roman" w:eastAsia="Times New Roman" w:hAnsi="Times New Roman"/>
          <w:b/>
          <w:bCs/>
          <w:i w:val="false"/>
          <w:iCs w:val="false"/>
          <w:sz w:val="23"/>
          <w:szCs w:val="23"/>
        </w:rPr>
        <w:t xml:space="preserve">2.1 Stream 1 — Chinese official policy documents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60"/>
        <w:gridCol w:w="3140"/>
        <w:gridCol w:w="5300"/>
      </w:tblGrid>
      <w:tr>
        <w:trPr>
          <w:tblHeader/>
        </w:trPr>
        <w:tc>
          <w:tcPr>
            <w:tcW w:type="dxa" w:w="56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ID</w:t>
            </w:r>
          </w:p>
        </w:tc>
        <w:tc>
          <w:tcPr>
            <w:tcW w:type="dxa" w:w="314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Source (short title)</w:t>
            </w:r>
          </w:p>
        </w:tc>
        <w:tc>
          <w:tcPr>
            <w:tcW w:type="dxa" w:w="53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Access route and analytical role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P1</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China’s Foreign Aid, White Paper, SCIO, 2011</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https://english.www.gov.cn/archive/white_paper/2014/09/09/content_281474986284620.htm — read for the heading, enumerated components and governing term of its humanitarian section (Table 1), and, in section V, for the 2008 inter-ministerial liaison mechanism and its upgrade to a coordination mechanism in February 2011</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P2</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China’s Foreign Aid (2014), White Paper, SCIO</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https://english.www.gov.cn/archive/white_paper/2014/08/23/content_281474982986592.htm — same three dimensions as P1</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P3</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China’s International Development Cooperation in the New Era, White Paper, SCIO, 2021</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https://english.www.gov.cn/archive/whitepaper/202101/10/content_WS5ffa6bbbc6d0f72576943922.html — humanitarian material in Chapter V; institutional reform in Chapter II; SSCAF disbursement shares</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P4</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Administrative Measures for Foreign Aid, 2021</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https://www.gov.cn/gongbao/content/2021/content_5651734.htm (State Council Gazette). Issued jointly by CIDCA, the Ministry of Foreign Affairs and the Ministry of Commerce as Order No. 1 of 2021, effective 1 October 2021 — read for the formalisation of the post-2018 coordination structure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P5</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Keynote speech, Belt and Road Forum, 14 May 2017</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https://www.mfa.gov.cn/eng/xw/zyjh/202405/t20240530_11341175.html — source of the additional USD 1 billion commitment to the South-South Cooperation Assistance Fund</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P6</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FOCAC Dakar Action Plan (2022–2024)</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http://www.focac.org/eng/zywx_1/zywj/202201/t20220124_10632444.htm — one-billion-dose pledge at para. 4.2.4; Africa CDC headquarters commitments at paras. 4.2.1 and 4.2.6</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P7</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South-South Cooperation Assistance Fund: Projects Highlights, MOFCOM and CIDCA, 2021</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https://www.southsouth-galaxy.org/wp-content/uploads/2021/04/SACF-1.pdf — project counts, partner agencies and sectoral distribution</w:t>
            </w:r>
          </w:p>
        </w:tc>
      </w:tr>
    </w:tbl>
    <w:p>
      <w:pPr>
        <w:spacing w:after="100" w:before="240"/>
      </w:pPr>
      <w:r>
        <w:rPr>
          <w:rFonts w:ascii="Times New Roman" w:cs="Times New Roman" w:eastAsia="Times New Roman" w:hAnsi="Times New Roman"/>
          <w:b/>
          <w:bCs/>
          <w:i w:val="false"/>
          <w:iCs w:val="false"/>
          <w:sz w:val="23"/>
          <w:szCs w:val="23"/>
        </w:rPr>
        <w:t xml:space="preserve">2.2 Stream 2 — Archival material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60"/>
        <w:gridCol w:w="3140"/>
        <w:gridCol w:w="5300"/>
      </w:tblGrid>
      <w:tr>
        <w:trPr>
          <w:tblHeader/>
        </w:trPr>
        <w:tc>
          <w:tcPr>
            <w:tcW w:type="dxa" w:w="56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ID</w:t>
            </w:r>
          </w:p>
        </w:tc>
        <w:tc>
          <w:tcPr>
            <w:tcW w:type="dxa" w:w="314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Source (short title)</w:t>
            </w:r>
          </w:p>
        </w:tc>
        <w:tc>
          <w:tcPr>
            <w:tcW w:type="dxa" w:w="53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Access route and analytical role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A1</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Eighty-nine declassified files on China’s foreign humanitarian assistance decisions, 1949–1965, Archives of the Ministry of Foreign Affairs of the PRC</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Not consulted directly. The article draws on these files exclusively through their systematic analysis in the peer-reviewed study Yin (2011, 92–99), which reports that the eighty-nine files record seventy-six humanitarian dispersals to thirty-three countries between 1949 and 1965 (p. 92), and which reconstructs the decision chain (p. 94). Referees can verify every claim resting on this layer against that published article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A2</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Wilson Center Digital Archive, ‘China and Africa’ collection (translated Chinese Foreign Ministry documents)</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https://digitalarchive.wilsoncenter.org/topics/china-and-africa — open access; supplementary corroboration for the diplomatic context of the formative period</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A3</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Selected Diplomatic Works of Zhou Enlai (1990)</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Published volume; cited at pp. 388–389 for the Eight Principles of foreign aid</w:t>
            </w:r>
          </w:p>
        </w:tc>
      </w:tr>
    </w:tbl>
    <w:p>
      <w:pPr>
        <w:spacing w:after="100" w:before="240"/>
      </w:pPr>
      <w:r>
        <w:rPr>
          <w:rFonts w:ascii="Times New Roman" w:cs="Times New Roman" w:eastAsia="Times New Roman" w:hAnsi="Times New Roman"/>
          <w:b/>
          <w:bCs/>
          <w:i w:val="false"/>
          <w:iCs w:val="false"/>
          <w:sz w:val="23"/>
          <w:szCs w:val="23"/>
        </w:rPr>
        <w:t xml:space="preserve">2.3 Stream 3 — Official chronicles and deployment records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60"/>
        <w:gridCol w:w="3140"/>
        <w:gridCol w:w="5300"/>
      </w:tblGrid>
      <w:tr>
        <w:trPr>
          <w:tblHeader/>
        </w:trPr>
        <w:tc>
          <w:tcPr>
            <w:tcW w:type="dxa" w:w="56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ID</w:t>
            </w:r>
          </w:p>
        </w:tc>
        <w:tc>
          <w:tcPr>
            <w:tcW w:type="dxa" w:w="314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Source (short title)</w:t>
            </w:r>
          </w:p>
        </w:tc>
        <w:tc>
          <w:tcPr>
            <w:tcW w:type="dxa" w:w="53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Access route and analytical role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O1</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Chronicle of China’s Foreign Medical Assistance, April 1963 – December 2012, National Health Commission, 2013</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https://www.nhc.gov.cn/gjhzs/gzdt/201308/9eb2546b65524a5297f4180a8cc692b2.shtml — the principal record of provincial assignments, individual rotations and leader receptions</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O2</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The African History of Chinese Foreign Aid Medical Teams (50th anniversary record), 2013</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https://www.nhc.gov.cn/gjhzs/gzdt/201308/043fa7164ff44cb2bcf2ff330f08d266.shtml — province-to-country assignments of the 1960s</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O3</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 Li (2011), Chinese Medical Cooperation in Africa, Discussion Paper 52, Nordiska Afrikainstitutet</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https://nai.diva-portal.org/smash/get/diva2:399727/FULLTEXT02 — open access; deployment counts and destinations, 1963–1978</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O4</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 Li (2009), Chinese medical teams abroad: a history of cooperation, Foreign Affairs Review 26 (1): 25–45</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Available through CNKI and other Chinese academic databases. A distinct publication from O3, on which the article relies for material not reproduced in the English Discussion Paper</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O5</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X. Li (2012), Characteristics and problems of China’s foreign humanitarian assistance, Contemporary International Relations (2): 48–54</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Available through CNKI. Peer-reviewed article by an official of the Department of Foreign Aid, Ministry of Commerce; source for the 1984–1985 drought campaign covering thirty-one African countries, for the sequence of Chinese accession to UNICEF, WFP and UNHCR in 1979 and first WFP contribution in 1981, and for the establishment of the humanitarian emergency response mechanism in September 2004 (all at p. 49)</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O6</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Shi, L., ed. (1989), Contemporary China’s Foreign Economic Cooperation, Beijing: Zhongguo Shehui Kexue Chubanshe</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Published volume, no online edition; held in Chinese public and university libraries. The originating source, at p. 74, for the 1984–1985 drought figure, reached in this article through O5</w:t>
            </w:r>
          </w:p>
        </w:tc>
      </w:tr>
    </w:tbl>
    <w:p>
      <w:pPr>
        <w:spacing w:after="100" w:before="240"/>
      </w:pPr>
      <w:r>
        <w:rPr>
          <w:rFonts w:ascii="Times New Roman" w:cs="Times New Roman" w:eastAsia="Times New Roman" w:hAnsi="Times New Roman"/>
          <w:b/>
          <w:bCs/>
          <w:i w:val="false"/>
          <w:iCs w:val="false"/>
          <w:sz w:val="23"/>
          <w:szCs w:val="23"/>
        </w:rPr>
        <w:t xml:space="preserve">2.4 Stream 4 — Practitioner-level sources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60"/>
        <w:gridCol w:w="3140"/>
        <w:gridCol w:w="5300"/>
      </w:tblGrid>
      <w:tr>
        <w:trPr>
          <w:tblHeader/>
        </w:trPr>
        <w:tc>
          <w:tcPr>
            <w:tcW w:type="dxa" w:w="56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ID</w:t>
            </w:r>
          </w:p>
        </w:tc>
        <w:tc>
          <w:tcPr>
            <w:tcW w:type="dxa" w:w="314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Source (short title)</w:t>
            </w:r>
          </w:p>
        </w:tc>
        <w:tc>
          <w:tcPr>
            <w:tcW w:type="dxa" w:w="53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Access route and analytical role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T1</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Jiangsu Provincial Health Department, ed. (2004), Glorious Footprints</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Published commemorative volume, no online edition; held in Chinese public and university libraries. Its Zanzibar section contains first-person accounts by members of successive Jiangsu teams from the first deployment of 1964 onward, including the departure of the first team under its named team leader and the ambassadorial briefing that set its operating brief. Where the recollected team size in this volume differs from the figure in the official chronicle (O1), the article follows the chronicle. Used only for deployment facts and rotation routines, under the source-criticism rules in Section 3.3</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T2</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Tianjin Municipal Health Bureau, ed. (2007), Footprints</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Published commemorative volume, no online edition. The passage used (pp. 69–71) is reproduced and cited in Li (2009), p. 39, which is available through CNKI, so referees without access to the volume can verify it there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T3</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China News Service (2023), Sixty Years of Foreign Medical Assistance</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https://www.chinanews.com/gn/2023/04-10/9987287.shtml — open access; published testimony of a member of the first Algeria team, used for staffing and workload facts only</w:t>
            </w:r>
          </w:p>
        </w:tc>
      </w:tr>
    </w:tbl>
    <w:p>
      <w:pPr>
        <w:spacing w:after="100" w:before="240"/>
      </w:pPr>
      <w:r>
        <w:rPr>
          <w:rFonts w:ascii="Times New Roman" w:cs="Times New Roman" w:eastAsia="Times New Roman" w:hAnsi="Times New Roman"/>
          <w:b/>
          <w:bCs/>
          <w:i w:val="false"/>
          <w:iCs w:val="false"/>
          <w:sz w:val="23"/>
          <w:szCs w:val="23"/>
        </w:rPr>
        <w:t xml:space="preserve">2.5 Stream 5 — Delivery data and contemporary records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60"/>
        <w:gridCol w:w="3140"/>
        <w:gridCol w:w="5300"/>
      </w:tblGrid>
      <w:tr>
        <w:trPr>
          <w:tblHeader/>
        </w:trPr>
        <w:tc>
          <w:tcPr>
            <w:tcW w:type="dxa" w:w="56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ID</w:t>
            </w:r>
          </w:p>
        </w:tc>
        <w:tc>
          <w:tcPr>
            <w:tcW w:type="dxa" w:w="314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Source (short title)</w:t>
            </w:r>
          </w:p>
        </w:tc>
        <w:tc>
          <w:tcPr>
            <w:tcW w:type="dxa" w:w="53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Access route and analytical role</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D1</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Bridge Consulting, China COVID-19 Vaccine Tracker</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https://bridgebeijing.com/our-publications/our-publications-1/china-covid-19-vaccines-tracker/ — open access; country-level sales, donation and delivery figures compiled from publicly reported sources, updated weekly until its final published update of 27 June 2022, the figures from which are those cited in the article. Used for the African delivery distribution analysed in Section 6.1 and for the COVAX delivery figure in Section 6.3</w:t>
            </w:r>
          </w:p>
        </w:tc>
      </w:tr>
      <w:tr>
        <w:trPr>
          <w:tblHeader w:val="false"/>
        </w:trPr>
        <w:tc>
          <w:tcPr>
            <w:tcW w:type="dxa" w:w="56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D2</w:t>
            </w:r>
          </w:p>
        </w:tc>
        <w:tc>
          <w:tcPr>
            <w:tcW w:type="dxa" w:w="314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Records of the Global Humanitarian Response Hub and Depot in Guangzhou</w:t>
            </w:r>
          </w:p>
        </w:tc>
        <w:tc>
          <w:tcPr>
            <w:tcW w:type="dxa" w:w="53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Interim hub launched April 2020: https://www.wfp.org/news/wfp-launches-global-humanitarian-hub-china-support-efforts-against-covid-19. Depot inaugurated 14 July 2021: http://english.moa.gov.cn/news_522/202107/t20210715_300681.html (Ministry of Agriculture and Rural Affairs, reporting the ceremony of 14 July 2021, warehouse capacity 34,000 cubic metres and 29,658 pallet positions) — the event with which the article opens</w:t>
            </w:r>
          </w:p>
        </w:tc>
      </w:tr>
    </w:tbl>
    <w:p>
      <w:pPr>
        <w:spacing w:after="100" w:before="100"/>
      </w:pPr>
      <w:r>
        <w:rPr>
          <w:rFonts w:ascii="Times New Roman" w:cs="Times New Roman" w:eastAsia="Times New Roman" w:hAnsi="Times New Roman"/>
          <w:b w:val="false"/>
          <w:bCs w:val="false"/>
          <w:i/>
          <w:iCs/>
          <w:sz w:val="22"/>
          <w:szCs w:val="22"/>
        </w:rPr>
        <w:t xml:space="preserve">Sources used for framing or for the rival explanation examined in Section 3.4 — Strauss (2009), Kang (2009), Jiang and Wang (2000), Liu and Pan (2006), Shattuck (2020), Li (2012) — and the theoretical literature (Adler and Pouliot 2011; Pouliot 2008; Thelen 2003; Capoccia and Kelemen 2007; Mahoney 2000; Collier 2011) are not part of the empirical corpus and are listed in the References.</w:t>
      </w:r>
    </w:p>
    <w:p>
      <w:pPr>
        <w:spacing w:after="140" w:before="320"/>
      </w:pPr>
      <w:r>
        <w:rPr>
          <w:rFonts w:ascii="Times New Roman" w:cs="Times New Roman" w:eastAsia="Times New Roman" w:hAnsi="Times New Roman"/>
          <w:b/>
          <w:bCs/>
          <w:i w:val="false"/>
          <w:iCs w:val="false"/>
          <w:sz w:val="26"/>
          <w:szCs w:val="26"/>
        </w:rPr>
        <w:t xml:space="preserve">3. Analytical Protocol</w:t>
      </w:r>
    </w:p>
    <w:p>
      <w:pPr>
        <w:spacing w:after="100" w:before="240"/>
      </w:pPr>
      <w:r>
        <w:rPr>
          <w:rFonts w:ascii="Times New Roman" w:cs="Times New Roman" w:eastAsia="Times New Roman" w:hAnsi="Times New Roman"/>
          <w:b/>
          <w:bCs/>
          <w:i w:val="false"/>
          <w:iCs w:val="false"/>
          <w:sz w:val="23"/>
          <w:szCs w:val="23"/>
        </w:rPr>
        <w:t xml:space="preserve">3.1 Unit of analysis</w:t>
      </w:r>
    </w:p>
    <w:p>
      <w:pPr>
        <w:spacing w:after="100" w:before="100"/>
      </w:pPr>
      <w:r>
        <w:rPr>
          <w:rFonts w:ascii="Times New Roman" w:cs="Times New Roman" w:eastAsia="Times New Roman" w:hAnsi="Times New Roman"/>
          <w:b w:val="false"/>
          <w:bCs w:val="false"/>
          <w:i w:val="false"/>
          <w:iCs w:val="false"/>
          <w:sz w:val="22"/>
          <w:szCs w:val="22"/>
        </w:rPr>
        <w:t xml:space="preserve">The object coded is not a statement but a practice pattern: a recurrent configuration of who initiates an assistance decision, through which channel it is authorised, how relief and development components are administered, whether personnel rotate within a standing assignment, and whether the engagement terminates with the acute episode or continues. Sources are therefore read for routines, rotations and organisational arrangements rather than for declaratory commitments.</w:t>
      </w:r>
    </w:p>
    <w:p>
      <w:pPr>
        <w:spacing w:after="100" w:before="240"/>
      </w:pPr>
      <w:r>
        <w:rPr>
          <w:rFonts w:ascii="Times New Roman" w:cs="Times New Roman" w:eastAsia="Times New Roman" w:hAnsi="Times New Roman"/>
          <w:b/>
          <w:bCs/>
          <w:i w:val="false"/>
          <w:iCs w:val="false"/>
          <w:sz w:val="23"/>
          <w:szCs w:val="23"/>
        </w:rPr>
        <w:t xml:space="preserve">3.2 Coding frame: mechanisms, indicators and disconfirming evidence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750"/>
        <w:gridCol w:w="5250"/>
        <w:gridCol w:w="2000"/>
      </w:tblGrid>
      <w:tr>
        <w:trPr>
          <w:tblHeader/>
        </w:trPr>
        <w:tc>
          <w:tcPr>
            <w:tcW w:type="dxa" w:w="175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Mechanism</w:t>
            </w:r>
          </w:p>
        </w:tc>
        <w:tc>
          <w:tcPr>
            <w:tcW w:type="dxa" w:w="525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Indicators sought in the corpus</w:t>
            </w:r>
          </w:p>
        </w:tc>
        <w:tc>
          <w:tcPr>
            <w:tcW w:type="dxa" w:w="20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Evidence that would have disconfirmed</w:t>
            </w:r>
          </w:p>
        </w:tc>
      </w:tr>
      <w:tr>
        <w:trPr>
          <w:tblHeader w:val="false"/>
        </w:trPr>
        <w:tc>
          <w:tcPr>
            <w:tcW w:type="dxa" w:w="17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M-I. Bilateral path dependence (1950–1978)</w:t>
            </w:r>
          </w:p>
        </w:tc>
        <w:tc>
          <w:tcPr>
            <w:tcW w:type="dxa" w:w="52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Authorisation through the embassy / Red Cross Society → MFA → State Council chain; country-by-country delivery; province-to-country assignment with unbroken rotation; persistence across the 1971 UN accession</w:t>
            </w:r>
          </w:p>
        </w:tc>
        <w:tc>
          <w:tcPr>
            <w:tcW w:type="dxa" w:w="20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Multilateral channelling displacing bilateral delivery, or architectural revision following accession</w:t>
            </w:r>
          </w:p>
        </w:tc>
      </w:tr>
      <w:tr>
        <w:trPr>
          <w:tblHeader w:val="false"/>
        </w:trPr>
        <w:tc>
          <w:tcPr>
            <w:tcW w:type="dxa" w:w="17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M-II. Institutional coupling of relief and development (1979–1999)</w:t>
            </w:r>
          </w:p>
        </w:tc>
        <w:tc>
          <w:tcPr>
            <w:tcW w:type="dxa" w:w="52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Retention of a unified foreign aid budget line and single administrative channel under fiscal contraction; relief episodes embedded in continuing relationships; continuity of the leader-reception routine across the reform divide</w:t>
            </w:r>
          </w:p>
        </w:tc>
        <w:tc>
          <w:tcPr>
            <w:tcW w:type="dxa" w:w="20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Creation of a segregated emergency mandate with distinct personnel and accountability, on the OCHA/UNDP pattern</w:t>
            </w:r>
          </w:p>
        </w:tc>
      </w:tr>
      <w:tr>
        <w:trPr>
          <w:tblHeader w:val="false"/>
        </w:trPr>
        <w:tc>
          <w:tcPr>
            <w:tcW w:type="dxa" w:w="17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M-III. Platform convergence (2000–present)</w:t>
            </w:r>
          </w:p>
        </w:tc>
        <w:tc>
          <w:tcPr>
            <w:tcW w:type="dxa" w:w="52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New platforms (FOCAC, SSCAF, BRI, CIDCA) added alongside rather than in place of existing modes; bilateral discretion retained within multilateral instruments</w:t>
            </w:r>
          </w:p>
        </w:tc>
        <w:tc>
          <w:tcPr>
            <w:tcW w:type="dxa" w:w="20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Replacement of prior modes, or absorption of Chinese contributions into pooled multilateral programming</w:t>
            </w:r>
          </w:p>
        </w:tc>
      </w:tr>
      <w:tr>
        <w:trPr>
          <w:tblHeader w:val="false"/>
        </w:trPr>
        <w:tc>
          <w:tcPr>
            <w:tcW w:type="dxa" w:w="17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Rival explanation: recognition competition (Section 3.4)</w:t>
            </w:r>
          </w:p>
        </w:tc>
        <w:tc>
          <w:tcPr>
            <w:tcW w:type="dxa" w:w="52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Tested against three implications: whether the bilateral form concentrated where recognition was contested; whether the 1990s produced multilateralisation; whether the form weakened during the 2008–2016 truce</w:t>
            </w:r>
          </w:p>
        </w:tc>
        <w:tc>
          <w:tcPr>
            <w:tcW w:type="dxa" w:w="20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Concentration in contested relationships; multilateralisation in the 1990s; attenuation during the truce. None is observed</w:t>
            </w:r>
          </w:p>
        </w:tc>
      </w:tr>
    </w:tbl>
    <w:p>
      <w:pPr>
        <w:spacing w:after="100" w:before="100"/>
      </w:pPr>
      <w:r>
        <w:rPr>
          <w:rFonts w:ascii="Times New Roman" w:cs="Times New Roman" w:eastAsia="Times New Roman" w:hAnsi="Times New Roman"/>
          <w:b w:val="false"/>
          <w:bCs w:val="false"/>
          <w:i w:val="false"/>
          <w:iCs w:val="false"/>
          <w:sz w:val="22"/>
          <w:szCs w:val="22"/>
        </w:rPr>
        <w:t xml:space="preserve">Layering, conversion and the genesis/reproduction distinction are applied in the senses specified by Thelen (2003, 209, 225–226): the corpus was read for institutional additions leaving prior arrangements intact (layering) and for retained forms whose purposes are redirected (conversion).</w:t>
      </w:r>
    </w:p>
    <w:p>
      <w:pPr>
        <w:spacing w:after="100" w:before="240"/>
      </w:pPr>
      <w:r>
        <w:rPr>
          <w:rFonts w:ascii="Times New Roman" w:cs="Times New Roman" w:eastAsia="Times New Roman" w:hAnsi="Times New Roman"/>
          <w:b/>
          <w:bCs/>
          <w:i w:val="false"/>
          <w:iCs w:val="false"/>
          <w:sz w:val="23"/>
          <w:szCs w:val="23"/>
        </w:rPr>
        <w:t xml:space="preserve">3.3 Source-criticism rules for practitioner and commemorative material</w:t>
      </w:r>
    </w:p>
    <w:p>
      <w:pPr>
        <w:spacing w:after="100" w:before="100"/>
      </w:pPr>
      <w:r>
        <w:rPr>
          <w:rFonts w:ascii="Times New Roman" w:cs="Times New Roman" w:eastAsia="Times New Roman" w:hAnsi="Times New Roman"/>
          <w:b w:val="false"/>
          <w:bCs w:val="false"/>
          <w:i w:val="false"/>
          <w:iCs w:val="false"/>
          <w:sz w:val="22"/>
          <w:szCs w:val="22"/>
        </w:rPr>
        <w:t xml:space="preserve">Commemorative volumes, official chronicles and press testimony carry an evaluative framing that cannot be taken at face value. Three rules were applied. First, such sources are used only as evidence of practice patterns — who was deployed where, for how long, under what rotation and coordination routine — and never as evidence of how the practice was received or should be judged. Second, evaluative language is excluded from the evidentiary base; only reported facts of deployment, dates, personnel numbers and institutional routines are coded. Third, where a claim rests on a single commemorative source it is either corroborated against the official chronicle (O1) or marked in the text as testimony rather than record.</w:t>
      </w:r>
    </w:p>
    <w:p>
      <w:pPr>
        <w:spacing w:after="100" w:before="240"/>
      </w:pPr>
      <w:r>
        <w:rPr>
          <w:rFonts w:ascii="Times New Roman" w:cs="Times New Roman" w:eastAsia="Times New Roman" w:hAnsi="Times New Roman"/>
          <w:b/>
          <w:bCs/>
          <w:i w:val="false"/>
          <w:iCs w:val="false"/>
          <w:sz w:val="23"/>
          <w:szCs w:val="23"/>
        </w:rPr>
        <w:t xml:space="preserve">3.4 Reading protocol for the three White Papers</w:t>
      </w:r>
    </w:p>
    <w:p>
      <w:pPr>
        <w:spacing w:after="100" w:before="100"/>
      </w:pPr>
      <w:r>
        <w:rPr>
          <w:rFonts w:ascii="Times New Roman" w:cs="Times New Roman" w:eastAsia="Times New Roman" w:hAnsi="Times New Roman"/>
          <w:b w:val="false"/>
          <w:bCs w:val="false"/>
          <w:i w:val="false"/>
          <w:iCs w:val="false"/>
          <w:sz w:val="22"/>
          <w:szCs w:val="22"/>
        </w:rPr>
        <w:t xml:space="preserve">The humanitarian section of each White Paper was compared across three dimensions, yielding Table 1 of the manuscript: (i) thematic — the section heading; (ii) categorial — the number and content of the enumerated components; (iii) nominal — the governing term under which assistance is classified. Comparison was conducted on the Chinese-language versions, with the English versions used for official terminology.</w:t>
      </w:r>
    </w:p>
    <w:p>
      <w:pPr>
        <w:spacing w:after="100" w:before="240"/>
      </w:pPr>
      <w:r>
        <w:rPr>
          <w:rFonts w:ascii="Times New Roman" w:cs="Times New Roman" w:eastAsia="Times New Roman" w:hAnsi="Times New Roman"/>
          <w:b/>
          <w:bCs/>
          <w:i w:val="false"/>
          <w:iCs w:val="false"/>
          <w:sz w:val="23"/>
          <w:szCs w:val="23"/>
        </w:rPr>
        <w:t xml:space="preserve">3.5 Inferential standard</w:t>
      </w:r>
    </w:p>
    <w:p>
      <w:pPr>
        <w:spacing w:after="100" w:before="100"/>
      </w:pPr>
      <w:r>
        <w:rPr>
          <w:rFonts w:ascii="Times New Roman" w:cs="Times New Roman" w:eastAsia="Times New Roman" w:hAnsi="Times New Roman"/>
          <w:b w:val="false"/>
          <w:bCs w:val="false"/>
          <w:i w:val="false"/>
          <w:iCs w:val="false"/>
          <w:sz w:val="22"/>
          <w:szCs w:val="22"/>
        </w:rPr>
        <w:t xml:space="preserve">Each mechanism claim is tied to observable implications in the corpus and, where possible, to a negative case — an occasion on which the mechanism could have been disrupted but was not: the 1971 UN accession for M-I, the post-1978 fiscal contraction for M-II, the sequence of coordination-layer reforms culminating in the 2018 CIDCA reorganisation for M-III. Section 3.4 states the leading rival explanation at full strength and tests it against three independent implications. Section 6 functions as an out-of-sample test in which all three mechanisms should be simultaneously observable if the framework holds.</w:t>
      </w:r>
    </w:p>
    <w:p>
      <w:pPr>
        <w:spacing w:after="140" w:before="320"/>
      </w:pPr>
      <w:r>
        <w:rPr>
          <w:rFonts w:ascii="Times New Roman" w:cs="Times New Roman" w:eastAsia="Times New Roman" w:hAnsi="Times New Roman"/>
          <w:b/>
          <w:bCs/>
          <w:i w:val="false"/>
          <w:iCs w:val="false"/>
          <w:sz w:val="26"/>
          <w:szCs w:val="26"/>
        </w:rPr>
        <w:t xml:space="preserve">4. Mapping of Empirical Claims to Sources</w:t>
      </w:r>
    </w:p>
    <w:p>
      <w:pPr>
        <w:spacing w:after="100" w:before="100"/>
      </w:pPr>
      <w:r>
        <w:rPr>
          <w:rFonts w:ascii="Times New Roman" w:cs="Times New Roman" w:eastAsia="Times New Roman" w:hAnsi="Times New Roman"/>
          <w:b w:val="false"/>
          <w:bCs w:val="false"/>
          <w:i/>
          <w:iCs/>
          <w:sz w:val="22"/>
          <w:szCs w:val="22"/>
        </w:rPr>
        <w:t xml:space="preserve">The table below maps each substantive empirical claim to the source that supports it and states the coding decision it underwrites. Claims resting on the theoretical literature, and claims of interpretation rather than fact, are not listed.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150"/>
        <w:gridCol w:w="3350"/>
        <w:gridCol w:w="2100"/>
        <w:gridCol w:w="2400"/>
      </w:tblGrid>
      <w:tr>
        <w:trPr>
          <w:tblHeader/>
        </w:trPr>
        <w:tc>
          <w:tcPr>
            <w:tcW w:type="dxa" w:w="115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Section</w:t>
            </w:r>
          </w:p>
        </w:tc>
        <w:tc>
          <w:tcPr>
            <w:tcW w:type="dxa" w:w="335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Claim</w:t>
            </w:r>
          </w:p>
        </w:tc>
        <w:tc>
          <w:tcPr>
            <w:tcW w:type="dxa" w:w="21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Source</w:t>
            </w:r>
          </w:p>
        </w:tc>
        <w:tc>
          <w:tcPr>
            <w:tcW w:type="dxa" w:w="2400"/>
            <w:shd w:fill="E8E8E8" w:val="clear"/>
            <w:tcMar>
              <w:top w:type="dxa" w:w="50"/>
              <w:left w:type="dxa" w:w="70"/>
              <w:bottom w:type="dxa" w:w="50"/>
              <w:right w:type="dxa" w:w="70"/>
            </w:tcMar>
          </w:tcPr>
          <w:p>
            <w:pPr>
              <w:spacing w:after="20" w:before="20"/>
            </w:pPr>
            <w:r>
              <w:rPr>
                <w:rFonts w:ascii="Times New Roman" w:cs="Times New Roman" w:eastAsia="Times New Roman" w:hAnsi="Times New Roman"/>
                <w:b/>
                <w:bCs/>
                <w:sz w:val="18"/>
                <w:szCs w:val="18"/>
              </w:rPr>
              <w:t xml:space="preserve">Coding decision</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1961 Somali flood relief fund of 150,000 yuan with an equivalent value of domestically produced medicines, months after the establishment of diplomatic relations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Yin (2011, 94)</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M-I generation: a direct bilateral transaction coupling cash with domestically sourced goods</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First medical team to Algeria, January 1963; China the first non-Arab state to dispatch one</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 Li (2011); O1</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M-I generation: initiation of a continuing rather than one-off engagement</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Staffing and workload of the first Algeria team at Saïda: twenty-four members, 280-bed facility, simultaneous inpatient, outpatient and mobile-clinic duties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T3</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Relief-development integration in pre-doctrinal form; deployment facts only, per rule 3.3</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Zhou Enlai and Chen Yi receive the Hubei team at Oran, December 1963</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O1; Zhou (1990, 388–389)</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Physical intersection of the discursive and practice architectures</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3.2</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Thirty teams 1963–1977, twenty-five to Africa; forty dispersals in the archival record, fourteen to African and Latin American recipients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 Li (2011); Yin (2011, 92–93)</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Diffusion within M-I; assistance routinised rather than episodic</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3.2</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Province-to-country assignments, 1964–1968; first Jiangsu team to Zanzibar under a named team leader, departing August 1964, relieved 1967</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O2; O1; T1</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Documentary basis for the provincial assignment system and for the continuity claim in Section 6.1</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3.2</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Relational standing of physicians relative to diplomats across successive rotations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T2, cited in A. Li (2009, 39)</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Accumulated relational capital</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3.2</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Decision chain: embassies or Red Cross Society → MFA → two consultative tracks → authorisation in Beijing</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Yin (2011, 94)</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Empirical content of Figure 1, which is the authors’ own schematic and reproduces no material from the source</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3.3</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No contribution to a UN humanitarian agency until 1979; eight further African deployments 1971–1978</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 Li (2011); O5 (p. 49)</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Negative case for M-I: the critical juncture did not redirect the path</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3.4</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Derecognition wave of the 1970s; renewed contest after 1989; shelving of African proposals for a multilateral mechanism; the 2008–2016 truce</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Kang (2009); Jiang and Wang (2000); Liu and Pan (2006); A. Li (2012); Shattuck (2020)</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Test implications of the rival explanation, not support for the main argument</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4.1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Foreign aid falling from a peak of 7.2 per cent of fiscal expenditure in 1973 to around 0.6 per cent by 1980–1981</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O5 (p. 49)</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Magnitude of the fiscal shock that M-II survived</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4.1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Leader-reception routine across the reform divide, 1979 and 1983</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O1</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Architectural continuity at the moment of maximum domestic reorientation</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4.2</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Food assistance to thirty-one African countries during the 1984–1985 drought; accession to UNICEF, WFP and UNHCR in 1979 and first WFP contribution in 1981</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O5 (p. 49), citing O6 (p. 74)</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Coupled-mode operation at scale; bilateral and multilateral tracks expanding in parallel within one administrative architecture</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5.2–5.4</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SSCAF commitments and additional funding; project counts and partner agencies; sectoral distribution of disbursements to end-2019</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P5; P7; P3 (Chapter V)</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Categories straddling the relief-development divide within a single instrument — the coupled mode persisting under M-III</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5.3</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Sequence of coordination-layer reforms: humanitarian emergency response mechanism 2004; inter-ministerial liaison mechanism 2008, upgraded to coordination mechanism February 2011; CIDCA 2018 with coordinating authority and implementation retained across five agencies; formalised by the 2021 Measures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O5 (p. 49); P1 (section V, on aid management, which records the 2008 liaison mechanism and its February 2011 upgrade); P3 (Chapter II); P4</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Four successive additions at the coordination layer, none of which restructured the delivery architecture beneath — the core evidence for conversion above and layering below</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5.4</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Section headings, enumerated components and governing term across the three White Papers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P1; P2; P3</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Discursive trace of institutional layering; Table 1 is the authors’ own comparative tabulation</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6.1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African delivery distribution by country, volume and donation share, as of 27 June 2022: 125 million doses delivered to forty-seven countries, of which 31 million donations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D1</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Forty-seven separate country-level arrangements rather than a continental allocation — M-I in operation</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6.1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FOCAC pledge of one billion doses (600 million donation, 400 million joint production) against cumulative deliveries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P6, para. 4.2.4</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The binding constraint was the pace of bilateral conclusion, not the size of the multilateral commitment</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6.1</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Province-to-country pairings still operative during the vaccine programme</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O1; O2</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The continuity claim on which the path-dependence argument turns, verifiable against the 1960s record above</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6.2</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Bundling of vaccine delivery with the Africa CDC headquarters and health-system cooperation</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P6, paras. 4.2.1 and 4.2.6</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M-II in operation: no segregation between emergency and development mandates</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6.3</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Inauguration of the Global Humanitarian Response Depot in Guangzhou</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D2</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Institutionalisation of an existing practice architecture rather than innovation</w:t>
            </w:r>
          </w:p>
        </w:tc>
      </w:tr>
      <w:tr>
        <w:trPr>
          <w:tblHeader w:val="false"/>
        </w:trPr>
        <w:tc>
          <w:tcPr>
            <w:tcW w:type="dxa" w:w="11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6.3</w:t>
            </w:r>
          </w:p>
        </w:tc>
        <w:tc>
          <w:tcPr>
            <w:tcW w:type="dxa" w:w="335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SSCAF support to WHO and UNICEF COVID operations; parallel bilateral and multilateral tracks</w:t>
            </w:r>
          </w:p>
        </w:tc>
        <w:tc>
          <w:tcPr>
            <w:tcW w:type="dxa" w:w="21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P7; D1</w:t>
            </w:r>
          </w:p>
        </w:tc>
        <w:tc>
          <w:tcPr>
            <w:tcW w:type="dxa" w:w="2400"/>
            <w:tcMar>
              <w:top w:type="dxa" w:w="50"/>
              <w:left w:type="dxa" w:w="70"/>
              <w:bottom w:type="dxa" w:w="50"/>
              <w:right w:type="dxa" w:w="70"/>
            </w:tcMar>
          </w:tcPr>
          <w:p>
            <w:pPr>
              <w:spacing w:after="20" w:before="20"/>
            </w:pPr>
            <w:r>
              <w:rPr>
                <w:rFonts w:ascii="Times New Roman" w:cs="Times New Roman" w:eastAsia="Times New Roman" w:hAnsi="Times New Roman"/>
                <w:b w:val="false"/>
                <w:bCs w:val="false"/>
                <w:sz w:val="18"/>
                <w:szCs w:val="18"/>
              </w:rPr>
              <w:t xml:space="preserve">M-III in operation; dual-track pattern matched against the 1984–1985 precedent</w:t>
            </w:r>
          </w:p>
        </w:tc>
      </w:tr>
    </w:tbl>
    <w:p>
      <w:pPr>
        <w:spacing w:after="140" w:before="320"/>
      </w:pPr>
      <w:r>
        <w:rPr>
          <w:rFonts w:ascii="Times New Roman" w:cs="Times New Roman" w:eastAsia="Times New Roman" w:hAnsi="Times New Roman"/>
          <w:b/>
          <w:bCs/>
          <w:i w:val="false"/>
          <w:iCs w:val="false"/>
          <w:sz w:val="26"/>
          <w:szCs w:val="26"/>
        </w:rPr>
        <w:t xml:space="preserve">5. Limitations of the Corpus</w:t>
      </w:r>
    </w:p>
    <w:p>
      <w:pPr>
        <w:spacing w:after="100" w:before="100"/>
      </w:pPr>
      <w:r>
        <w:rPr>
          <w:rFonts w:ascii="Times New Roman" w:cs="Times New Roman" w:eastAsia="Times New Roman" w:hAnsi="Times New Roman"/>
          <w:b w:val="false"/>
          <w:bCs w:val="false"/>
          <w:i w:val="false"/>
          <w:iCs w:val="false"/>
          <w:sz w:val="22"/>
          <w:szCs w:val="22"/>
        </w:rPr>
        <w:t xml:space="preserve">First, the corpus is dominated by Chinese sources. African recipient-side documentation on humanitarian delivery is comparatively sparse, and the practice architecture is therefore reconstructed largely from the delivering side. This constrains claims about how the practices were experienced or evaluated by recipients — a question addressed in a separate study.</w:t>
      </w:r>
    </w:p>
    <w:p>
      <w:pPr>
        <w:spacing w:after="100" w:before="100"/>
      </w:pPr>
      <w:r>
        <w:rPr>
          <w:rFonts w:ascii="Times New Roman" w:cs="Times New Roman" w:eastAsia="Times New Roman" w:hAnsi="Times New Roman"/>
          <w:b w:val="false"/>
          <w:bCs w:val="false"/>
          <w:i w:val="false"/>
          <w:iCs w:val="false"/>
          <w:sz w:val="22"/>
          <w:szCs w:val="22"/>
        </w:rPr>
        <w:t xml:space="preserve">Second, the archival layer is accessed through published scholarship rather than through direct consultation of the original files. Readers requiring the underlying files must approach the holding institution under its own access rules.</w:t>
      </w:r>
    </w:p>
    <w:p>
      <w:pPr>
        <w:spacing w:after="100" w:before="100"/>
      </w:pPr>
      <w:r>
        <w:rPr>
          <w:rFonts w:ascii="Times New Roman" w:cs="Times New Roman" w:eastAsia="Times New Roman" w:hAnsi="Times New Roman"/>
          <w:b w:val="false"/>
          <w:bCs w:val="false"/>
          <w:i w:val="false"/>
          <w:iCs w:val="false"/>
          <w:sz w:val="22"/>
          <w:szCs w:val="22"/>
        </w:rPr>
        <w:t xml:space="preserve">Third, the practitioner stream consists of officially sanctioned commemorative and press material. The rules in Section 3.3 confine its use to deployment facts and organisational routines; no evaluative claim in the article rests on it.</w:t>
      </w:r>
    </w:p>
    <w:p>
      <w:pPr>
        <w:spacing w:after="100" w:before="100"/>
      </w:pPr>
      <w:r>
        <w:rPr>
          <w:rFonts w:ascii="Times New Roman" w:cs="Times New Roman" w:eastAsia="Times New Roman" w:hAnsi="Times New Roman"/>
          <w:b w:val="false"/>
          <w:bCs w:val="false"/>
          <w:i w:val="false"/>
          <w:iCs w:val="false"/>
          <w:sz w:val="22"/>
          <w:szCs w:val="22"/>
        </w:rPr>
        <w:t xml:space="preserve">Fourth, two commemorative volumes are print publications without online editions. Where possible the passages used are cross-referenced to sources referees can consult online.</w:t>
      </w:r>
    </w:p>
    <w:p>
      <w:pPr>
        <w:spacing w:after="100" w:before="100"/>
      </w:pPr>
      <w:r>
        <w:rPr>
          <w:rFonts w:ascii="Times New Roman" w:cs="Times New Roman" w:eastAsia="Times New Roman" w:hAnsi="Times New Roman"/>
          <w:b w:val="false"/>
          <w:bCs w:val="false"/>
          <w:i w:val="false"/>
          <w:iCs w:val="false"/>
          <w:sz w:val="22"/>
          <w:szCs w:val="22"/>
        </w:rPr>
        <w:t xml:space="preserve">Fifth, official policy documents are treated as discursive objects recording official self-understanding, not as neutral descriptions of practice. Where documentary and operational evidence diverge, the divergence is treated as analytically informative rather than resolved in favour of the documentary record.</w:t>
      </w:r>
    </w:p>
    <w:p>
      <w:pPr>
        <w:spacing w:after="140" w:before="320"/>
      </w:pPr>
      <w:r>
        <w:rPr>
          <w:rFonts w:ascii="Times New Roman" w:cs="Times New Roman" w:eastAsia="Times New Roman" w:hAnsi="Times New Roman"/>
          <w:b/>
          <w:bCs/>
          <w:i w:val="false"/>
          <w:iCs w:val="false"/>
          <w:sz w:val="26"/>
          <w:szCs w:val="26"/>
        </w:rPr>
        <w:t xml:space="preserve">6. Statement</w:t>
      </w:r>
    </w:p>
    <w:p>
      <w:pPr>
        <w:spacing w:after="100" w:before="100"/>
      </w:pPr>
      <w:r>
        <w:rPr>
          <w:rFonts w:ascii="Times New Roman" w:cs="Times New Roman" w:eastAsia="Times New Roman" w:hAnsi="Times New Roman"/>
          <w:b w:val="false"/>
          <w:bCs w:val="false"/>
          <w:i w:val="false"/>
          <w:iCs w:val="false"/>
          <w:sz w:val="22"/>
          <w:szCs w:val="22"/>
        </w:rPr>
        <w:t xml:space="preserve">No new data were generated in the course of this research. All materials listed above are publicly available at the access routes given, or are published books held in public and university libraries; none is held privately by the authors, and no restrictions apply to their availability. No human participants were involved, and no ethical approval or informed consent was required.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2026-08-01T01:55:42.906Z</dcterms:created>
  <dcterms:modified xsi:type="dcterms:W3CDTF">2026-08-01T01:55:42.923Z</dcterms:modified>
</cp:coreProperties>
</file>

<file path=docProps/custom.xml><?xml version="1.0" encoding="utf-8"?>
<Properties xmlns="http://schemas.openxmlformats.org/officeDocument/2006/custom-properties" xmlns:vt="http://schemas.openxmlformats.org/officeDocument/2006/docPropsVTypes"/>
</file>