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053074" w14:textId="77777777" w:rsidR="0092384B" w:rsidRDefault="0092384B" w:rsidP="0092384B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Supplementary Materials</w:t>
      </w:r>
    </w:p>
    <w:p w14:paraId="04208DF0" w14:textId="77777777" w:rsidR="0092384B" w:rsidRDefault="0092384B" w:rsidP="0092384B">
      <w:pPr>
        <w:spacing w:line="360" w:lineRule="auto"/>
        <w:rPr>
          <w:rFonts w:ascii="Times New Roman" w:hAnsi="Times New Roman" w:cs="Times New Roman"/>
          <w:sz w:val="24"/>
        </w:rPr>
      </w:pPr>
    </w:p>
    <w:p w14:paraId="6FF1ED37" w14:textId="77777777" w:rsidR="0092384B" w:rsidRDefault="0092384B" w:rsidP="0092384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Table S1. Explanation of chart allocation.</w:t>
      </w:r>
    </w:p>
    <w:p w14:paraId="2F2641F1" w14:textId="77777777" w:rsidR="0092384B" w:rsidRDefault="0092384B" w:rsidP="0092384B">
      <w:pPr>
        <w:spacing w:line="360" w:lineRule="auto"/>
        <w:rPr>
          <w:rFonts w:ascii="Times New Roman" w:hAnsi="Times New Roman" w:cs="Times New Roman"/>
          <w:sz w:val="24"/>
        </w:rPr>
      </w:pPr>
    </w:p>
    <w:tbl>
      <w:tblPr>
        <w:tblW w:w="8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00"/>
        <w:gridCol w:w="5600"/>
        <w:gridCol w:w="1800"/>
      </w:tblGrid>
      <w:tr w:rsidR="0092384B" w14:paraId="5B9D0C0F" w14:textId="77777777" w:rsidTr="00524F99">
        <w:tc>
          <w:tcPr>
            <w:tcW w:w="1200" w:type="dxa"/>
            <w:shd w:val="clear" w:color="auto" w:fill="D9D9D9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9BC8C72" w14:textId="77777777" w:rsidR="0092384B" w:rsidRDefault="0092384B" w:rsidP="00524F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No.</w:t>
            </w:r>
          </w:p>
        </w:tc>
        <w:tc>
          <w:tcPr>
            <w:tcW w:w="5600" w:type="dxa"/>
            <w:shd w:val="clear" w:color="auto" w:fill="D9D9D9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164DFB6" w14:textId="77777777" w:rsidR="0092384B" w:rsidRDefault="0092384B" w:rsidP="00524F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Content</w:t>
            </w:r>
          </w:p>
        </w:tc>
        <w:tc>
          <w:tcPr>
            <w:tcW w:w="1800" w:type="dxa"/>
            <w:shd w:val="clear" w:color="auto" w:fill="D9D9D9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5E70AFB" w14:textId="77777777" w:rsidR="0092384B" w:rsidRDefault="0092384B" w:rsidP="00524F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Location</w:t>
            </w:r>
          </w:p>
        </w:tc>
      </w:tr>
      <w:tr w:rsidR="0092384B" w14:paraId="4B1AE7D4" w14:textId="77777777" w:rsidTr="00524F99">
        <w:tc>
          <w:tcPr>
            <w:tcW w:w="1200" w:type="dxa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2E48EBA" w14:textId="77777777" w:rsidR="0092384B" w:rsidRDefault="0092384B" w:rsidP="00524F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Figure 1</w:t>
            </w:r>
          </w:p>
        </w:tc>
        <w:tc>
          <w:tcPr>
            <w:tcW w:w="5600" w:type="dxa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5444DB1" w14:textId="77777777" w:rsidR="0092384B" w:rsidRDefault="0092384B" w:rsidP="00524F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Study framework concept diagram</w:t>
            </w:r>
          </w:p>
        </w:tc>
        <w:tc>
          <w:tcPr>
            <w:tcW w:w="1800" w:type="dxa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86523CB" w14:textId="77777777" w:rsidR="0092384B" w:rsidRDefault="0092384B" w:rsidP="00524F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Main text</w:t>
            </w:r>
          </w:p>
        </w:tc>
      </w:tr>
      <w:tr w:rsidR="0092384B" w14:paraId="0EB3D5F3" w14:textId="77777777" w:rsidTr="00524F99">
        <w:tc>
          <w:tcPr>
            <w:tcW w:w="1200" w:type="dxa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23C9BFC" w14:textId="77777777" w:rsidR="0092384B" w:rsidRDefault="0092384B" w:rsidP="00524F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Figure 2</w:t>
            </w:r>
          </w:p>
        </w:tc>
        <w:tc>
          <w:tcPr>
            <w:tcW w:w="5600" w:type="dxa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A3908EF" w14:textId="77777777" w:rsidR="0092384B" w:rsidRDefault="0092384B" w:rsidP="00524F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Band-specific ITPC boxplots</w:t>
            </w:r>
          </w:p>
        </w:tc>
        <w:tc>
          <w:tcPr>
            <w:tcW w:w="1800" w:type="dxa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918925E" w14:textId="77777777" w:rsidR="0092384B" w:rsidRDefault="0092384B" w:rsidP="00524F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Main text</w:t>
            </w:r>
          </w:p>
        </w:tc>
      </w:tr>
      <w:tr w:rsidR="0092384B" w14:paraId="0CC388C4" w14:textId="77777777" w:rsidTr="00524F99">
        <w:tc>
          <w:tcPr>
            <w:tcW w:w="1200" w:type="dxa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4238ECA" w14:textId="77777777" w:rsidR="0092384B" w:rsidRDefault="0092384B" w:rsidP="00524F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Figure 3</w:t>
            </w:r>
          </w:p>
        </w:tc>
        <w:tc>
          <w:tcPr>
            <w:tcW w:w="5600" w:type="dxa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329A81D" w14:textId="77777777" w:rsidR="0092384B" w:rsidRDefault="0092384B" w:rsidP="00524F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Deep learning classification performance</w:t>
            </w:r>
          </w:p>
        </w:tc>
        <w:tc>
          <w:tcPr>
            <w:tcW w:w="1800" w:type="dxa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0231402" w14:textId="77777777" w:rsidR="0092384B" w:rsidRDefault="0092384B" w:rsidP="00524F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Main text</w:t>
            </w:r>
          </w:p>
        </w:tc>
      </w:tr>
      <w:tr w:rsidR="0092384B" w14:paraId="45622E3C" w14:textId="77777777" w:rsidTr="00524F99">
        <w:tc>
          <w:tcPr>
            <w:tcW w:w="1200" w:type="dxa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462914F" w14:textId="77777777" w:rsidR="0092384B" w:rsidRDefault="0092384B" w:rsidP="00524F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Figure 4</w:t>
            </w:r>
          </w:p>
        </w:tc>
        <w:tc>
          <w:tcPr>
            <w:tcW w:w="5600" w:type="dxa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46D4FD4" w14:textId="77777777" w:rsidR="0092384B" w:rsidRDefault="0092384B" w:rsidP="00524F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Ablation study + Grad-CAM attribution (key figure)</w:t>
            </w:r>
          </w:p>
        </w:tc>
        <w:tc>
          <w:tcPr>
            <w:tcW w:w="1800" w:type="dxa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09C4079" w14:textId="77777777" w:rsidR="0092384B" w:rsidRDefault="0092384B" w:rsidP="00524F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Main text</w:t>
            </w:r>
          </w:p>
        </w:tc>
      </w:tr>
      <w:tr w:rsidR="0092384B" w14:paraId="1B5DEE89" w14:textId="77777777" w:rsidTr="00524F99">
        <w:tc>
          <w:tcPr>
            <w:tcW w:w="1200" w:type="dxa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2948A30" w14:textId="77777777" w:rsidR="0092384B" w:rsidRDefault="0092384B" w:rsidP="00524F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Figure 5</w:t>
            </w:r>
          </w:p>
        </w:tc>
        <w:tc>
          <w:tcPr>
            <w:tcW w:w="5600" w:type="dxa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7863DD5" w14:textId="77777777" w:rsidR="0092384B" w:rsidRDefault="0092384B" w:rsidP="00524F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Transformer attention weight analysis</w:t>
            </w:r>
          </w:p>
        </w:tc>
        <w:tc>
          <w:tcPr>
            <w:tcW w:w="1800" w:type="dxa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3FF11E2" w14:textId="77777777" w:rsidR="0092384B" w:rsidRDefault="0092384B" w:rsidP="00524F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Main text</w:t>
            </w:r>
          </w:p>
        </w:tc>
      </w:tr>
      <w:tr w:rsidR="0092384B" w14:paraId="4176EDA1" w14:textId="77777777" w:rsidTr="00524F99">
        <w:tc>
          <w:tcPr>
            <w:tcW w:w="1200" w:type="dxa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D94B2BE" w14:textId="77777777" w:rsidR="0092384B" w:rsidRDefault="0092384B" w:rsidP="00524F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Table 1</w:t>
            </w:r>
          </w:p>
        </w:tc>
        <w:tc>
          <w:tcPr>
            <w:tcW w:w="5600" w:type="dxa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C9A0CF9" w14:textId="77777777" w:rsidR="0092384B" w:rsidRDefault="0092384B" w:rsidP="00524F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ERP between-group statistics</w:t>
            </w:r>
          </w:p>
        </w:tc>
        <w:tc>
          <w:tcPr>
            <w:tcW w:w="1800" w:type="dxa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CF0804D" w14:textId="77777777" w:rsidR="0092384B" w:rsidRDefault="0092384B" w:rsidP="00524F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Main text</w:t>
            </w:r>
          </w:p>
        </w:tc>
      </w:tr>
      <w:tr w:rsidR="0092384B" w14:paraId="2E5B30ED" w14:textId="77777777" w:rsidTr="00524F99">
        <w:tc>
          <w:tcPr>
            <w:tcW w:w="1200" w:type="dxa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A87034C" w14:textId="77777777" w:rsidR="0092384B" w:rsidRDefault="0092384B" w:rsidP="00524F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Figure S1</w:t>
            </w:r>
          </w:p>
        </w:tc>
        <w:tc>
          <w:tcPr>
            <w:tcW w:w="5600" w:type="dxa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8962ADC" w14:textId="77777777" w:rsidR="0092384B" w:rsidRDefault="0092384B" w:rsidP="00524F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ERP grand average waveforms (8 components)</w:t>
            </w:r>
          </w:p>
        </w:tc>
        <w:tc>
          <w:tcPr>
            <w:tcW w:w="1800" w:type="dxa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3F7393A" w14:textId="77777777" w:rsidR="0092384B" w:rsidRDefault="0092384B" w:rsidP="00524F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Supplementary</w:t>
            </w:r>
          </w:p>
        </w:tc>
      </w:tr>
      <w:tr w:rsidR="0092384B" w14:paraId="4B84D8FE" w14:textId="77777777" w:rsidTr="00524F99">
        <w:tc>
          <w:tcPr>
            <w:tcW w:w="1200" w:type="dxa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B70B92E" w14:textId="77777777" w:rsidR="0092384B" w:rsidRDefault="0092384B" w:rsidP="00524F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Figure S2</w:t>
            </w:r>
          </w:p>
        </w:tc>
        <w:tc>
          <w:tcPr>
            <w:tcW w:w="5600" w:type="dxa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E7D05AF" w14:textId="77777777" w:rsidR="0092384B" w:rsidRDefault="0092384B" w:rsidP="00524F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ERP contrast waveforms + cluster permutation</w:t>
            </w:r>
          </w:p>
        </w:tc>
        <w:tc>
          <w:tcPr>
            <w:tcW w:w="1800" w:type="dxa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D4FDAAD" w14:textId="77777777" w:rsidR="0092384B" w:rsidRDefault="0092384B" w:rsidP="00524F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Supplementary</w:t>
            </w:r>
          </w:p>
        </w:tc>
      </w:tr>
      <w:tr w:rsidR="0092384B" w14:paraId="422E494D" w14:textId="77777777" w:rsidTr="00524F99">
        <w:tc>
          <w:tcPr>
            <w:tcW w:w="1200" w:type="dxa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2856050" w14:textId="77777777" w:rsidR="0092384B" w:rsidRDefault="0092384B" w:rsidP="00524F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Figure S3</w:t>
            </w:r>
          </w:p>
        </w:tc>
        <w:tc>
          <w:tcPr>
            <w:tcW w:w="5600" w:type="dxa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1CCC750" w14:textId="77777777" w:rsidR="0092384B" w:rsidRDefault="0092384B" w:rsidP="00524F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ERP topographic maps</w:t>
            </w:r>
          </w:p>
        </w:tc>
        <w:tc>
          <w:tcPr>
            <w:tcW w:w="1800" w:type="dxa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8071144" w14:textId="77777777" w:rsidR="0092384B" w:rsidRDefault="0092384B" w:rsidP="00524F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Supplementary</w:t>
            </w:r>
          </w:p>
        </w:tc>
      </w:tr>
      <w:tr w:rsidR="0092384B" w14:paraId="222FF6A2" w14:textId="77777777" w:rsidTr="00524F99">
        <w:tc>
          <w:tcPr>
            <w:tcW w:w="1200" w:type="dxa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4BEE286" w14:textId="77777777" w:rsidR="0092384B" w:rsidRDefault="0092384B" w:rsidP="00524F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Figure S4</w:t>
            </w:r>
          </w:p>
        </w:tc>
        <w:tc>
          <w:tcPr>
            <w:tcW w:w="5600" w:type="dxa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A04D019" w14:textId="77777777" w:rsidR="0092384B" w:rsidRDefault="0092384B" w:rsidP="00524F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Functional connectivity comparison (PLV + PLI)</w:t>
            </w:r>
          </w:p>
        </w:tc>
        <w:tc>
          <w:tcPr>
            <w:tcW w:w="1800" w:type="dxa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5B02960" w14:textId="77777777" w:rsidR="0092384B" w:rsidRDefault="0092384B" w:rsidP="00524F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Supplementary</w:t>
            </w:r>
          </w:p>
        </w:tc>
      </w:tr>
      <w:tr w:rsidR="0092384B" w14:paraId="3E4CB8EE" w14:textId="77777777" w:rsidTr="00524F99">
        <w:tc>
          <w:tcPr>
            <w:tcW w:w="1200" w:type="dxa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5156584" w14:textId="77777777" w:rsidR="0092384B" w:rsidRDefault="0092384B" w:rsidP="00524F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Figure S5</w:t>
            </w:r>
          </w:p>
        </w:tc>
        <w:tc>
          <w:tcPr>
            <w:tcW w:w="5600" w:type="dxa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0E4496D" w14:textId="77777777" w:rsidR="0092384B" w:rsidRDefault="0092384B" w:rsidP="00524F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XAI summary (Grad-CAM / Occlusion / SHAP)</w:t>
            </w:r>
          </w:p>
        </w:tc>
        <w:tc>
          <w:tcPr>
            <w:tcW w:w="1800" w:type="dxa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0E1B796" w14:textId="77777777" w:rsidR="0092384B" w:rsidRDefault="0092384B" w:rsidP="00524F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Supplementary</w:t>
            </w:r>
          </w:p>
        </w:tc>
      </w:tr>
      <w:tr w:rsidR="0092384B" w14:paraId="33B93AC4" w14:textId="77777777" w:rsidTr="00524F99">
        <w:tc>
          <w:tcPr>
            <w:tcW w:w="1200" w:type="dxa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05F4839" w14:textId="77777777" w:rsidR="0092384B" w:rsidRDefault="0092384B" w:rsidP="00524F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Figure S6</w:t>
            </w:r>
          </w:p>
        </w:tc>
        <w:tc>
          <w:tcPr>
            <w:tcW w:w="5600" w:type="dxa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2626A4F" w14:textId="77777777" w:rsidR="0092384B" w:rsidRDefault="0092384B" w:rsidP="00524F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ERP amplitude boxplots (all components × 4 conditions)</w:t>
            </w:r>
          </w:p>
        </w:tc>
        <w:tc>
          <w:tcPr>
            <w:tcW w:w="1800" w:type="dxa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49503A3" w14:textId="77777777" w:rsidR="0092384B" w:rsidRDefault="0092384B" w:rsidP="00524F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Supplementary</w:t>
            </w:r>
          </w:p>
        </w:tc>
      </w:tr>
      <w:tr w:rsidR="0092384B" w14:paraId="4AD9A994" w14:textId="77777777" w:rsidTr="00524F99">
        <w:tc>
          <w:tcPr>
            <w:tcW w:w="1200" w:type="dxa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41044AC" w14:textId="77777777" w:rsidR="0092384B" w:rsidRDefault="0092384B" w:rsidP="00524F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Figure S7</w:t>
            </w:r>
          </w:p>
        </w:tc>
        <w:tc>
          <w:tcPr>
            <w:tcW w:w="5600" w:type="dxa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F2761A9" w14:textId="77777777" w:rsidR="0092384B" w:rsidRDefault="0092384B" w:rsidP="00524F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Time-frequency overview (ERD/ERS + ITPC full)</w:t>
            </w:r>
          </w:p>
        </w:tc>
        <w:tc>
          <w:tcPr>
            <w:tcW w:w="1800" w:type="dxa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4DA6ECF" w14:textId="77777777" w:rsidR="0092384B" w:rsidRDefault="0092384B" w:rsidP="00524F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Supplementary</w:t>
            </w:r>
          </w:p>
        </w:tc>
      </w:tr>
    </w:tbl>
    <w:p w14:paraId="1B4B7D51" w14:textId="77777777" w:rsidR="0092384B" w:rsidRDefault="0092384B" w:rsidP="0092384B">
      <w:pPr>
        <w:spacing w:line="360" w:lineRule="auto"/>
        <w:rPr>
          <w:rFonts w:ascii="Times New Roman" w:hAnsi="Times New Roman" w:cs="Times New Roman"/>
          <w:sz w:val="24"/>
        </w:rPr>
      </w:pPr>
    </w:p>
    <w:p w14:paraId="3A134B24" w14:textId="77777777" w:rsidR="0092384B" w:rsidRDefault="0092384B" w:rsidP="0092384B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7F88823A" wp14:editId="32F8ED72">
            <wp:extent cx="5579745" cy="7738745"/>
            <wp:effectExtent l="0" t="0" r="825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773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67F32" w14:textId="77777777" w:rsidR="0092384B" w:rsidRDefault="0092384B" w:rsidP="0092384B">
      <w:pPr>
        <w:spacing w:line="360" w:lineRule="auto"/>
      </w:pPr>
    </w:p>
    <w:p w14:paraId="72BA4FD7" w14:textId="77777777" w:rsidR="0092384B" w:rsidRDefault="0092384B" w:rsidP="0092384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 S1. Overview of ERP grand-average waveforms (8 components × Same/Different/Combined). Red: ADHD group (N=102); blue: CON group (N=49). Gray shading marks the time window for each component. Vertical axis follows EEG convention (negative up).</w:t>
      </w:r>
    </w:p>
    <w:p w14:paraId="7095F186" w14:textId="77777777" w:rsidR="0092384B" w:rsidRDefault="0092384B" w:rsidP="0092384B">
      <w:pPr>
        <w:spacing w:line="360" w:lineRule="auto"/>
        <w:rPr>
          <w:rFonts w:ascii="Times New Roman" w:hAnsi="Times New Roman" w:cs="Times New Roman"/>
          <w:sz w:val="24"/>
        </w:rPr>
      </w:pPr>
    </w:p>
    <w:p w14:paraId="435F9CC9" w14:textId="77777777" w:rsidR="0092384B" w:rsidRDefault="0092384B" w:rsidP="0092384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114300" distR="114300" wp14:anchorId="12BA0A5B" wp14:editId="062BF3AB">
            <wp:extent cx="5579745" cy="7738745"/>
            <wp:effectExtent l="0" t="0" r="8255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773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EB5A4" w14:textId="77777777" w:rsidR="0092384B" w:rsidRDefault="0092384B" w:rsidP="0092384B">
      <w:pPr>
        <w:spacing w:line="360" w:lineRule="auto"/>
        <w:rPr>
          <w:rFonts w:ascii="Times New Roman" w:hAnsi="Times New Roman" w:cs="Times New Roman"/>
          <w:sz w:val="24"/>
        </w:rPr>
      </w:pPr>
    </w:p>
    <w:p w14:paraId="3D5B40A0" w14:textId="77777777" w:rsidR="0092384B" w:rsidRDefault="0092384B" w:rsidP="0092384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 S2. Between-group comparison of Different−Same waveforms (8 components). Pink shading marks significant time clusters from the cluster-permutation test (p&lt;0.05, 1000 permutations, two-tailed).</w:t>
      </w:r>
    </w:p>
    <w:p w14:paraId="70CB111D" w14:textId="77777777" w:rsidR="0092384B" w:rsidRDefault="0092384B" w:rsidP="0092384B">
      <w:pPr>
        <w:spacing w:line="360" w:lineRule="auto"/>
        <w:rPr>
          <w:rFonts w:ascii="Times New Roman" w:hAnsi="Times New Roman" w:cs="Times New Roman"/>
          <w:sz w:val="24"/>
        </w:rPr>
      </w:pPr>
    </w:p>
    <w:p w14:paraId="395C8151" w14:textId="77777777" w:rsidR="0092384B" w:rsidRDefault="0092384B" w:rsidP="0092384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114300" distR="114300" wp14:anchorId="5F2F99D9" wp14:editId="402DF28C">
            <wp:extent cx="5579745" cy="2602865"/>
            <wp:effectExtent l="0" t="0" r="8255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26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9DCF7" w14:textId="77777777" w:rsidR="0092384B" w:rsidRDefault="0092384B" w:rsidP="0092384B">
      <w:pPr>
        <w:spacing w:line="360" w:lineRule="auto"/>
        <w:rPr>
          <w:rFonts w:ascii="Times New Roman" w:hAnsi="Times New Roman" w:cs="Times New Roman"/>
          <w:sz w:val="24"/>
        </w:rPr>
      </w:pPr>
    </w:p>
    <w:p w14:paraId="3CFEAFB8" w14:textId="77777777" w:rsidR="0092384B" w:rsidRDefault="0092384B" w:rsidP="0092384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 S3. ERP topographic maps. Rows: ADHD-Same / ADHD-Different / CON-Same / CON-Different. Columns: P1 (100 ms), N1 (130 ms), N170 (170 ms), P2 (200 ms), N2 (250 ms), P300 (400 ms), LPC (550 ms), Central-Late (200 ms).</w:t>
      </w:r>
    </w:p>
    <w:p w14:paraId="11A80455" w14:textId="77777777" w:rsidR="0092384B" w:rsidRDefault="0092384B" w:rsidP="0092384B">
      <w:pPr>
        <w:spacing w:line="360" w:lineRule="auto"/>
        <w:rPr>
          <w:rFonts w:ascii="Times New Roman" w:hAnsi="Times New Roman" w:cs="Times New Roman"/>
          <w:sz w:val="24"/>
        </w:rPr>
      </w:pPr>
    </w:p>
    <w:p w14:paraId="75BAE63A" w14:textId="77777777" w:rsidR="0092384B" w:rsidRDefault="0092384B" w:rsidP="0092384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114300" distR="114300" wp14:anchorId="3DBEC119" wp14:editId="5A02A68F">
            <wp:extent cx="5579745" cy="3883660"/>
            <wp:effectExtent l="0" t="0" r="8255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8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F2580" w14:textId="77777777" w:rsidR="0092384B" w:rsidRDefault="0092384B" w:rsidP="0092384B">
      <w:pPr>
        <w:spacing w:line="360" w:lineRule="auto"/>
        <w:rPr>
          <w:rFonts w:ascii="Times New Roman" w:hAnsi="Times New Roman" w:cs="Times New Roman"/>
          <w:sz w:val="24"/>
        </w:rPr>
      </w:pPr>
    </w:p>
    <w:p w14:paraId="2BEE5EAB" w14:textId="77777777" w:rsidR="0092384B" w:rsidRDefault="0092384B" w:rsidP="0092384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 S4. Functional connectivity comparison between groups (ADHD vs CON). Rows: Same / Different / Combined / Contrast. Columns 1</w:t>
      </w:r>
      <w:r>
        <w:rPr>
          <w:rFonts w:ascii="Times New Roman" w:hAnsi="Times New Roman" w:cs="Times New Roman" w:hint="eastAsia"/>
          <w:sz w:val="24"/>
        </w:rPr>
        <w:t>-</w:t>
      </w:r>
      <w:r>
        <w:rPr>
          <w:rFonts w:ascii="Times New Roman" w:hAnsi="Times New Roman" w:cs="Times New Roman"/>
          <w:sz w:val="24"/>
        </w:rPr>
        <w:t>3: PLV (Theta/Alpha/Beta); columns 4</w:t>
      </w:r>
      <w:r>
        <w:rPr>
          <w:rFonts w:ascii="Times New Roman" w:hAnsi="Times New Roman" w:cs="Times New Roman" w:hint="eastAsia"/>
          <w:sz w:val="24"/>
        </w:rPr>
        <w:t>-</w:t>
      </w:r>
      <w:r>
        <w:rPr>
          <w:rFonts w:ascii="Times New Roman" w:hAnsi="Times New Roman" w:cs="Times New Roman"/>
          <w:sz w:val="24"/>
        </w:rPr>
        <w:t>6: PLI (Theta/Alpha/Beta). ** p&lt;0.01, * p&lt;0.05, n.s. p≥0.05.</w:t>
      </w:r>
    </w:p>
    <w:p w14:paraId="72B27E51" w14:textId="77777777" w:rsidR="0092384B" w:rsidRDefault="0092384B" w:rsidP="0092384B">
      <w:pPr>
        <w:spacing w:line="360" w:lineRule="auto"/>
        <w:rPr>
          <w:rFonts w:ascii="Times New Roman" w:hAnsi="Times New Roman" w:cs="Times New Roman"/>
          <w:sz w:val="24"/>
        </w:rPr>
      </w:pPr>
    </w:p>
    <w:p w14:paraId="44A4CC1B" w14:textId="77777777" w:rsidR="0092384B" w:rsidRDefault="0092384B" w:rsidP="0092384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114300" distR="114300" wp14:anchorId="32BCAAEB" wp14:editId="0AF5D397">
            <wp:extent cx="5579745" cy="3573780"/>
            <wp:effectExtent l="0" t="0" r="8255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57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70A32" w14:textId="77777777" w:rsidR="0092384B" w:rsidRDefault="0092384B" w:rsidP="0092384B">
      <w:pPr>
        <w:spacing w:line="360" w:lineRule="auto"/>
        <w:rPr>
          <w:rFonts w:ascii="Times New Roman" w:hAnsi="Times New Roman" w:cs="Times New Roman"/>
          <w:sz w:val="24"/>
        </w:rPr>
      </w:pPr>
    </w:p>
    <w:p w14:paraId="378EC03C" w14:textId="77777777" w:rsidR="0092384B" w:rsidRDefault="0092384B" w:rsidP="0092384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 S5. Interpretable-AI comprehensive comparison (CNN model; Same/Different/Combined/Contrast columns). Rows: Grad-CAM / occlusion sensitivity / SHAP (GradientExplainer). Red: ADHD (N=102); blue: CON (N=49). Colored background marks the time window of each ERP component.</w:t>
      </w:r>
    </w:p>
    <w:p w14:paraId="7A718DBE" w14:textId="77777777" w:rsidR="0092384B" w:rsidRDefault="0092384B" w:rsidP="0092384B">
      <w:pPr>
        <w:spacing w:line="360" w:lineRule="auto"/>
        <w:rPr>
          <w:rFonts w:ascii="Times New Roman" w:hAnsi="Times New Roman" w:cs="Times New Roman"/>
          <w:sz w:val="24"/>
        </w:rPr>
      </w:pPr>
    </w:p>
    <w:p w14:paraId="7157B66B" w14:textId="77777777" w:rsidR="0092384B" w:rsidRDefault="0092384B" w:rsidP="0092384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114300" distR="114300" wp14:anchorId="13C2EFA5" wp14:editId="387051BA">
            <wp:extent cx="5579745" cy="2803525"/>
            <wp:effectExtent l="0" t="0" r="8255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280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E2593" w14:textId="77777777" w:rsidR="0092384B" w:rsidRDefault="0092384B" w:rsidP="0092384B">
      <w:pPr>
        <w:spacing w:line="360" w:lineRule="auto"/>
        <w:rPr>
          <w:rFonts w:ascii="Times New Roman" w:hAnsi="Times New Roman" w:cs="Times New Roman"/>
          <w:sz w:val="24"/>
        </w:rPr>
      </w:pPr>
    </w:p>
    <w:p w14:paraId="4CF4583C" w14:textId="77777777" w:rsidR="0092384B" w:rsidRDefault="0092384B" w:rsidP="0092384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 S6. ERP amplitude boxplots (ADHD vs CON, all components × 4 conditions). Rows: Same/Different/Combined/Contrast (Different−Same). Columns: P1/N1/N170/P2/N2/P300/LPC/Central-Late. Red: ADHD; blue: CON. t-test p-value marked above each panel.</w:t>
      </w:r>
    </w:p>
    <w:p w14:paraId="54E9DBD9" w14:textId="77777777" w:rsidR="0092384B" w:rsidRDefault="0092384B" w:rsidP="0092384B">
      <w:pPr>
        <w:spacing w:line="360" w:lineRule="auto"/>
        <w:rPr>
          <w:rFonts w:ascii="Times New Roman" w:hAnsi="Times New Roman" w:cs="Times New Roman"/>
          <w:sz w:val="24"/>
        </w:rPr>
      </w:pPr>
    </w:p>
    <w:p w14:paraId="2AA3FCCF" w14:textId="77777777" w:rsidR="0092384B" w:rsidRDefault="0092384B" w:rsidP="0092384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114300" distR="114300" wp14:anchorId="47FC1CAB" wp14:editId="2DE4ACA1">
            <wp:extent cx="5579745" cy="4310380"/>
            <wp:effectExtent l="0" t="0" r="8255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43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65708" w14:textId="77777777" w:rsidR="0092384B" w:rsidRDefault="0092384B" w:rsidP="0092384B">
      <w:pPr>
        <w:spacing w:line="360" w:lineRule="auto"/>
        <w:rPr>
          <w:rFonts w:ascii="Times New Roman" w:hAnsi="Times New Roman" w:cs="Times New Roman"/>
          <w:sz w:val="24"/>
        </w:rPr>
      </w:pPr>
    </w:p>
    <w:p w14:paraId="09E5B2D7" w14:textId="77777777" w:rsidR="0092384B" w:rsidRDefault="0092384B" w:rsidP="0092384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 S7. Overview of time-frequency analysis (ERD/ERS% and ITPC, 4 conditions × 2 groups). Warm colors: synchronized enhancement; cool colors: desynchronization (ERD/ERS). Higher values indicate stronger phase locking (ITPC). Morlet wavelet, 1</w:t>
      </w:r>
      <w:r>
        <w:rPr>
          <w:rFonts w:ascii="Times New Roman" w:hAnsi="Times New Roman" w:cs="Times New Roman" w:hint="eastAsia"/>
          <w:sz w:val="24"/>
        </w:rPr>
        <w:t>-</w:t>
      </w:r>
      <w:r>
        <w:rPr>
          <w:rFonts w:ascii="Times New Roman" w:hAnsi="Times New Roman" w:cs="Times New Roman"/>
          <w:sz w:val="24"/>
        </w:rPr>
        <w:t>40 Hz, time range −200 to 800 ms.</w:t>
      </w:r>
    </w:p>
    <w:p w14:paraId="4C0A88FE" w14:textId="77777777" w:rsidR="0092384B" w:rsidRDefault="0092384B" w:rsidP="0092384B">
      <w:pPr>
        <w:spacing w:line="360" w:lineRule="auto"/>
        <w:rPr>
          <w:rFonts w:ascii="Times New Roman" w:hAnsi="Times New Roman" w:cs="Times New Roman"/>
          <w:sz w:val="24"/>
        </w:rPr>
      </w:pPr>
    </w:p>
    <w:p w14:paraId="4B365C87" w14:textId="77777777" w:rsidR="0092384B" w:rsidRDefault="0092384B" w:rsidP="0092384B">
      <w:pPr>
        <w:spacing w:line="360" w:lineRule="auto"/>
        <w:rPr>
          <w:rFonts w:ascii="Times New Roman" w:hAnsi="Times New Roman" w:cs="Times New Roman"/>
          <w:sz w:val="24"/>
        </w:rPr>
      </w:pPr>
    </w:p>
    <w:p w14:paraId="5A2AD988" w14:textId="77777777" w:rsidR="00EB4A2D" w:rsidRDefault="00EB4A2D"/>
    <w:sectPr w:rsidR="00EB4A2D" w:rsidSect="0092384B">
      <w:pgSz w:w="11906" w:h="16838"/>
      <w:pgMar w:top="283" w:right="850" w:bottom="283" w:left="850" w:header="851" w:footer="992" w:gutter="0"/>
      <w:lnNumType w:countBy="1" w:restart="continuous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84B"/>
    <w:rsid w:val="001D3053"/>
    <w:rsid w:val="001E3A92"/>
    <w:rsid w:val="00217E67"/>
    <w:rsid w:val="002C7D54"/>
    <w:rsid w:val="0033371E"/>
    <w:rsid w:val="005C0D39"/>
    <w:rsid w:val="0070406C"/>
    <w:rsid w:val="00724754"/>
    <w:rsid w:val="00782083"/>
    <w:rsid w:val="007B36B1"/>
    <w:rsid w:val="0092384B"/>
    <w:rsid w:val="00C321FA"/>
    <w:rsid w:val="00C97210"/>
    <w:rsid w:val="00EB4A2D"/>
    <w:rsid w:val="00EE513F"/>
    <w:rsid w:val="00FC5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11DF0"/>
  <w15:chartTrackingRefBased/>
  <w15:docId w15:val="{29BCA7ED-C728-43D0-972F-E01C554FD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384B"/>
    <w:pPr>
      <w:widowControl w:val="0"/>
      <w:spacing w:after="0" w:line="240" w:lineRule="auto"/>
      <w:jc w:val="both"/>
    </w:pPr>
    <w:rPr>
      <w:rFonts w:eastAsiaTheme="minorEastAsia"/>
      <w:sz w:val="21"/>
      <w:lang w:val="en-US" w:eastAsia="zh-C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384B"/>
    <w:pPr>
      <w:keepNext/>
      <w:keepLines/>
      <w:widowControl/>
      <w:spacing w:before="360" w:after="80" w:line="278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IN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384B"/>
    <w:pPr>
      <w:keepNext/>
      <w:keepLines/>
      <w:widowControl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IN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384B"/>
    <w:pPr>
      <w:keepNext/>
      <w:keepLines/>
      <w:widowControl/>
      <w:spacing w:before="160" w:after="80" w:line="278" w:lineRule="auto"/>
      <w:jc w:val="left"/>
      <w:outlineLvl w:val="2"/>
    </w:pPr>
    <w:rPr>
      <w:rFonts w:eastAsiaTheme="majorEastAsia" w:cstheme="majorBidi"/>
      <w:color w:val="0F4761" w:themeColor="accent1" w:themeShade="BF"/>
      <w:sz w:val="28"/>
      <w:szCs w:val="28"/>
      <w:lang w:val="en-IN"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384B"/>
    <w:pPr>
      <w:keepNext/>
      <w:keepLines/>
      <w:widowControl/>
      <w:spacing w:before="80" w:after="40" w:line="278" w:lineRule="auto"/>
      <w:jc w:val="left"/>
      <w:outlineLvl w:val="3"/>
    </w:pPr>
    <w:rPr>
      <w:rFonts w:eastAsiaTheme="majorEastAsia" w:cstheme="majorBidi"/>
      <w:i/>
      <w:iCs/>
      <w:color w:val="0F4761" w:themeColor="accent1" w:themeShade="BF"/>
      <w:sz w:val="24"/>
      <w:lang w:val="en-IN"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384B"/>
    <w:pPr>
      <w:keepNext/>
      <w:keepLines/>
      <w:widowControl/>
      <w:spacing w:before="80" w:after="40" w:line="278" w:lineRule="auto"/>
      <w:jc w:val="left"/>
      <w:outlineLvl w:val="4"/>
    </w:pPr>
    <w:rPr>
      <w:rFonts w:eastAsiaTheme="majorEastAsia" w:cstheme="majorBidi"/>
      <w:color w:val="0F4761" w:themeColor="accent1" w:themeShade="BF"/>
      <w:sz w:val="24"/>
      <w:lang w:val="en-IN"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384B"/>
    <w:pPr>
      <w:keepNext/>
      <w:keepLines/>
      <w:widowControl/>
      <w:spacing w:before="40" w:line="278" w:lineRule="auto"/>
      <w:jc w:val="left"/>
      <w:outlineLvl w:val="5"/>
    </w:pPr>
    <w:rPr>
      <w:rFonts w:eastAsiaTheme="majorEastAsia" w:cstheme="majorBidi"/>
      <w:i/>
      <w:iCs/>
      <w:color w:val="595959" w:themeColor="text1" w:themeTint="A6"/>
      <w:sz w:val="24"/>
      <w:lang w:val="en-IN"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384B"/>
    <w:pPr>
      <w:keepNext/>
      <w:keepLines/>
      <w:widowControl/>
      <w:spacing w:before="40" w:line="278" w:lineRule="auto"/>
      <w:jc w:val="left"/>
      <w:outlineLvl w:val="6"/>
    </w:pPr>
    <w:rPr>
      <w:rFonts w:eastAsiaTheme="majorEastAsia" w:cstheme="majorBidi"/>
      <w:color w:val="595959" w:themeColor="text1" w:themeTint="A6"/>
      <w:sz w:val="24"/>
      <w:lang w:val="en-IN"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384B"/>
    <w:pPr>
      <w:keepNext/>
      <w:keepLines/>
      <w:widowControl/>
      <w:spacing w:line="278" w:lineRule="auto"/>
      <w:jc w:val="left"/>
      <w:outlineLvl w:val="7"/>
    </w:pPr>
    <w:rPr>
      <w:rFonts w:eastAsiaTheme="majorEastAsia" w:cstheme="majorBidi"/>
      <w:i/>
      <w:iCs/>
      <w:color w:val="272727" w:themeColor="text1" w:themeTint="D8"/>
      <w:sz w:val="24"/>
      <w:lang w:val="en-IN"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384B"/>
    <w:pPr>
      <w:keepNext/>
      <w:keepLines/>
      <w:widowControl/>
      <w:spacing w:line="278" w:lineRule="auto"/>
      <w:jc w:val="left"/>
      <w:outlineLvl w:val="8"/>
    </w:pPr>
    <w:rPr>
      <w:rFonts w:eastAsiaTheme="majorEastAsia" w:cstheme="majorBidi"/>
      <w:color w:val="272727" w:themeColor="text1" w:themeTint="D8"/>
      <w:sz w:val="24"/>
      <w:lang w:val="en-IN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38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38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38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384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384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384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384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384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384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2384B"/>
    <w:pPr>
      <w:widowControl/>
      <w:spacing w:after="8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N"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238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384B"/>
    <w:pPr>
      <w:widowControl/>
      <w:numPr>
        <w:ilvl w:val="1"/>
      </w:numPr>
      <w:spacing w:after="160" w:line="278" w:lineRule="auto"/>
      <w:jc w:val="left"/>
    </w:pPr>
    <w:rPr>
      <w:rFonts w:eastAsiaTheme="majorEastAsia" w:cstheme="majorBidi"/>
      <w:color w:val="595959" w:themeColor="text1" w:themeTint="A6"/>
      <w:spacing w:val="15"/>
      <w:sz w:val="28"/>
      <w:szCs w:val="28"/>
      <w:lang w:val="en-IN"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238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2384B"/>
    <w:pPr>
      <w:widowControl/>
      <w:spacing w:before="160" w:after="160" w:line="278" w:lineRule="auto"/>
      <w:jc w:val="center"/>
    </w:pPr>
    <w:rPr>
      <w:rFonts w:eastAsiaTheme="minorHAnsi"/>
      <w:i/>
      <w:iCs/>
      <w:color w:val="404040" w:themeColor="text1" w:themeTint="BF"/>
      <w:sz w:val="24"/>
      <w:lang w:val="en-IN"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2384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2384B"/>
    <w:pPr>
      <w:widowControl/>
      <w:spacing w:after="160" w:line="278" w:lineRule="auto"/>
      <w:ind w:left="720"/>
      <w:contextualSpacing/>
      <w:jc w:val="left"/>
    </w:pPr>
    <w:rPr>
      <w:rFonts w:eastAsiaTheme="minorHAnsi"/>
      <w:sz w:val="24"/>
      <w:lang w:val="en-IN"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2384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384B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eastAsiaTheme="minorHAnsi"/>
      <w:i/>
      <w:iCs/>
      <w:color w:val="0F4761" w:themeColor="accent1" w:themeShade="BF"/>
      <w:sz w:val="24"/>
      <w:lang w:val="en-IN"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384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2384B"/>
    <w:rPr>
      <w:b/>
      <w:bCs/>
      <w:smallCaps/>
      <w:color w:val="0F4761" w:themeColor="accent1" w:themeShade="BF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9238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393</Words>
  <Characters>2246</Characters>
  <Application>Microsoft Office Word</Application>
  <DocSecurity>0</DocSecurity>
  <Lines>18</Lines>
  <Paragraphs>5</Paragraphs>
  <ScaleCrop>false</ScaleCrop>
  <Company/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Pradeep Gaikwad</dc:creator>
  <cp:keywords/>
  <dc:description/>
  <cp:lastModifiedBy>Pradeep Gaikwad</cp:lastModifiedBy>
  <cp:revision>1</cp:revision>
  <dcterms:created xsi:type="dcterms:W3CDTF">2026-07-22T07:56:00Z</dcterms:created>
  <dcterms:modified xsi:type="dcterms:W3CDTF">2026-07-22T07:56:00Z</dcterms:modified>
</cp:coreProperties>
</file>