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711AF" w14:textId="77777777" w:rsidR="00034379" w:rsidRDefault="00034379" w:rsidP="00034379">
      <w:pPr>
        <w:pStyle w:val="Heading1"/>
        <w:spacing w:before="280" w:after="120"/>
      </w:pPr>
      <w:r>
        <w:rPr>
          <w:rFonts w:ascii="Times New Roman" w:eastAsia="Times New Roman" w:hAnsi="Times New Roman"/>
        </w:rPr>
        <w:t>Supplementary Material</w:t>
      </w:r>
    </w:p>
    <w:p w14:paraId="347E24C4" w14:textId="77777777" w:rsidR="00034379" w:rsidRDefault="00034379" w:rsidP="00034379">
      <w:pPr>
        <w:spacing w:before="200" w:after="80" w:line="360" w:lineRule="auto"/>
      </w:pPr>
      <w:r>
        <w:rPr>
          <w:b/>
          <w:sz w:val="20"/>
        </w:rPr>
        <w:t>Supplementary Table S1. Imputation sensitivity: MICE versus median imputation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1881"/>
        <w:gridCol w:w="1881"/>
        <w:gridCol w:w="1881"/>
        <w:gridCol w:w="1881"/>
      </w:tblGrid>
      <w:tr w:rsidR="00034379" w14:paraId="54ECE3A4" w14:textId="77777777" w:rsidTr="00210E34">
        <w:tc>
          <w:tcPr>
            <w:tcW w:w="1881" w:type="dxa"/>
            <w:tcBorders>
              <w:top w:val="single" w:sz="12" w:space="0" w:color="auto"/>
              <w:bottom w:val="single" w:sz="8" w:space="0" w:color="auto"/>
            </w:tcBorders>
          </w:tcPr>
          <w:p w14:paraId="665543E6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Outcome</w:t>
            </w:r>
          </w:p>
        </w:tc>
        <w:tc>
          <w:tcPr>
            <w:tcW w:w="1881" w:type="dxa"/>
            <w:tcBorders>
              <w:top w:val="single" w:sz="12" w:space="0" w:color="auto"/>
              <w:bottom w:val="single" w:sz="8" w:space="0" w:color="auto"/>
            </w:tcBorders>
          </w:tcPr>
          <w:p w14:paraId="701AC071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Model</w:t>
            </w:r>
          </w:p>
        </w:tc>
        <w:tc>
          <w:tcPr>
            <w:tcW w:w="1881" w:type="dxa"/>
            <w:tcBorders>
              <w:top w:val="single" w:sz="12" w:space="0" w:color="auto"/>
              <w:bottom w:val="single" w:sz="8" w:space="0" w:color="auto"/>
            </w:tcBorders>
          </w:tcPr>
          <w:p w14:paraId="4D55B2D9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Median imputation AUC</w:t>
            </w:r>
          </w:p>
        </w:tc>
        <w:tc>
          <w:tcPr>
            <w:tcW w:w="1881" w:type="dxa"/>
            <w:tcBorders>
              <w:top w:val="single" w:sz="12" w:space="0" w:color="auto"/>
              <w:bottom w:val="single" w:sz="8" w:space="0" w:color="auto"/>
            </w:tcBorders>
          </w:tcPr>
          <w:p w14:paraId="6BBB1C26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MICE AUC</w:t>
            </w:r>
          </w:p>
        </w:tc>
        <w:tc>
          <w:tcPr>
            <w:tcW w:w="1881" w:type="dxa"/>
            <w:tcBorders>
              <w:top w:val="single" w:sz="12" w:space="0" w:color="auto"/>
              <w:bottom w:val="single" w:sz="8" w:space="0" w:color="auto"/>
            </w:tcBorders>
          </w:tcPr>
          <w:p w14:paraId="0433DE89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ΔAUC (MICE − median)</w:t>
            </w:r>
          </w:p>
        </w:tc>
      </w:tr>
      <w:tr w:rsidR="00034379" w14:paraId="0A4B3C58" w14:textId="77777777" w:rsidTr="00210E34">
        <w:tc>
          <w:tcPr>
            <w:tcW w:w="1881" w:type="dxa"/>
            <w:tcBorders>
              <w:top w:val="single" w:sz="8" w:space="0" w:color="auto"/>
            </w:tcBorders>
          </w:tcPr>
          <w:p w14:paraId="1EE5FB6C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mRS (90-day mRS &gt; 2)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14:paraId="77EB26D6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Clinical-only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14:paraId="133DE052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0.866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14:paraId="47D377F0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0.868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14:paraId="16AD1D56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+0.002</w:t>
            </w:r>
          </w:p>
        </w:tc>
      </w:tr>
      <w:tr w:rsidR="00034379" w14:paraId="7A803C16" w14:textId="77777777" w:rsidTr="00210E34">
        <w:tc>
          <w:tcPr>
            <w:tcW w:w="1881" w:type="dxa"/>
          </w:tcPr>
          <w:p w14:paraId="0356B61E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mRS (90-day mRS &gt; 2)</w:t>
            </w:r>
          </w:p>
        </w:tc>
        <w:tc>
          <w:tcPr>
            <w:tcW w:w="1881" w:type="dxa"/>
          </w:tcPr>
          <w:p w14:paraId="30954E94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Clinical + radiomics</w:t>
            </w:r>
          </w:p>
        </w:tc>
        <w:tc>
          <w:tcPr>
            <w:tcW w:w="1881" w:type="dxa"/>
          </w:tcPr>
          <w:p w14:paraId="6AF447A6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0.872</w:t>
            </w:r>
          </w:p>
        </w:tc>
        <w:tc>
          <w:tcPr>
            <w:tcW w:w="1881" w:type="dxa"/>
          </w:tcPr>
          <w:p w14:paraId="386D9AE0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0.868</w:t>
            </w:r>
          </w:p>
        </w:tc>
        <w:tc>
          <w:tcPr>
            <w:tcW w:w="1881" w:type="dxa"/>
          </w:tcPr>
          <w:p w14:paraId="5FDB48AF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−0.004</w:t>
            </w:r>
          </w:p>
        </w:tc>
      </w:tr>
      <w:tr w:rsidR="00034379" w14:paraId="5F9C4215" w14:textId="77777777" w:rsidTr="00210E34">
        <w:tc>
          <w:tcPr>
            <w:tcW w:w="1881" w:type="dxa"/>
          </w:tcPr>
          <w:p w14:paraId="248E0205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All-cause mortality</w:t>
            </w:r>
          </w:p>
        </w:tc>
        <w:tc>
          <w:tcPr>
            <w:tcW w:w="1881" w:type="dxa"/>
          </w:tcPr>
          <w:p w14:paraId="76F02E30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Clinical-only</w:t>
            </w:r>
          </w:p>
        </w:tc>
        <w:tc>
          <w:tcPr>
            <w:tcW w:w="1881" w:type="dxa"/>
          </w:tcPr>
          <w:p w14:paraId="7728E65D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0.795</w:t>
            </w:r>
          </w:p>
        </w:tc>
        <w:tc>
          <w:tcPr>
            <w:tcW w:w="1881" w:type="dxa"/>
          </w:tcPr>
          <w:p w14:paraId="771A7298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0.792</w:t>
            </w:r>
          </w:p>
        </w:tc>
        <w:tc>
          <w:tcPr>
            <w:tcW w:w="1881" w:type="dxa"/>
          </w:tcPr>
          <w:p w14:paraId="4CAB3850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−0.002</w:t>
            </w:r>
          </w:p>
        </w:tc>
      </w:tr>
      <w:tr w:rsidR="00034379" w14:paraId="6EF27FD8" w14:textId="77777777" w:rsidTr="00210E34">
        <w:tc>
          <w:tcPr>
            <w:tcW w:w="1881" w:type="dxa"/>
          </w:tcPr>
          <w:p w14:paraId="08A0047C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All-cause mortality</w:t>
            </w:r>
          </w:p>
        </w:tc>
        <w:tc>
          <w:tcPr>
            <w:tcW w:w="1881" w:type="dxa"/>
          </w:tcPr>
          <w:p w14:paraId="7DD8CF40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Clinical + radiomics</w:t>
            </w:r>
          </w:p>
        </w:tc>
        <w:tc>
          <w:tcPr>
            <w:tcW w:w="1881" w:type="dxa"/>
          </w:tcPr>
          <w:p w14:paraId="0193D206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0.771</w:t>
            </w:r>
          </w:p>
        </w:tc>
        <w:tc>
          <w:tcPr>
            <w:tcW w:w="1881" w:type="dxa"/>
          </w:tcPr>
          <w:p w14:paraId="1EECE8C1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0.770</w:t>
            </w:r>
          </w:p>
        </w:tc>
        <w:tc>
          <w:tcPr>
            <w:tcW w:w="1881" w:type="dxa"/>
          </w:tcPr>
          <w:p w14:paraId="01A9ECE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−0.001</w:t>
            </w:r>
          </w:p>
        </w:tc>
      </w:tr>
    </w:tbl>
    <w:p w14:paraId="681F77D1" w14:textId="77777777" w:rsidR="00034379" w:rsidRDefault="00034379" w:rsidP="00034379">
      <w:pPr>
        <w:spacing w:before="40" w:after="160" w:line="300" w:lineRule="auto"/>
      </w:pPr>
      <w:r>
        <w:rPr>
          <w:sz w:val="18"/>
        </w:rPr>
        <w:t>All AUCs are from grouped nested 5×5 cross-validation with GroupKFold by patient. MICE used chained equations (IterativeImputer, 10 iterations, five imputed cycles pooled) for continuous and binary clinical variables except midline shift, which was retained as mode-imputed (original missing rate 61.2%); median imputation was applied to the same variables. Absolute ΔAUC was below 0.005 for every model.</w:t>
      </w:r>
    </w:p>
    <w:p w14:paraId="1A4481BE" w14:textId="77777777" w:rsidR="00034379" w:rsidRDefault="00034379" w:rsidP="00034379">
      <w:pPr>
        <w:spacing w:before="200" w:after="80" w:line="360" w:lineRule="auto"/>
      </w:pPr>
      <w:r>
        <w:rPr>
          <w:b/>
          <w:sz w:val="20"/>
        </w:rPr>
        <w:t>Supplementary Table S2. Baseline characteristics</w:t>
      </w:r>
    </w:p>
    <w:p w14:paraId="51321051" w14:textId="77777777" w:rsidR="00034379" w:rsidRDefault="00034379" w:rsidP="00034379">
      <w:pPr>
        <w:spacing w:after="40" w:line="300" w:lineRule="auto"/>
      </w:pPr>
      <w:r>
        <w:rPr>
          <w:sz w:val="18"/>
        </w:rPr>
        <w:t>Values are median [IQR] for continuous variables and n (%) for categorical variables. Patients are stratified by 90-day modified Rankin Scale &gt;2 and all-cause mortality. † Midline shift was missing in 61.2% of patients and mode-imputed as 0 for modelling; its distribution is not shown.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1881"/>
        <w:gridCol w:w="1881"/>
        <w:gridCol w:w="1881"/>
        <w:gridCol w:w="1881"/>
      </w:tblGrid>
      <w:tr w:rsidR="00034379" w14:paraId="714E43CC" w14:textId="77777777" w:rsidTr="00210E34">
        <w:tc>
          <w:tcPr>
            <w:tcW w:w="1881" w:type="dxa"/>
            <w:tcBorders>
              <w:top w:val="single" w:sz="12" w:space="0" w:color="auto"/>
              <w:bottom w:val="single" w:sz="8" w:space="0" w:color="auto"/>
            </w:tcBorders>
          </w:tcPr>
          <w:p w14:paraId="08A8D968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Variable</w:t>
            </w:r>
          </w:p>
        </w:tc>
        <w:tc>
          <w:tcPr>
            <w:tcW w:w="1881" w:type="dxa"/>
            <w:tcBorders>
              <w:top w:val="single" w:sz="12" w:space="0" w:color="auto"/>
              <w:bottom w:val="single" w:sz="8" w:space="0" w:color="auto"/>
            </w:tcBorders>
          </w:tcPr>
          <w:p w14:paraId="50A9266C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mRS ≤2 (n=360)</w:t>
            </w:r>
          </w:p>
        </w:tc>
        <w:tc>
          <w:tcPr>
            <w:tcW w:w="1881" w:type="dxa"/>
            <w:tcBorders>
              <w:top w:val="single" w:sz="12" w:space="0" w:color="auto"/>
              <w:bottom w:val="single" w:sz="8" w:space="0" w:color="auto"/>
            </w:tcBorders>
          </w:tcPr>
          <w:p w14:paraId="0433ED8E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mRS &gt;2 (n=210)</w:t>
            </w:r>
          </w:p>
        </w:tc>
        <w:tc>
          <w:tcPr>
            <w:tcW w:w="1881" w:type="dxa"/>
            <w:tcBorders>
              <w:top w:val="single" w:sz="12" w:space="0" w:color="auto"/>
              <w:bottom w:val="single" w:sz="8" w:space="0" w:color="auto"/>
            </w:tcBorders>
          </w:tcPr>
          <w:p w14:paraId="572D1EC6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Alive (n=368)</w:t>
            </w:r>
          </w:p>
        </w:tc>
        <w:tc>
          <w:tcPr>
            <w:tcW w:w="1881" w:type="dxa"/>
            <w:tcBorders>
              <w:top w:val="single" w:sz="12" w:space="0" w:color="auto"/>
              <w:bottom w:val="single" w:sz="8" w:space="0" w:color="auto"/>
            </w:tcBorders>
          </w:tcPr>
          <w:p w14:paraId="790288FD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Dead (n=202)</w:t>
            </w:r>
          </w:p>
        </w:tc>
      </w:tr>
      <w:tr w:rsidR="00034379" w14:paraId="566716F2" w14:textId="77777777" w:rsidTr="00210E34">
        <w:tc>
          <w:tcPr>
            <w:tcW w:w="1881" w:type="dxa"/>
            <w:tcBorders>
              <w:top w:val="single" w:sz="8" w:space="0" w:color="auto"/>
            </w:tcBorders>
          </w:tcPr>
          <w:p w14:paraId="628BECE8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Age (years)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14:paraId="2D0C6D9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67.0 [58.0–76.0]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14:paraId="50D5874F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73.0 [62.0–81.8]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14:paraId="2AB4BDC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65.0 [57.0–74.0]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14:paraId="72E1AAEC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76.0 [68.0–83.0]</w:t>
            </w:r>
          </w:p>
        </w:tc>
      </w:tr>
      <w:tr w:rsidR="00034379" w14:paraId="5434570E" w14:textId="77777777" w:rsidTr="00210E34">
        <w:tc>
          <w:tcPr>
            <w:tcW w:w="1881" w:type="dxa"/>
          </w:tcPr>
          <w:p w14:paraId="4BE81B74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NIHSS</w:t>
            </w:r>
          </w:p>
        </w:tc>
        <w:tc>
          <w:tcPr>
            <w:tcW w:w="1881" w:type="dxa"/>
          </w:tcPr>
          <w:p w14:paraId="22720D4E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3.0 [1.0–6.0]</w:t>
            </w:r>
          </w:p>
        </w:tc>
        <w:tc>
          <w:tcPr>
            <w:tcW w:w="1881" w:type="dxa"/>
          </w:tcPr>
          <w:p w14:paraId="0C752CD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13.0 [9.0–18.0]</w:t>
            </w:r>
          </w:p>
        </w:tc>
        <w:tc>
          <w:tcPr>
            <w:tcW w:w="1881" w:type="dxa"/>
          </w:tcPr>
          <w:p w14:paraId="06464D90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4.0 [1.0–9.0]</w:t>
            </w:r>
          </w:p>
        </w:tc>
        <w:tc>
          <w:tcPr>
            <w:tcW w:w="1881" w:type="dxa"/>
          </w:tcPr>
          <w:p w14:paraId="521A40C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10.0 [4.0–17.0]</w:t>
            </w:r>
          </w:p>
        </w:tc>
      </w:tr>
      <w:tr w:rsidR="00034379" w14:paraId="6F15D40C" w14:textId="77777777" w:rsidTr="00210E34">
        <w:tc>
          <w:tcPr>
            <w:tcW w:w="1881" w:type="dxa"/>
          </w:tcPr>
          <w:p w14:paraId="76FC8D79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GCS</w:t>
            </w:r>
          </w:p>
        </w:tc>
        <w:tc>
          <w:tcPr>
            <w:tcW w:w="1881" w:type="dxa"/>
          </w:tcPr>
          <w:p w14:paraId="51CC4F8B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15.0 [15.0–15.0]</w:t>
            </w:r>
          </w:p>
        </w:tc>
        <w:tc>
          <w:tcPr>
            <w:tcW w:w="1881" w:type="dxa"/>
          </w:tcPr>
          <w:p w14:paraId="2614799D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15.0 [11.0–15.0]</w:t>
            </w:r>
          </w:p>
        </w:tc>
        <w:tc>
          <w:tcPr>
            <w:tcW w:w="1881" w:type="dxa"/>
          </w:tcPr>
          <w:p w14:paraId="7A8A4802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15.0 [15.0–15.0]</w:t>
            </w:r>
          </w:p>
        </w:tc>
        <w:tc>
          <w:tcPr>
            <w:tcW w:w="1881" w:type="dxa"/>
          </w:tcPr>
          <w:p w14:paraId="25F97BF9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15.0 [12.0–15.0]</w:t>
            </w:r>
          </w:p>
        </w:tc>
      </w:tr>
      <w:tr w:rsidR="00034379" w14:paraId="125275DC" w14:textId="77777777" w:rsidTr="00210E34">
        <w:tc>
          <w:tcPr>
            <w:tcW w:w="1881" w:type="dxa"/>
          </w:tcPr>
          <w:p w14:paraId="3374D356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Haematoma volume (mL)</w:t>
            </w:r>
          </w:p>
        </w:tc>
        <w:tc>
          <w:tcPr>
            <w:tcW w:w="1881" w:type="dxa"/>
          </w:tcPr>
          <w:p w14:paraId="23DC5134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6.3 [2.2–13.3]</w:t>
            </w:r>
          </w:p>
        </w:tc>
        <w:tc>
          <w:tcPr>
            <w:tcW w:w="1881" w:type="dxa"/>
          </w:tcPr>
          <w:p w14:paraId="5623EBE4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12.3 [5.6–24.1]</w:t>
            </w:r>
          </w:p>
        </w:tc>
        <w:tc>
          <w:tcPr>
            <w:tcW w:w="1881" w:type="dxa"/>
          </w:tcPr>
          <w:p w14:paraId="3B1D65E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7.2 [2.8–14.6]</w:t>
            </w:r>
          </w:p>
        </w:tc>
        <w:tc>
          <w:tcPr>
            <w:tcW w:w="1881" w:type="dxa"/>
          </w:tcPr>
          <w:p w14:paraId="71DBA4E9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10.2 [4.3–24.0]</w:t>
            </w:r>
          </w:p>
        </w:tc>
      </w:tr>
      <w:tr w:rsidR="00034379" w14:paraId="4E703514" w14:textId="77777777" w:rsidTr="00210E34">
        <w:tc>
          <w:tcPr>
            <w:tcW w:w="1881" w:type="dxa"/>
          </w:tcPr>
          <w:p w14:paraId="00802C1A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WBC (×10⁹/L)</w:t>
            </w:r>
          </w:p>
        </w:tc>
        <w:tc>
          <w:tcPr>
            <w:tcW w:w="1881" w:type="dxa"/>
          </w:tcPr>
          <w:p w14:paraId="5028973E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7.2 [6.0–9.4]</w:t>
            </w:r>
          </w:p>
        </w:tc>
        <w:tc>
          <w:tcPr>
            <w:tcW w:w="1881" w:type="dxa"/>
          </w:tcPr>
          <w:p w14:paraId="403F0F66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8.3 [6.4–10.9]</w:t>
            </w:r>
          </w:p>
        </w:tc>
        <w:tc>
          <w:tcPr>
            <w:tcW w:w="1881" w:type="dxa"/>
          </w:tcPr>
          <w:p w14:paraId="4E3E943F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7.2 [6.1–9.4]</w:t>
            </w:r>
          </w:p>
        </w:tc>
        <w:tc>
          <w:tcPr>
            <w:tcW w:w="1881" w:type="dxa"/>
          </w:tcPr>
          <w:p w14:paraId="51CA06B5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8.7 [6.2–10.9]</w:t>
            </w:r>
          </w:p>
        </w:tc>
      </w:tr>
      <w:tr w:rsidR="00034379" w14:paraId="3181820B" w14:textId="77777777" w:rsidTr="00210E34">
        <w:tc>
          <w:tcPr>
            <w:tcW w:w="1881" w:type="dxa"/>
          </w:tcPr>
          <w:p w14:paraId="41B12C9D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Hemoglobin (g/L)</w:t>
            </w:r>
          </w:p>
        </w:tc>
        <w:tc>
          <w:tcPr>
            <w:tcW w:w="1881" w:type="dxa"/>
          </w:tcPr>
          <w:p w14:paraId="45094F89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136.0 [127.0–147.2]</w:t>
            </w:r>
          </w:p>
        </w:tc>
        <w:tc>
          <w:tcPr>
            <w:tcW w:w="1881" w:type="dxa"/>
          </w:tcPr>
          <w:p w14:paraId="113D2612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136.0 [123.0–147.0]</w:t>
            </w:r>
          </w:p>
        </w:tc>
        <w:tc>
          <w:tcPr>
            <w:tcW w:w="1881" w:type="dxa"/>
          </w:tcPr>
          <w:p w14:paraId="71EA3835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138.0 [129.0–149.0]</w:t>
            </w:r>
          </w:p>
        </w:tc>
        <w:tc>
          <w:tcPr>
            <w:tcW w:w="1881" w:type="dxa"/>
          </w:tcPr>
          <w:p w14:paraId="417B47E2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132.0 [121.0–143.0]</w:t>
            </w:r>
          </w:p>
        </w:tc>
      </w:tr>
      <w:tr w:rsidR="00034379" w14:paraId="0A189FEE" w14:textId="77777777" w:rsidTr="00210E34">
        <w:tc>
          <w:tcPr>
            <w:tcW w:w="1881" w:type="dxa"/>
          </w:tcPr>
          <w:p w14:paraId="5066AAC6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Platelet (×10⁹/L)</w:t>
            </w:r>
          </w:p>
        </w:tc>
        <w:tc>
          <w:tcPr>
            <w:tcW w:w="1881" w:type="dxa"/>
          </w:tcPr>
          <w:p w14:paraId="0DB25269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203.5 [169.8–236.2]</w:t>
            </w:r>
          </w:p>
        </w:tc>
        <w:tc>
          <w:tcPr>
            <w:tcW w:w="1881" w:type="dxa"/>
          </w:tcPr>
          <w:p w14:paraId="0D104FE1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201.0 [159.5–252.5]</w:t>
            </w:r>
          </w:p>
        </w:tc>
        <w:tc>
          <w:tcPr>
            <w:tcW w:w="1881" w:type="dxa"/>
          </w:tcPr>
          <w:p w14:paraId="45D51406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206.5 [172.0–238.0]</w:t>
            </w:r>
          </w:p>
        </w:tc>
        <w:tc>
          <w:tcPr>
            <w:tcW w:w="1881" w:type="dxa"/>
          </w:tcPr>
          <w:p w14:paraId="1A6E073E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194.0 [154.0–250.5]</w:t>
            </w:r>
          </w:p>
        </w:tc>
      </w:tr>
      <w:tr w:rsidR="00034379" w14:paraId="66A268B6" w14:textId="77777777" w:rsidTr="00210E34">
        <w:tc>
          <w:tcPr>
            <w:tcW w:w="1881" w:type="dxa"/>
          </w:tcPr>
          <w:p w14:paraId="6DBC2F18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Albumin (g/L)</w:t>
            </w:r>
          </w:p>
        </w:tc>
        <w:tc>
          <w:tcPr>
            <w:tcW w:w="1881" w:type="dxa"/>
          </w:tcPr>
          <w:p w14:paraId="6767B06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40.2 [37.9–42.7]</w:t>
            </w:r>
          </w:p>
        </w:tc>
        <w:tc>
          <w:tcPr>
            <w:tcW w:w="1881" w:type="dxa"/>
          </w:tcPr>
          <w:p w14:paraId="0FE7C6B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40.4 [37.6–42.4]</w:t>
            </w:r>
          </w:p>
        </w:tc>
        <w:tc>
          <w:tcPr>
            <w:tcW w:w="1881" w:type="dxa"/>
          </w:tcPr>
          <w:p w14:paraId="49BF767B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40.9 [38.3–43.0]</w:t>
            </w:r>
          </w:p>
        </w:tc>
        <w:tc>
          <w:tcPr>
            <w:tcW w:w="1881" w:type="dxa"/>
          </w:tcPr>
          <w:p w14:paraId="51312D44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39.2 [37.1–41.5]</w:t>
            </w:r>
          </w:p>
        </w:tc>
      </w:tr>
      <w:tr w:rsidR="00034379" w14:paraId="50F71BE2" w14:textId="77777777" w:rsidTr="00210E34">
        <w:tc>
          <w:tcPr>
            <w:tcW w:w="1881" w:type="dxa"/>
          </w:tcPr>
          <w:p w14:paraId="7F97F43E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Glucose (mmol/L)</w:t>
            </w:r>
          </w:p>
        </w:tc>
        <w:tc>
          <w:tcPr>
            <w:tcW w:w="1881" w:type="dxa"/>
          </w:tcPr>
          <w:p w14:paraId="0381DE78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7.0 [6.0–8.7]</w:t>
            </w:r>
          </w:p>
        </w:tc>
        <w:tc>
          <w:tcPr>
            <w:tcW w:w="1881" w:type="dxa"/>
          </w:tcPr>
          <w:p w14:paraId="28406375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7.4 [6.3–9.2]</w:t>
            </w:r>
          </w:p>
        </w:tc>
        <w:tc>
          <w:tcPr>
            <w:tcW w:w="1881" w:type="dxa"/>
          </w:tcPr>
          <w:p w14:paraId="49344C61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7.0 [6.0–8.9]</w:t>
            </w:r>
          </w:p>
        </w:tc>
        <w:tc>
          <w:tcPr>
            <w:tcW w:w="1881" w:type="dxa"/>
          </w:tcPr>
          <w:p w14:paraId="76630D03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7.5 [6.2–9.0]</w:t>
            </w:r>
          </w:p>
        </w:tc>
      </w:tr>
      <w:tr w:rsidR="00034379" w14:paraId="6429E9BE" w14:textId="77777777" w:rsidTr="00210E34">
        <w:tc>
          <w:tcPr>
            <w:tcW w:w="1881" w:type="dxa"/>
          </w:tcPr>
          <w:p w14:paraId="32F5873E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Creatinine (µmol/L)</w:t>
            </w:r>
          </w:p>
        </w:tc>
        <w:tc>
          <w:tcPr>
            <w:tcW w:w="1881" w:type="dxa"/>
          </w:tcPr>
          <w:p w14:paraId="10521CB5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70.0 [62.0–82.0]</w:t>
            </w:r>
          </w:p>
        </w:tc>
        <w:tc>
          <w:tcPr>
            <w:tcW w:w="1881" w:type="dxa"/>
          </w:tcPr>
          <w:p w14:paraId="392414A9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69.0 [61.0–82.0]</w:t>
            </w:r>
          </w:p>
        </w:tc>
        <w:tc>
          <w:tcPr>
            <w:tcW w:w="1881" w:type="dxa"/>
          </w:tcPr>
          <w:p w14:paraId="3839671E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70.0 [62.0–82.0]</w:t>
            </w:r>
          </w:p>
        </w:tc>
        <w:tc>
          <w:tcPr>
            <w:tcW w:w="1881" w:type="dxa"/>
          </w:tcPr>
          <w:p w14:paraId="0D35CDEE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68.0 [62.0–80.5]</w:t>
            </w:r>
          </w:p>
        </w:tc>
      </w:tr>
      <w:tr w:rsidR="00034379" w14:paraId="0A946C75" w14:textId="77777777" w:rsidTr="00210E34">
        <w:tc>
          <w:tcPr>
            <w:tcW w:w="1881" w:type="dxa"/>
          </w:tcPr>
          <w:p w14:paraId="36F90666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Uric acid (µmol/L)</w:t>
            </w:r>
          </w:p>
        </w:tc>
        <w:tc>
          <w:tcPr>
            <w:tcW w:w="1881" w:type="dxa"/>
          </w:tcPr>
          <w:p w14:paraId="0A7751DF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312.0 [257.0–375.0]</w:t>
            </w:r>
          </w:p>
        </w:tc>
        <w:tc>
          <w:tcPr>
            <w:tcW w:w="1881" w:type="dxa"/>
          </w:tcPr>
          <w:p w14:paraId="1E8C912F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296.5 [247.2–351.0]</w:t>
            </w:r>
          </w:p>
        </w:tc>
        <w:tc>
          <w:tcPr>
            <w:tcW w:w="1881" w:type="dxa"/>
          </w:tcPr>
          <w:p w14:paraId="11AA8242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315.0 [257.0–374.0]</w:t>
            </w:r>
          </w:p>
        </w:tc>
        <w:tc>
          <w:tcPr>
            <w:tcW w:w="1881" w:type="dxa"/>
          </w:tcPr>
          <w:p w14:paraId="5553CAB5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296.0 [247.0–348.0]</w:t>
            </w:r>
          </w:p>
        </w:tc>
      </w:tr>
      <w:tr w:rsidR="00034379" w14:paraId="288EBCFE" w14:textId="77777777" w:rsidTr="00210E34">
        <w:tc>
          <w:tcPr>
            <w:tcW w:w="1881" w:type="dxa"/>
          </w:tcPr>
          <w:p w14:paraId="7B116ACA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Male sex</w:t>
            </w:r>
          </w:p>
        </w:tc>
        <w:tc>
          <w:tcPr>
            <w:tcW w:w="1881" w:type="dxa"/>
          </w:tcPr>
          <w:p w14:paraId="663AC09D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234 (65.0)</w:t>
            </w:r>
          </w:p>
        </w:tc>
        <w:tc>
          <w:tcPr>
            <w:tcW w:w="1881" w:type="dxa"/>
          </w:tcPr>
          <w:p w14:paraId="76FC4357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120 (57.1)</w:t>
            </w:r>
          </w:p>
        </w:tc>
        <w:tc>
          <w:tcPr>
            <w:tcW w:w="1881" w:type="dxa"/>
          </w:tcPr>
          <w:p w14:paraId="46B0478F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225 (61.1)</w:t>
            </w:r>
          </w:p>
        </w:tc>
        <w:tc>
          <w:tcPr>
            <w:tcW w:w="1881" w:type="dxa"/>
          </w:tcPr>
          <w:p w14:paraId="73B6029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129 (63.9)</w:t>
            </w:r>
          </w:p>
        </w:tc>
      </w:tr>
      <w:tr w:rsidR="00034379" w14:paraId="023EAC67" w14:textId="77777777" w:rsidTr="00210E34">
        <w:tc>
          <w:tcPr>
            <w:tcW w:w="1881" w:type="dxa"/>
          </w:tcPr>
          <w:p w14:paraId="06F5173F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IVH extension</w:t>
            </w:r>
          </w:p>
        </w:tc>
        <w:tc>
          <w:tcPr>
            <w:tcW w:w="1881" w:type="dxa"/>
          </w:tcPr>
          <w:p w14:paraId="03897D7E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70 (19.4)</w:t>
            </w:r>
          </w:p>
        </w:tc>
        <w:tc>
          <w:tcPr>
            <w:tcW w:w="1881" w:type="dxa"/>
          </w:tcPr>
          <w:p w14:paraId="4CA007B1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79 (37.6)</w:t>
            </w:r>
          </w:p>
        </w:tc>
        <w:tc>
          <w:tcPr>
            <w:tcW w:w="1881" w:type="dxa"/>
          </w:tcPr>
          <w:p w14:paraId="3253DEA1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79 (21.5)</w:t>
            </w:r>
          </w:p>
        </w:tc>
        <w:tc>
          <w:tcPr>
            <w:tcW w:w="1881" w:type="dxa"/>
          </w:tcPr>
          <w:p w14:paraId="56908B59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70 (34.7)</w:t>
            </w:r>
          </w:p>
        </w:tc>
      </w:tr>
      <w:tr w:rsidR="00034379" w14:paraId="6B331FDB" w14:textId="77777777" w:rsidTr="00210E34">
        <w:tc>
          <w:tcPr>
            <w:tcW w:w="1881" w:type="dxa"/>
          </w:tcPr>
          <w:p w14:paraId="3968A171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Midline shift ≥5 mm</w:t>
            </w:r>
          </w:p>
        </w:tc>
        <w:tc>
          <w:tcPr>
            <w:tcW w:w="1881" w:type="dxa"/>
          </w:tcPr>
          <w:p w14:paraId="7E064477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—†</w:t>
            </w:r>
          </w:p>
        </w:tc>
        <w:tc>
          <w:tcPr>
            <w:tcW w:w="1881" w:type="dxa"/>
          </w:tcPr>
          <w:p w14:paraId="517D86F6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—†</w:t>
            </w:r>
          </w:p>
        </w:tc>
        <w:tc>
          <w:tcPr>
            <w:tcW w:w="1881" w:type="dxa"/>
          </w:tcPr>
          <w:p w14:paraId="57AF5D6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—†</w:t>
            </w:r>
          </w:p>
        </w:tc>
        <w:tc>
          <w:tcPr>
            <w:tcW w:w="1881" w:type="dxa"/>
          </w:tcPr>
          <w:p w14:paraId="7D9F815F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—†</w:t>
            </w:r>
          </w:p>
        </w:tc>
      </w:tr>
      <w:tr w:rsidR="00034379" w14:paraId="1474E236" w14:textId="77777777" w:rsidTr="00210E34">
        <w:tc>
          <w:tcPr>
            <w:tcW w:w="1881" w:type="dxa"/>
          </w:tcPr>
          <w:p w14:paraId="235A08A0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Hypertension</w:t>
            </w:r>
          </w:p>
        </w:tc>
        <w:tc>
          <w:tcPr>
            <w:tcW w:w="1881" w:type="dxa"/>
          </w:tcPr>
          <w:p w14:paraId="5009A389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306 (85.0)</w:t>
            </w:r>
          </w:p>
        </w:tc>
        <w:tc>
          <w:tcPr>
            <w:tcW w:w="1881" w:type="dxa"/>
          </w:tcPr>
          <w:p w14:paraId="1CD3AE91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175 (83.3)</w:t>
            </w:r>
          </w:p>
        </w:tc>
        <w:tc>
          <w:tcPr>
            <w:tcW w:w="1881" w:type="dxa"/>
          </w:tcPr>
          <w:p w14:paraId="7FDCA473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318 (86.4)</w:t>
            </w:r>
          </w:p>
        </w:tc>
        <w:tc>
          <w:tcPr>
            <w:tcW w:w="1881" w:type="dxa"/>
          </w:tcPr>
          <w:p w14:paraId="4E9DBD52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163 (80.7)</w:t>
            </w:r>
          </w:p>
        </w:tc>
      </w:tr>
      <w:tr w:rsidR="00034379" w14:paraId="2632CCAB" w14:textId="77777777" w:rsidTr="00210E34">
        <w:tc>
          <w:tcPr>
            <w:tcW w:w="1881" w:type="dxa"/>
          </w:tcPr>
          <w:p w14:paraId="6316E8EA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Diabetes</w:t>
            </w:r>
          </w:p>
        </w:tc>
        <w:tc>
          <w:tcPr>
            <w:tcW w:w="1881" w:type="dxa"/>
          </w:tcPr>
          <w:p w14:paraId="00F234CD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55 (15.3)</w:t>
            </w:r>
          </w:p>
        </w:tc>
        <w:tc>
          <w:tcPr>
            <w:tcW w:w="1881" w:type="dxa"/>
          </w:tcPr>
          <w:p w14:paraId="66E03D24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55 (26.2)</w:t>
            </w:r>
          </w:p>
        </w:tc>
        <w:tc>
          <w:tcPr>
            <w:tcW w:w="1881" w:type="dxa"/>
          </w:tcPr>
          <w:p w14:paraId="43966F69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63 (17.1)</w:t>
            </w:r>
          </w:p>
        </w:tc>
        <w:tc>
          <w:tcPr>
            <w:tcW w:w="1881" w:type="dxa"/>
          </w:tcPr>
          <w:p w14:paraId="7D3CF292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47 (23.3)</w:t>
            </w:r>
          </w:p>
        </w:tc>
      </w:tr>
    </w:tbl>
    <w:p w14:paraId="05E278E4" w14:textId="77777777" w:rsidR="00034379" w:rsidRDefault="00034379" w:rsidP="00034379">
      <w:pPr>
        <w:spacing w:before="200" w:after="80" w:line="360" w:lineRule="auto"/>
      </w:pPr>
      <w:r>
        <w:rPr>
          <w:b/>
          <w:sz w:val="20"/>
        </w:rPr>
        <w:t>Supplementary Table S3. Model performance with 95% confidence intervals (grouped nested 5×5 cross-validation)</w:t>
      </w:r>
    </w:p>
    <w:p w14:paraId="5C448237" w14:textId="77777777" w:rsidR="00034379" w:rsidRDefault="00034379" w:rsidP="00034379">
      <w:pPr>
        <w:spacing w:after="40"/>
      </w:pPr>
      <w:r>
        <w:rPr>
          <w:sz w:val="20"/>
        </w:rPr>
        <w:lastRenderedPageBreak/>
        <w:t>AUCs and 95% confidence intervals were derived from out-of-fold predictions under grouped nested 5×5 cross-validation (GroupKFold by patient identifier, LASSO feature selection performed independently within each inner fold). Confidence intervals are bootstrap percentile estimates (2,000 resamples) computed on the out-of-fold prediction vectors.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034379" w14:paraId="5E780A0C" w14:textId="77777777" w:rsidTr="00210E34">
        <w:tc>
          <w:tcPr>
            <w:tcW w:w="3135" w:type="dxa"/>
            <w:tcBorders>
              <w:top w:val="single" w:sz="12" w:space="0" w:color="auto"/>
              <w:bottom w:val="single" w:sz="8" w:space="0" w:color="auto"/>
            </w:tcBorders>
          </w:tcPr>
          <w:p w14:paraId="4B446B72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Model</w:t>
            </w:r>
          </w:p>
        </w:tc>
        <w:tc>
          <w:tcPr>
            <w:tcW w:w="3135" w:type="dxa"/>
            <w:tcBorders>
              <w:top w:val="single" w:sz="12" w:space="0" w:color="auto"/>
              <w:bottom w:val="single" w:sz="8" w:space="0" w:color="auto"/>
            </w:tcBorders>
          </w:tcPr>
          <w:p w14:paraId="1ADACABC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mRS &gt;2 AUC (95% CI)</w:t>
            </w:r>
          </w:p>
        </w:tc>
        <w:tc>
          <w:tcPr>
            <w:tcW w:w="3135" w:type="dxa"/>
            <w:tcBorders>
              <w:top w:val="single" w:sz="12" w:space="0" w:color="auto"/>
              <w:bottom w:val="single" w:sz="8" w:space="0" w:color="auto"/>
            </w:tcBorders>
          </w:tcPr>
          <w:p w14:paraId="56A04B5D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Mortality AUC (95% CI)</w:t>
            </w:r>
          </w:p>
        </w:tc>
      </w:tr>
      <w:tr w:rsidR="00034379" w14:paraId="6DBBB555" w14:textId="77777777" w:rsidTr="00210E34">
        <w:tc>
          <w:tcPr>
            <w:tcW w:w="3135" w:type="dxa"/>
            <w:tcBorders>
              <w:top w:val="single" w:sz="8" w:space="0" w:color="auto"/>
            </w:tcBorders>
          </w:tcPr>
          <w:p w14:paraId="3E265157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Clinical-only</w:t>
            </w:r>
          </w:p>
        </w:tc>
        <w:tc>
          <w:tcPr>
            <w:tcW w:w="3135" w:type="dxa"/>
            <w:tcBorders>
              <w:top w:val="single" w:sz="8" w:space="0" w:color="auto"/>
            </w:tcBorders>
          </w:tcPr>
          <w:p w14:paraId="5F0B4E6B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0.866 (0.836–0.897)</w:t>
            </w:r>
          </w:p>
        </w:tc>
        <w:tc>
          <w:tcPr>
            <w:tcW w:w="3135" w:type="dxa"/>
            <w:tcBorders>
              <w:top w:val="single" w:sz="8" w:space="0" w:color="auto"/>
            </w:tcBorders>
          </w:tcPr>
          <w:p w14:paraId="4FCC5A94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0.795 (0.757–0.831)</w:t>
            </w:r>
          </w:p>
        </w:tc>
      </w:tr>
      <w:tr w:rsidR="00034379" w14:paraId="3B9AA919" w14:textId="77777777" w:rsidTr="00210E34">
        <w:tc>
          <w:tcPr>
            <w:tcW w:w="3135" w:type="dxa"/>
          </w:tcPr>
          <w:p w14:paraId="5528685A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Radiomics-only</w:t>
            </w:r>
          </w:p>
        </w:tc>
        <w:tc>
          <w:tcPr>
            <w:tcW w:w="3135" w:type="dxa"/>
          </w:tcPr>
          <w:p w14:paraId="0A3822E2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0.558 (0.510–0.606)</w:t>
            </w:r>
          </w:p>
        </w:tc>
        <w:tc>
          <w:tcPr>
            <w:tcW w:w="3135" w:type="dxa"/>
          </w:tcPr>
          <w:p w14:paraId="269EF7F1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0.616 (0.570–0.669)</w:t>
            </w:r>
          </w:p>
        </w:tc>
      </w:tr>
      <w:tr w:rsidR="00034379" w14:paraId="2FFDDC96" w14:textId="77777777" w:rsidTr="00210E34">
        <w:tc>
          <w:tcPr>
            <w:tcW w:w="3135" w:type="dxa"/>
          </w:tcPr>
          <w:p w14:paraId="3756080A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Clinical + radiomics</w:t>
            </w:r>
          </w:p>
        </w:tc>
        <w:tc>
          <w:tcPr>
            <w:tcW w:w="3135" w:type="dxa"/>
          </w:tcPr>
          <w:p w14:paraId="7A7F26F2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0.872 (0.840–0.902)</w:t>
            </w:r>
          </w:p>
        </w:tc>
        <w:tc>
          <w:tcPr>
            <w:tcW w:w="3135" w:type="dxa"/>
          </w:tcPr>
          <w:p w14:paraId="7B05FE68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0.771 (0.733–0.810)</w:t>
            </w:r>
          </w:p>
        </w:tc>
      </w:tr>
      <w:tr w:rsidR="00034379" w14:paraId="47EA56A9" w14:textId="77777777" w:rsidTr="00210E34">
        <w:tc>
          <w:tcPr>
            <w:tcW w:w="3135" w:type="dxa"/>
          </w:tcPr>
          <w:p w14:paraId="39042343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Demographics + radiomics</w:t>
            </w:r>
          </w:p>
        </w:tc>
        <w:tc>
          <w:tcPr>
            <w:tcW w:w="3135" w:type="dxa"/>
          </w:tcPr>
          <w:p w14:paraId="6EC980B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0.583 (0.535–0.630)</w:t>
            </w:r>
          </w:p>
        </w:tc>
        <w:tc>
          <w:tcPr>
            <w:tcW w:w="3135" w:type="dxa"/>
          </w:tcPr>
          <w:p w14:paraId="435C5309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0.702 (0.660–0.747)</w:t>
            </w:r>
          </w:p>
        </w:tc>
      </w:tr>
    </w:tbl>
    <w:p w14:paraId="040B7BCC" w14:textId="77777777" w:rsidR="00034379" w:rsidRDefault="00034379" w:rsidP="00034379">
      <w:pPr>
        <w:spacing w:before="40" w:after="160" w:line="300" w:lineRule="auto"/>
      </w:pPr>
      <w:r>
        <w:rPr>
          <w:sz w:val="18"/>
        </w:rPr>
        <w:t xml:space="preserve">The clinical+radiomics model did not significantly improve discrimination over the clinical-only model (DeLong mRS ΔAUC = +0.005, </w:t>
      </w:r>
      <w:r>
        <w:rPr>
          <w:i/>
          <w:iCs/>
          <w:sz w:val="18"/>
        </w:rPr>
        <w:t>p</w:t>
      </w:r>
      <w:r>
        <w:rPr>
          <w:sz w:val="18"/>
        </w:rPr>
        <w:t xml:space="preserve"> = 0.805; mortality ΔAUC = −0.024, </w:t>
      </w:r>
      <w:r>
        <w:rPr>
          <w:i/>
          <w:iCs/>
          <w:sz w:val="18"/>
        </w:rPr>
        <w:t>p</w:t>
      </w:r>
      <w:r>
        <w:rPr>
          <w:sz w:val="18"/>
        </w:rPr>
        <w:t xml:space="preserve"> = 0.439). Radiomics-only models yielded AUCs of 0.558 (mRS) and 0.616 (mortality).</w:t>
      </w:r>
    </w:p>
    <w:p w14:paraId="4798F1E3" w14:textId="77777777" w:rsidR="00034379" w:rsidRDefault="00034379" w:rsidP="00034379">
      <w:pPr>
        <w:spacing w:before="200" w:after="80" w:line="360" w:lineRule="auto"/>
      </w:pPr>
      <w:r>
        <w:rPr>
          <w:b/>
          <w:sz w:val="20"/>
        </w:rPr>
        <w:t>Supplementary Table S4. Reclassification improvement (category-free NRI and IDI)</w:t>
      </w:r>
    </w:p>
    <w:p w14:paraId="518474D2" w14:textId="77777777" w:rsidR="00034379" w:rsidRDefault="00034379" w:rsidP="00034379">
      <w:pPr>
        <w:spacing w:after="40" w:line="300" w:lineRule="auto"/>
      </w:pPr>
      <w:r>
        <w:rPr>
          <w:sz w:val="18"/>
        </w:rPr>
        <w:t>Reclassification of the clinical model versus the established scores was assessed with the category-free (continuous) net reclassification improvement (NRI) and the integrated discrimination improvement (IDI). The clinical model probabilities were the grouped nested-CV out-of-fold predictions; the comparator probabilities were derived by fitting a logistic model of the outcome on the published score (ICH Score for mortality, FUNC Score for functional outcome).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034379" w14:paraId="3B7FC556" w14:textId="77777777" w:rsidTr="00210E34">
        <w:tc>
          <w:tcPr>
            <w:tcW w:w="2351" w:type="dxa"/>
            <w:tcBorders>
              <w:top w:val="single" w:sz="12" w:space="0" w:color="auto"/>
              <w:bottom w:val="single" w:sz="8" w:space="0" w:color="auto"/>
            </w:tcBorders>
          </w:tcPr>
          <w:p w14:paraId="61827095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Comparison</w:t>
            </w:r>
          </w:p>
        </w:tc>
        <w:tc>
          <w:tcPr>
            <w:tcW w:w="2351" w:type="dxa"/>
            <w:tcBorders>
              <w:top w:val="single" w:sz="12" w:space="0" w:color="auto"/>
              <w:bottom w:val="single" w:sz="8" w:space="0" w:color="auto"/>
            </w:tcBorders>
          </w:tcPr>
          <w:p w14:paraId="6425EB3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Outcome</w:t>
            </w:r>
          </w:p>
        </w:tc>
        <w:tc>
          <w:tcPr>
            <w:tcW w:w="2351" w:type="dxa"/>
            <w:tcBorders>
              <w:top w:val="single" w:sz="12" w:space="0" w:color="auto"/>
              <w:bottom w:val="single" w:sz="8" w:space="0" w:color="auto"/>
            </w:tcBorders>
          </w:tcPr>
          <w:p w14:paraId="1DBE0DE1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Category-free NRI</w:t>
            </w:r>
          </w:p>
        </w:tc>
        <w:tc>
          <w:tcPr>
            <w:tcW w:w="2351" w:type="dxa"/>
            <w:tcBorders>
              <w:top w:val="single" w:sz="12" w:space="0" w:color="auto"/>
              <w:bottom w:val="single" w:sz="8" w:space="0" w:color="auto"/>
            </w:tcBorders>
          </w:tcPr>
          <w:p w14:paraId="1F27233E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IDI</w:t>
            </w:r>
          </w:p>
        </w:tc>
      </w:tr>
      <w:tr w:rsidR="00034379" w14:paraId="68977F9B" w14:textId="77777777" w:rsidTr="00210E34">
        <w:tc>
          <w:tcPr>
            <w:tcW w:w="2351" w:type="dxa"/>
            <w:tcBorders>
              <w:top w:val="single" w:sz="8" w:space="0" w:color="auto"/>
            </w:tcBorders>
          </w:tcPr>
          <w:p w14:paraId="2FC2367B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Clinical vs FUNC Score</w:t>
            </w:r>
          </w:p>
        </w:tc>
        <w:tc>
          <w:tcPr>
            <w:tcW w:w="2351" w:type="dxa"/>
            <w:tcBorders>
              <w:top w:val="single" w:sz="8" w:space="0" w:color="auto"/>
            </w:tcBorders>
          </w:tcPr>
          <w:p w14:paraId="48B0D60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mRS &gt;2</w:t>
            </w:r>
          </w:p>
        </w:tc>
        <w:tc>
          <w:tcPr>
            <w:tcW w:w="2351" w:type="dxa"/>
            <w:tcBorders>
              <w:top w:val="single" w:sz="8" w:space="0" w:color="auto"/>
            </w:tcBorders>
          </w:tcPr>
          <w:p w14:paraId="431010CE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+0.141</w:t>
            </w:r>
          </w:p>
        </w:tc>
        <w:tc>
          <w:tcPr>
            <w:tcW w:w="2351" w:type="dxa"/>
            <w:tcBorders>
              <w:top w:val="single" w:sz="8" w:space="0" w:color="auto"/>
            </w:tcBorders>
          </w:tcPr>
          <w:p w14:paraId="5A617A23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+0.141</w:t>
            </w:r>
          </w:p>
        </w:tc>
      </w:tr>
      <w:tr w:rsidR="00034379" w14:paraId="568D532D" w14:textId="77777777" w:rsidTr="00210E34">
        <w:tc>
          <w:tcPr>
            <w:tcW w:w="2351" w:type="dxa"/>
          </w:tcPr>
          <w:p w14:paraId="170756EC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Clinical vs ICH Score</w:t>
            </w:r>
          </w:p>
        </w:tc>
        <w:tc>
          <w:tcPr>
            <w:tcW w:w="2351" w:type="dxa"/>
          </w:tcPr>
          <w:p w14:paraId="0F9E47A5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All-cause mortality</w:t>
            </w:r>
          </w:p>
        </w:tc>
        <w:tc>
          <w:tcPr>
            <w:tcW w:w="2351" w:type="dxa"/>
          </w:tcPr>
          <w:p w14:paraId="462F495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+0.129</w:t>
            </w:r>
          </w:p>
        </w:tc>
        <w:tc>
          <w:tcPr>
            <w:tcW w:w="2351" w:type="dxa"/>
          </w:tcPr>
          <w:p w14:paraId="1F1DD551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+0.129</w:t>
            </w:r>
          </w:p>
        </w:tc>
      </w:tr>
    </w:tbl>
    <w:p w14:paraId="06BCBB85" w14:textId="77777777" w:rsidR="00034379" w:rsidRDefault="00034379" w:rsidP="00034379">
      <w:pPr>
        <w:spacing w:before="40" w:after="160" w:line="300" w:lineRule="auto"/>
      </w:pPr>
      <w:r>
        <w:rPr>
          <w:sz w:val="18"/>
        </w:rPr>
        <w:t>The category-free NRI equals the IDI by construction under the Pencina definition; the two metrics coincide to the reported precision.</w:t>
      </w:r>
    </w:p>
    <w:p w14:paraId="11728C73" w14:textId="77777777" w:rsidR="00034379" w:rsidRDefault="00034379" w:rsidP="00034379">
      <w:pPr>
        <w:spacing w:before="200" w:after="80" w:line="360" w:lineRule="auto"/>
      </w:pPr>
      <w:r>
        <w:rPr>
          <w:b/>
          <w:sz w:val="20"/>
        </w:rPr>
        <w:t>Supplementary Table S5. Apparent versus honest performance: optimism from feature selection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034379" w14:paraId="22D65642" w14:textId="77777777" w:rsidTr="00210E34">
        <w:tc>
          <w:tcPr>
            <w:tcW w:w="2351" w:type="dxa"/>
            <w:tcBorders>
              <w:top w:val="single" w:sz="12" w:space="0" w:color="auto"/>
              <w:bottom w:val="single" w:sz="8" w:space="0" w:color="auto"/>
            </w:tcBorders>
          </w:tcPr>
          <w:p w14:paraId="7282D4EB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Model</w:t>
            </w:r>
          </w:p>
        </w:tc>
        <w:tc>
          <w:tcPr>
            <w:tcW w:w="2351" w:type="dxa"/>
            <w:tcBorders>
              <w:top w:val="single" w:sz="12" w:space="0" w:color="auto"/>
              <w:bottom w:val="single" w:sz="8" w:space="0" w:color="auto"/>
            </w:tcBorders>
          </w:tcPr>
          <w:p w14:paraId="202F1D9B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In-sample apparent AUC</w:t>
            </w:r>
          </w:p>
        </w:tc>
        <w:tc>
          <w:tcPr>
            <w:tcW w:w="2351" w:type="dxa"/>
            <w:tcBorders>
              <w:top w:val="single" w:sz="12" w:space="0" w:color="auto"/>
              <w:bottom w:val="single" w:sz="8" w:space="0" w:color="auto"/>
            </w:tcBorders>
          </w:tcPr>
          <w:p w14:paraId="4A8F7BE1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Grouped nested-CV AUC</w:t>
            </w:r>
          </w:p>
        </w:tc>
        <w:tc>
          <w:tcPr>
            <w:tcW w:w="2351" w:type="dxa"/>
            <w:tcBorders>
              <w:top w:val="single" w:sz="12" w:space="0" w:color="auto"/>
              <w:bottom w:val="single" w:sz="8" w:space="0" w:color="auto"/>
            </w:tcBorders>
          </w:tcPr>
          <w:p w14:paraId="7D9045E5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Optimism (apparent − nested)</w:t>
            </w:r>
          </w:p>
        </w:tc>
      </w:tr>
      <w:tr w:rsidR="00034379" w14:paraId="49A7B909" w14:textId="77777777" w:rsidTr="00210E34">
        <w:tc>
          <w:tcPr>
            <w:tcW w:w="2351" w:type="dxa"/>
            <w:tcBorders>
              <w:top w:val="single" w:sz="8" w:space="0" w:color="auto"/>
            </w:tcBorders>
          </w:tcPr>
          <w:p w14:paraId="13B7E364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mRS outcome (90-day mRS &gt; 2)</w:t>
            </w:r>
          </w:p>
        </w:tc>
        <w:tc>
          <w:tcPr>
            <w:tcW w:w="2351" w:type="dxa"/>
            <w:tcBorders>
              <w:top w:val="single" w:sz="8" w:space="0" w:color="auto"/>
            </w:tcBorders>
          </w:tcPr>
          <w:p w14:paraId="109B3CC3" w14:textId="77777777" w:rsidR="00034379" w:rsidRDefault="00034379" w:rsidP="00210E34">
            <w:pPr>
              <w:spacing w:before="20" w:after="20" w:line="276" w:lineRule="auto"/>
              <w:jc w:val="center"/>
            </w:pPr>
          </w:p>
        </w:tc>
        <w:tc>
          <w:tcPr>
            <w:tcW w:w="2351" w:type="dxa"/>
            <w:tcBorders>
              <w:top w:val="single" w:sz="8" w:space="0" w:color="auto"/>
            </w:tcBorders>
          </w:tcPr>
          <w:p w14:paraId="2E76B89E" w14:textId="77777777" w:rsidR="00034379" w:rsidRDefault="00034379" w:rsidP="00210E34">
            <w:pPr>
              <w:spacing w:before="20" w:after="20" w:line="276" w:lineRule="auto"/>
              <w:jc w:val="center"/>
            </w:pPr>
          </w:p>
        </w:tc>
        <w:tc>
          <w:tcPr>
            <w:tcW w:w="2351" w:type="dxa"/>
            <w:tcBorders>
              <w:top w:val="single" w:sz="8" w:space="0" w:color="auto"/>
            </w:tcBorders>
          </w:tcPr>
          <w:p w14:paraId="1B954C95" w14:textId="77777777" w:rsidR="00034379" w:rsidRDefault="00034379" w:rsidP="00210E34">
            <w:pPr>
              <w:spacing w:before="20" w:after="20" w:line="276" w:lineRule="auto"/>
              <w:jc w:val="center"/>
            </w:pPr>
          </w:p>
        </w:tc>
      </w:tr>
      <w:tr w:rsidR="00034379" w14:paraId="1A4CFEBF" w14:textId="77777777" w:rsidTr="00210E34">
        <w:tc>
          <w:tcPr>
            <w:tcW w:w="2351" w:type="dxa"/>
          </w:tcPr>
          <w:p w14:paraId="42725DFE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Clinical-only</w:t>
            </w:r>
          </w:p>
        </w:tc>
        <w:tc>
          <w:tcPr>
            <w:tcW w:w="2351" w:type="dxa"/>
          </w:tcPr>
          <w:p w14:paraId="388CBD4E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0.892</w:t>
            </w:r>
          </w:p>
        </w:tc>
        <w:tc>
          <w:tcPr>
            <w:tcW w:w="2351" w:type="dxa"/>
          </w:tcPr>
          <w:p w14:paraId="0A471F9F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0.866</w:t>
            </w:r>
          </w:p>
        </w:tc>
        <w:tc>
          <w:tcPr>
            <w:tcW w:w="2351" w:type="dxa"/>
          </w:tcPr>
          <w:p w14:paraId="6594D8C6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0.026</w:t>
            </w:r>
          </w:p>
        </w:tc>
      </w:tr>
      <w:tr w:rsidR="00034379" w14:paraId="6F16F62A" w14:textId="77777777" w:rsidTr="00210E34">
        <w:tc>
          <w:tcPr>
            <w:tcW w:w="2351" w:type="dxa"/>
          </w:tcPr>
          <w:p w14:paraId="16D59E8F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Clinical + radiomics</w:t>
            </w:r>
          </w:p>
        </w:tc>
        <w:tc>
          <w:tcPr>
            <w:tcW w:w="2351" w:type="dxa"/>
          </w:tcPr>
          <w:p w14:paraId="1C309E21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0.909</w:t>
            </w:r>
          </w:p>
        </w:tc>
        <w:tc>
          <w:tcPr>
            <w:tcW w:w="2351" w:type="dxa"/>
          </w:tcPr>
          <w:p w14:paraId="102F2B16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0.872</w:t>
            </w:r>
          </w:p>
        </w:tc>
        <w:tc>
          <w:tcPr>
            <w:tcW w:w="2351" w:type="dxa"/>
          </w:tcPr>
          <w:p w14:paraId="7C94AF53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0.037</w:t>
            </w:r>
          </w:p>
        </w:tc>
      </w:tr>
      <w:tr w:rsidR="00034379" w14:paraId="429A0C4A" w14:textId="77777777" w:rsidTr="00210E34">
        <w:tc>
          <w:tcPr>
            <w:tcW w:w="2351" w:type="dxa"/>
          </w:tcPr>
          <w:p w14:paraId="5EEEA291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Δ (combined − clinical)</w:t>
            </w:r>
          </w:p>
        </w:tc>
        <w:tc>
          <w:tcPr>
            <w:tcW w:w="2351" w:type="dxa"/>
          </w:tcPr>
          <w:p w14:paraId="03DF7184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+0.017</w:t>
            </w:r>
          </w:p>
        </w:tc>
        <w:tc>
          <w:tcPr>
            <w:tcW w:w="2351" w:type="dxa"/>
          </w:tcPr>
          <w:p w14:paraId="2E128A74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+0.006</w:t>
            </w:r>
          </w:p>
        </w:tc>
        <w:tc>
          <w:tcPr>
            <w:tcW w:w="2351" w:type="dxa"/>
          </w:tcPr>
          <w:p w14:paraId="18565225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+0.011</w:t>
            </w:r>
          </w:p>
        </w:tc>
      </w:tr>
      <w:tr w:rsidR="00034379" w14:paraId="19396D4D" w14:textId="77777777" w:rsidTr="00210E34">
        <w:tc>
          <w:tcPr>
            <w:tcW w:w="2351" w:type="dxa"/>
          </w:tcPr>
          <w:p w14:paraId="2AD64B3A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All-cause mortality</w:t>
            </w:r>
          </w:p>
        </w:tc>
        <w:tc>
          <w:tcPr>
            <w:tcW w:w="2351" w:type="dxa"/>
          </w:tcPr>
          <w:p w14:paraId="7A10A976" w14:textId="77777777" w:rsidR="00034379" w:rsidRDefault="00034379" w:rsidP="00210E34">
            <w:pPr>
              <w:spacing w:before="20" w:after="20" w:line="276" w:lineRule="auto"/>
              <w:jc w:val="center"/>
            </w:pPr>
          </w:p>
        </w:tc>
        <w:tc>
          <w:tcPr>
            <w:tcW w:w="2351" w:type="dxa"/>
          </w:tcPr>
          <w:p w14:paraId="6C421950" w14:textId="77777777" w:rsidR="00034379" w:rsidRDefault="00034379" w:rsidP="00210E34">
            <w:pPr>
              <w:spacing w:before="20" w:after="20" w:line="276" w:lineRule="auto"/>
              <w:jc w:val="center"/>
            </w:pPr>
          </w:p>
        </w:tc>
        <w:tc>
          <w:tcPr>
            <w:tcW w:w="2351" w:type="dxa"/>
          </w:tcPr>
          <w:p w14:paraId="3ED1FF3C" w14:textId="77777777" w:rsidR="00034379" w:rsidRDefault="00034379" w:rsidP="00210E34">
            <w:pPr>
              <w:spacing w:before="20" w:after="20" w:line="276" w:lineRule="auto"/>
              <w:jc w:val="center"/>
            </w:pPr>
          </w:p>
        </w:tc>
      </w:tr>
      <w:tr w:rsidR="00034379" w14:paraId="5451AC8F" w14:textId="77777777" w:rsidTr="00210E34">
        <w:tc>
          <w:tcPr>
            <w:tcW w:w="2351" w:type="dxa"/>
          </w:tcPr>
          <w:p w14:paraId="4B22E7E8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Clinical-only</w:t>
            </w:r>
          </w:p>
        </w:tc>
        <w:tc>
          <w:tcPr>
            <w:tcW w:w="2351" w:type="dxa"/>
          </w:tcPr>
          <w:p w14:paraId="15278D52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0.826</w:t>
            </w:r>
          </w:p>
        </w:tc>
        <w:tc>
          <w:tcPr>
            <w:tcW w:w="2351" w:type="dxa"/>
          </w:tcPr>
          <w:p w14:paraId="296534B1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0.795</w:t>
            </w:r>
          </w:p>
        </w:tc>
        <w:tc>
          <w:tcPr>
            <w:tcW w:w="2351" w:type="dxa"/>
          </w:tcPr>
          <w:p w14:paraId="2AA34318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0.031</w:t>
            </w:r>
          </w:p>
        </w:tc>
      </w:tr>
      <w:tr w:rsidR="00034379" w14:paraId="58B36D99" w14:textId="77777777" w:rsidTr="00210E34">
        <w:tc>
          <w:tcPr>
            <w:tcW w:w="2351" w:type="dxa"/>
          </w:tcPr>
          <w:p w14:paraId="5C55D6AB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Clinical + radiomics</w:t>
            </w:r>
          </w:p>
        </w:tc>
        <w:tc>
          <w:tcPr>
            <w:tcW w:w="2351" w:type="dxa"/>
          </w:tcPr>
          <w:p w14:paraId="64194D76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0.865</w:t>
            </w:r>
          </w:p>
        </w:tc>
        <w:tc>
          <w:tcPr>
            <w:tcW w:w="2351" w:type="dxa"/>
          </w:tcPr>
          <w:p w14:paraId="39BDA4EC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0.771</w:t>
            </w:r>
          </w:p>
        </w:tc>
        <w:tc>
          <w:tcPr>
            <w:tcW w:w="2351" w:type="dxa"/>
          </w:tcPr>
          <w:p w14:paraId="3B6CD1A5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0.094</w:t>
            </w:r>
          </w:p>
        </w:tc>
      </w:tr>
      <w:tr w:rsidR="00034379" w14:paraId="26109001" w14:textId="77777777" w:rsidTr="00210E34">
        <w:tc>
          <w:tcPr>
            <w:tcW w:w="2351" w:type="dxa"/>
            <w:tcBorders>
              <w:bottom w:val="single" w:sz="12" w:space="0" w:color="auto"/>
            </w:tcBorders>
          </w:tcPr>
          <w:p w14:paraId="76806B6F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Δ (combined − clinical)</w:t>
            </w:r>
          </w:p>
        </w:tc>
        <w:tc>
          <w:tcPr>
            <w:tcW w:w="2351" w:type="dxa"/>
            <w:tcBorders>
              <w:bottom w:val="single" w:sz="12" w:space="0" w:color="auto"/>
            </w:tcBorders>
          </w:tcPr>
          <w:p w14:paraId="37A66DE5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+0.039</w:t>
            </w:r>
          </w:p>
        </w:tc>
        <w:tc>
          <w:tcPr>
            <w:tcW w:w="2351" w:type="dxa"/>
            <w:tcBorders>
              <w:bottom w:val="single" w:sz="12" w:space="0" w:color="auto"/>
            </w:tcBorders>
          </w:tcPr>
          <w:p w14:paraId="06D2CBAD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−0.024</w:t>
            </w:r>
          </w:p>
        </w:tc>
        <w:tc>
          <w:tcPr>
            <w:tcW w:w="2351" w:type="dxa"/>
            <w:tcBorders>
              <w:bottom w:val="single" w:sz="12" w:space="0" w:color="auto"/>
            </w:tcBorders>
          </w:tcPr>
          <w:p w14:paraId="5FDC6B63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+0.063</w:t>
            </w:r>
          </w:p>
        </w:tc>
      </w:tr>
    </w:tbl>
    <w:p w14:paraId="64714470" w14:textId="77777777" w:rsidR="00034379" w:rsidRDefault="00034379" w:rsidP="00034379">
      <w:pPr>
        <w:spacing w:before="40" w:after="160" w:line="300" w:lineRule="auto"/>
      </w:pPr>
      <w:r>
        <w:rPr>
          <w:sz w:val="18"/>
        </w:rPr>
        <w:t>In-sample apparent AUC was computed by fitting and evaluating the model on the full cohort; grouped nested-CV AUC used GroupKFold by patient with inner-fold LASSO selection (see Methods). Optimism is the difference between the two. The combined model showed consistently larger optimism than the clinical-only model (0.094 versus 0.031 for mortality).</w:t>
      </w:r>
    </w:p>
    <w:p w14:paraId="685B60DD" w14:textId="77777777" w:rsidR="00034379" w:rsidRDefault="00034379" w:rsidP="00034379">
      <w:pPr>
        <w:spacing w:before="200" w:after="80" w:line="360" w:lineRule="auto"/>
      </w:pPr>
      <w:r>
        <w:rPr>
          <w:b/>
          <w:sz w:val="20"/>
        </w:rPr>
        <w:t>Supplementary Table S6. Random-seed stability analysis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1881"/>
        <w:gridCol w:w="1881"/>
        <w:gridCol w:w="1881"/>
        <w:gridCol w:w="1881"/>
      </w:tblGrid>
      <w:tr w:rsidR="00034379" w14:paraId="745EC0BE" w14:textId="77777777" w:rsidTr="00210E34">
        <w:tc>
          <w:tcPr>
            <w:tcW w:w="1881" w:type="dxa"/>
            <w:tcBorders>
              <w:top w:val="single" w:sz="12" w:space="0" w:color="auto"/>
              <w:bottom w:val="single" w:sz="8" w:space="0" w:color="auto"/>
            </w:tcBorders>
          </w:tcPr>
          <w:p w14:paraId="149FF8DF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lastRenderedPageBreak/>
              <w:t>Random seed</w:t>
            </w:r>
          </w:p>
        </w:tc>
        <w:tc>
          <w:tcPr>
            <w:tcW w:w="1881" w:type="dxa"/>
            <w:tcBorders>
              <w:top w:val="single" w:sz="12" w:space="0" w:color="auto"/>
              <w:bottom w:val="single" w:sz="8" w:space="0" w:color="auto"/>
            </w:tcBorders>
          </w:tcPr>
          <w:p w14:paraId="581B3CC8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mRS Clinical-only</w:t>
            </w:r>
          </w:p>
        </w:tc>
        <w:tc>
          <w:tcPr>
            <w:tcW w:w="1881" w:type="dxa"/>
            <w:tcBorders>
              <w:top w:val="single" w:sz="12" w:space="0" w:color="auto"/>
              <w:bottom w:val="single" w:sz="8" w:space="0" w:color="auto"/>
            </w:tcBorders>
          </w:tcPr>
          <w:p w14:paraId="27F7A038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mRS Clinical + radiomics</w:t>
            </w:r>
          </w:p>
        </w:tc>
        <w:tc>
          <w:tcPr>
            <w:tcW w:w="1881" w:type="dxa"/>
            <w:tcBorders>
              <w:top w:val="single" w:sz="12" w:space="0" w:color="auto"/>
              <w:bottom w:val="single" w:sz="8" w:space="0" w:color="auto"/>
            </w:tcBorders>
          </w:tcPr>
          <w:p w14:paraId="61CA5CD5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Mortality Clinical-only</w:t>
            </w:r>
          </w:p>
        </w:tc>
        <w:tc>
          <w:tcPr>
            <w:tcW w:w="1881" w:type="dxa"/>
            <w:tcBorders>
              <w:top w:val="single" w:sz="12" w:space="0" w:color="auto"/>
              <w:bottom w:val="single" w:sz="8" w:space="0" w:color="auto"/>
            </w:tcBorders>
          </w:tcPr>
          <w:p w14:paraId="2B584513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Mortality Clinical + radiomics</w:t>
            </w:r>
          </w:p>
        </w:tc>
      </w:tr>
      <w:tr w:rsidR="00034379" w14:paraId="77247E8F" w14:textId="77777777" w:rsidTr="00210E34">
        <w:tc>
          <w:tcPr>
            <w:tcW w:w="1881" w:type="dxa"/>
            <w:tcBorders>
              <w:top w:val="single" w:sz="8" w:space="0" w:color="auto"/>
            </w:tcBorders>
          </w:tcPr>
          <w:p w14:paraId="721526DE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42 (primary)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14:paraId="3080F794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0.866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14:paraId="5EA6B604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0.872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14:paraId="3CA19BB5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0.795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14:paraId="1EDF49F2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0.771</w:t>
            </w:r>
          </w:p>
        </w:tc>
      </w:tr>
      <w:tr w:rsidR="00034379" w14:paraId="3B6309DC" w14:textId="77777777" w:rsidTr="00210E34">
        <w:tc>
          <w:tcPr>
            <w:tcW w:w="1881" w:type="dxa"/>
          </w:tcPr>
          <w:p w14:paraId="4E183640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123</w:t>
            </w:r>
          </w:p>
        </w:tc>
        <w:tc>
          <w:tcPr>
            <w:tcW w:w="1881" w:type="dxa"/>
          </w:tcPr>
          <w:p w14:paraId="11E60A4C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0.866</w:t>
            </w:r>
          </w:p>
        </w:tc>
        <w:tc>
          <w:tcPr>
            <w:tcW w:w="1881" w:type="dxa"/>
          </w:tcPr>
          <w:p w14:paraId="4125BF4E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0.872</w:t>
            </w:r>
          </w:p>
        </w:tc>
        <w:tc>
          <w:tcPr>
            <w:tcW w:w="1881" w:type="dxa"/>
          </w:tcPr>
          <w:p w14:paraId="6028E7EE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0.795</w:t>
            </w:r>
          </w:p>
        </w:tc>
        <w:tc>
          <w:tcPr>
            <w:tcW w:w="1881" w:type="dxa"/>
          </w:tcPr>
          <w:p w14:paraId="1C567213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0.771</w:t>
            </w:r>
          </w:p>
        </w:tc>
      </w:tr>
      <w:tr w:rsidR="00034379" w14:paraId="2E240FE1" w14:textId="77777777" w:rsidTr="00210E34">
        <w:tc>
          <w:tcPr>
            <w:tcW w:w="1881" w:type="dxa"/>
          </w:tcPr>
          <w:p w14:paraId="617E1749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456</w:t>
            </w:r>
          </w:p>
        </w:tc>
        <w:tc>
          <w:tcPr>
            <w:tcW w:w="1881" w:type="dxa"/>
          </w:tcPr>
          <w:p w14:paraId="3D50279B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0.866</w:t>
            </w:r>
          </w:p>
        </w:tc>
        <w:tc>
          <w:tcPr>
            <w:tcW w:w="1881" w:type="dxa"/>
          </w:tcPr>
          <w:p w14:paraId="470C4837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0.872</w:t>
            </w:r>
          </w:p>
        </w:tc>
        <w:tc>
          <w:tcPr>
            <w:tcW w:w="1881" w:type="dxa"/>
          </w:tcPr>
          <w:p w14:paraId="3D3B36D4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0.795</w:t>
            </w:r>
          </w:p>
        </w:tc>
        <w:tc>
          <w:tcPr>
            <w:tcW w:w="1881" w:type="dxa"/>
          </w:tcPr>
          <w:p w14:paraId="23B33C7B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0.771</w:t>
            </w:r>
          </w:p>
        </w:tc>
      </w:tr>
      <w:tr w:rsidR="00034379" w14:paraId="7D2A3388" w14:textId="77777777" w:rsidTr="00210E34">
        <w:tc>
          <w:tcPr>
            <w:tcW w:w="1881" w:type="dxa"/>
          </w:tcPr>
          <w:p w14:paraId="3881F25F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789</w:t>
            </w:r>
          </w:p>
        </w:tc>
        <w:tc>
          <w:tcPr>
            <w:tcW w:w="1881" w:type="dxa"/>
          </w:tcPr>
          <w:p w14:paraId="6C3BF2DC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0.866</w:t>
            </w:r>
          </w:p>
        </w:tc>
        <w:tc>
          <w:tcPr>
            <w:tcW w:w="1881" w:type="dxa"/>
          </w:tcPr>
          <w:p w14:paraId="52E0E5A5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0.872</w:t>
            </w:r>
          </w:p>
        </w:tc>
        <w:tc>
          <w:tcPr>
            <w:tcW w:w="1881" w:type="dxa"/>
          </w:tcPr>
          <w:p w14:paraId="18D6D15F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0.795</w:t>
            </w:r>
          </w:p>
        </w:tc>
        <w:tc>
          <w:tcPr>
            <w:tcW w:w="1881" w:type="dxa"/>
          </w:tcPr>
          <w:p w14:paraId="042AE89B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0.771</w:t>
            </w:r>
          </w:p>
        </w:tc>
      </w:tr>
      <w:tr w:rsidR="00034379" w14:paraId="61A4143D" w14:textId="77777777" w:rsidTr="00210E34">
        <w:tc>
          <w:tcPr>
            <w:tcW w:w="1881" w:type="dxa"/>
          </w:tcPr>
          <w:p w14:paraId="5707F592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2024</w:t>
            </w:r>
          </w:p>
        </w:tc>
        <w:tc>
          <w:tcPr>
            <w:tcW w:w="1881" w:type="dxa"/>
          </w:tcPr>
          <w:p w14:paraId="6764C3F8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0.866</w:t>
            </w:r>
          </w:p>
        </w:tc>
        <w:tc>
          <w:tcPr>
            <w:tcW w:w="1881" w:type="dxa"/>
          </w:tcPr>
          <w:p w14:paraId="1FBEEA72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0.872</w:t>
            </w:r>
          </w:p>
        </w:tc>
        <w:tc>
          <w:tcPr>
            <w:tcW w:w="1881" w:type="dxa"/>
          </w:tcPr>
          <w:p w14:paraId="7A34D9B9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0.795</w:t>
            </w:r>
          </w:p>
        </w:tc>
        <w:tc>
          <w:tcPr>
            <w:tcW w:w="1881" w:type="dxa"/>
          </w:tcPr>
          <w:p w14:paraId="589184E4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0.771</w:t>
            </w:r>
          </w:p>
        </w:tc>
      </w:tr>
      <w:tr w:rsidR="00034379" w14:paraId="431F33E1" w14:textId="77777777" w:rsidTr="00210E34">
        <w:tc>
          <w:tcPr>
            <w:tcW w:w="1881" w:type="dxa"/>
          </w:tcPr>
          <w:p w14:paraId="6EA95A33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Range (max − min)</w:t>
            </w:r>
          </w:p>
        </w:tc>
        <w:tc>
          <w:tcPr>
            <w:tcW w:w="1881" w:type="dxa"/>
          </w:tcPr>
          <w:p w14:paraId="71F641E6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0.000</w:t>
            </w:r>
          </w:p>
        </w:tc>
        <w:tc>
          <w:tcPr>
            <w:tcW w:w="1881" w:type="dxa"/>
          </w:tcPr>
          <w:p w14:paraId="0F4AF9A3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0.000</w:t>
            </w:r>
          </w:p>
        </w:tc>
        <w:tc>
          <w:tcPr>
            <w:tcW w:w="1881" w:type="dxa"/>
          </w:tcPr>
          <w:p w14:paraId="4A57970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0.000</w:t>
            </w:r>
          </w:p>
        </w:tc>
        <w:tc>
          <w:tcPr>
            <w:tcW w:w="1881" w:type="dxa"/>
          </w:tcPr>
          <w:p w14:paraId="1D4A36A6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0.000</w:t>
            </w:r>
          </w:p>
        </w:tc>
      </w:tr>
    </w:tbl>
    <w:p w14:paraId="1F1613B6" w14:textId="77777777" w:rsidR="00034379" w:rsidRDefault="00034379" w:rsidP="00034379">
      <w:pPr>
        <w:spacing w:before="40" w:after="160" w:line="300" w:lineRule="auto"/>
      </w:pPr>
      <w:r>
        <w:rPr>
          <w:sz w:val="18"/>
        </w:rPr>
        <w:t>AUCs are from grouped nested 5×5 cross-validation with GroupKFold by patient. Across all five seeds the AUCs were identical (coefficient of variation = 0), and the LASSO-selected feature sets were unchanged for both outcomes. The reported performance was unchanged across all five seeds, confirming absence of sensitivity to random initialisation in feature selection or fold assignment.</w:t>
      </w:r>
    </w:p>
    <w:p w14:paraId="2CFEDFD8" w14:textId="77777777" w:rsidR="00034379" w:rsidRDefault="00034379" w:rsidP="00034379">
      <w:pPr>
        <w:spacing w:before="200" w:after="80" w:line="360" w:lineRule="auto"/>
      </w:pPr>
      <w:r>
        <w:rPr>
          <w:b/>
          <w:sz w:val="20"/>
        </w:rPr>
        <w:t>Supplementary Table S7. Temporal (year-based) split validation</w:t>
      </w:r>
    </w:p>
    <w:p w14:paraId="48DE3A2F" w14:textId="77777777" w:rsidR="00034379" w:rsidRDefault="00034379" w:rsidP="00034379">
      <w:pPr>
        <w:spacing w:after="40" w:line="300" w:lineRule="auto"/>
      </w:pPr>
      <w:r>
        <w:rPr>
          <w:sz w:val="18"/>
        </w:rPr>
        <w:t>The cohort was split by calendar period using the onset year extracted from the admission/onset date: training set 2020–2022 (n = 348) and test set 2023–2024 (n = 220). LASSO feature selection and logistic regression were fitted on the training period and evaluated on the held-out test period. Because the two haemorrhage episodes of a recurrent patient fall in the same calendar year, patient-level leakage is avoided by construction of the temporal split.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034379" w14:paraId="1D92E4BD" w14:textId="77777777" w:rsidTr="00210E34">
        <w:tc>
          <w:tcPr>
            <w:tcW w:w="3135" w:type="dxa"/>
            <w:tcBorders>
              <w:top w:val="single" w:sz="12" w:space="0" w:color="auto"/>
              <w:bottom w:val="single" w:sz="8" w:space="0" w:color="auto"/>
            </w:tcBorders>
          </w:tcPr>
          <w:p w14:paraId="106AF950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Model</w:t>
            </w:r>
          </w:p>
        </w:tc>
        <w:tc>
          <w:tcPr>
            <w:tcW w:w="3135" w:type="dxa"/>
            <w:tcBorders>
              <w:top w:val="single" w:sz="12" w:space="0" w:color="auto"/>
              <w:bottom w:val="single" w:sz="8" w:space="0" w:color="auto"/>
            </w:tcBorders>
          </w:tcPr>
          <w:p w14:paraId="72EB3C8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mRS &gt;2 test AUC (n_test = 220)</w:t>
            </w:r>
          </w:p>
        </w:tc>
        <w:tc>
          <w:tcPr>
            <w:tcW w:w="3135" w:type="dxa"/>
            <w:tcBorders>
              <w:top w:val="single" w:sz="12" w:space="0" w:color="auto"/>
              <w:bottom w:val="single" w:sz="8" w:space="0" w:color="auto"/>
            </w:tcBorders>
          </w:tcPr>
          <w:p w14:paraId="457E691A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b/>
                <w:sz w:val="20"/>
              </w:rPr>
              <w:t>Mortality test AUC (n_test = 220)</w:t>
            </w:r>
          </w:p>
        </w:tc>
      </w:tr>
      <w:tr w:rsidR="00034379" w14:paraId="0C7F1983" w14:textId="77777777" w:rsidTr="00210E34">
        <w:tc>
          <w:tcPr>
            <w:tcW w:w="3135" w:type="dxa"/>
            <w:tcBorders>
              <w:top w:val="single" w:sz="8" w:space="0" w:color="auto"/>
            </w:tcBorders>
          </w:tcPr>
          <w:p w14:paraId="275DD56B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Clinical-only</w:t>
            </w:r>
          </w:p>
        </w:tc>
        <w:tc>
          <w:tcPr>
            <w:tcW w:w="3135" w:type="dxa"/>
            <w:tcBorders>
              <w:top w:val="single" w:sz="8" w:space="0" w:color="auto"/>
            </w:tcBorders>
          </w:tcPr>
          <w:p w14:paraId="55D12A89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0.860</w:t>
            </w:r>
          </w:p>
        </w:tc>
        <w:tc>
          <w:tcPr>
            <w:tcW w:w="3135" w:type="dxa"/>
            <w:tcBorders>
              <w:top w:val="single" w:sz="8" w:space="0" w:color="auto"/>
            </w:tcBorders>
          </w:tcPr>
          <w:p w14:paraId="54599A3E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0.818</w:t>
            </w:r>
          </w:p>
        </w:tc>
      </w:tr>
      <w:tr w:rsidR="00034379" w14:paraId="3E986820" w14:textId="77777777" w:rsidTr="00210E34">
        <w:tc>
          <w:tcPr>
            <w:tcW w:w="3135" w:type="dxa"/>
          </w:tcPr>
          <w:p w14:paraId="03027A08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Radiomics-only</w:t>
            </w:r>
          </w:p>
        </w:tc>
        <w:tc>
          <w:tcPr>
            <w:tcW w:w="3135" w:type="dxa"/>
          </w:tcPr>
          <w:p w14:paraId="1110244E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0.554</w:t>
            </w:r>
          </w:p>
        </w:tc>
        <w:tc>
          <w:tcPr>
            <w:tcW w:w="3135" w:type="dxa"/>
          </w:tcPr>
          <w:p w14:paraId="334D7BF0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0.595</w:t>
            </w:r>
          </w:p>
        </w:tc>
      </w:tr>
      <w:tr w:rsidR="00034379" w14:paraId="00510673" w14:textId="77777777" w:rsidTr="00210E34">
        <w:tc>
          <w:tcPr>
            <w:tcW w:w="3135" w:type="dxa"/>
          </w:tcPr>
          <w:p w14:paraId="77DF6777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Clinical + radiomics</w:t>
            </w:r>
          </w:p>
        </w:tc>
        <w:tc>
          <w:tcPr>
            <w:tcW w:w="3135" w:type="dxa"/>
          </w:tcPr>
          <w:p w14:paraId="50914A3F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0.855</w:t>
            </w:r>
          </w:p>
        </w:tc>
        <w:tc>
          <w:tcPr>
            <w:tcW w:w="3135" w:type="dxa"/>
          </w:tcPr>
          <w:p w14:paraId="70DA4334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0.778</w:t>
            </w:r>
          </w:p>
        </w:tc>
      </w:tr>
      <w:tr w:rsidR="00034379" w14:paraId="1132E4C9" w14:textId="77777777" w:rsidTr="00210E34">
        <w:tc>
          <w:tcPr>
            <w:tcW w:w="3135" w:type="dxa"/>
          </w:tcPr>
          <w:p w14:paraId="3F711443" w14:textId="77777777" w:rsidR="00034379" w:rsidRDefault="00034379" w:rsidP="00210E34">
            <w:pPr>
              <w:spacing w:before="20" w:after="20" w:line="276" w:lineRule="auto"/>
            </w:pPr>
            <w:r>
              <w:rPr>
                <w:rFonts w:eastAsia="SimSun"/>
                <w:sz w:val="20"/>
              </w:rPr>
              <w:t>Demographics + radiomics</w:t>
            </w:r>
          </w:p>
        </w:tc>
        <w:tc>
          <w:tcPr>
            <w:tcW w:w="3135" w:type="dxa"/>
          </w:tcPr>
          <w:p w14:paraId="702327CE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0.551</w:t>
            </w:r>
          </w:p>
        </w:tc>
        <w:tc>
          <w:tcPr>
            <w:tcW w:w="3135" w:type="dxa"/>
          </w:tcPr>
          <w:p w14:paraId="0FBAED6B" w14:textId="77777777" w:rsidR="00034379" w:rsidRDefault="00034379" w:rsidP="00210E34">
            <w:pPr>
              <w:spacing w:before="20" w:after="20" w:line="276" w:lineRule="auto"/>
              <w:jc w:val="center"/>
            </w:pPr>
            <w:r>
              <w:rPr>
                <w:rFonts w:eastAsia="SimSun"/>
                <w:sz w:val="20"/>
              </w:rPr>
              <w:t>0.639</w:t>
            </w:r>
          </w:p>
        </w:tc>
      </w:tr>
    </w:tbl>
    <w:p w14:paraId="687FAE5C" w14:textId="77777777" w:rsidR="00034379" w:rsidRDefault="00034379" w:rsidP="00034379">
      <w:pPr>
        <w:spacing w:before="40" w:after="160" w:line="300" w:lineRule="auto"/>
      </w:pPr>
      <w:r>
        <w:rPr>
          <w:sz w:val="18"/>
        </w:rPr>
        <w:t>The temporal test AUCs were within 0.01 of the grouped nested-CV estimates (clinical-only 0.866/0.795; combined 0.872/0.771). The combined model's mortality test AUC (0.778) remained below the clinical-only model (0.818), consistent with the primary analysis.</w:t>
      </w:r>
    </w:p>
    <w:p w14:paraId="0550FA3C" w14:textId="77777777" w:rsidR="00034379" w:rsidRDefault="00034379" w:rsidP="00034379">
      <w:pPr>
        <w:spacing w:before="200" w:after="80" w:line="360" w:lineRule="auto"/>
      </w:pPr>
      <w:r>
        <w:rPr>
          <w:b/>
          <w:sz w:val="20"/>
        </w:rPr>
        <w:t>Supplementary Figure S1. Restricted cubic spline plots</w:t>
      </w:r>
    </w:p>
    <w:p w14:paraId="0E9C781D" w14:textId="77777777" w:rsidR="00034379" w:rsidRDefault="00034379" w:rsidP="00034379">
      <w:pPr>
        <w:jc w:val="center"/>
      </w:pPr>
      <w:r>
        <w:rPr>
          <w:noProof/>
        </w:rPr>
        <w:lastRenderedPageBreak/>
        <w:drawing>
          <wp:inline distT="0" distB="0" distL="0" distR="0" wp14:anchorId="099264D2" wp14:editId="50326FA8">
            <wp:extent cx="5760000" cy="336174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_RCS_Nonlinearity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36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89960" w14:textId="77777777" w:rsidR="00034379" w:rsidRDefault="00034379" w:rsidP="00034379">
      <w:pPr>
        <w:spacing w:after="160" w:line="360" w:lineRule="auto"/>
      </w:pPr>
      <w:r>
        <w:rPr>
          <w:sz w:val="20"/>
        </w:rPr>
        <w:t>Restricted cubic spline analysis of dose–response relationships between six continuous clinical predictors (age, NIHSS, haematoma volume, white blood cell count, haemoglobin, albumin) and 90-day mRS &gt;2. Splines were fitted with four knots at the 5th, 35th, 65th, and 95th percentiles, adjusted for all other continuous predictors. Solid lines indicate point estimates; shaded areas indicate 95% confidence intervals. GCS was excluded from RCS analysis because 78% of values concentrated at the ceiling (GCS 15), preventing unique knot placement. All associations were approximately linear (|ΔAUC| &lt; 0.04 for each predictor).</w:t>
      </w:r>
    </w:p>
    <w:p w14:paraId="7BE0AB1F" w14:textId="77777777" w:rsidR="00034379" w:rsidRDefault="00034379" w:rsidP="00034379">
      <w:pPr>
        <w:spacing w:before="200" w:after="80" w:line="360" w:lineRule="auto"/>
      </w:pPr>
      <w:r>
        <w:rPr>
          <w:b/>
          <w:sz w:val="20"/>
        </w:rPr>
        <w:t>Supplementary Figure S2. Temporal validation ROC curves</w:t>
      </w:r>
    </w:p>
    <w:p w14:paraId="7511CDC1" w14:textId="77777777" w:rsidR="00034379" w:rsidRDefault="00034379" w:rsidP="00034379">
      <w:pPr>
        <w:jc w:val="center"/>
      </w:pPr>
      <w:r>
        <w:rPr>
          <w:noProof/>
        </w:rPr>
        <w:lastRenderedPageBreak/>
        <w:drawing>
          <wp:inline distT="0" distB="0" distL="0" distR="0" wp14:anchorId="39F24FAE" wp14:editId="1FE7A346">
            <wp:extent cx="5760000" cy="5760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2_Temporal_Validation_ROC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F4AF1" w14:textId="77777777" w:rsidR="00034379" w:rsidRDefault="00034379" w:rsidP="00034379">
      <w:pPr>
        <w:spacing w:after="160" w:line="360" w:lineRule="auto"/>
      </w:pPr>
      <w:r>
        <w:rPr>
          <w:sz w:val="20"/>
        </w:rPr>
        <w:t>Receiver operating characteristic curves for the clinical-only, radiomics-only, clinical + radiomics, and demographics + radiomics models, evaluated on the temporal test set (2023–2024, n = 220) after training on 2020–2022 data. The clinical-only model yielded AUCs of 0.860 (mRS) and 0.818 (mortality); the combined model yielded 0.855 (mRS) and 0.778 (mortality). The diagonal dashed line indicates chance-level discrimination (AUC = 0.5).</w:t>
      </w:r>
    </w:p>
    <w:p w14:paraId="30BAD3B2" w14:textId="77777777" w:rsidR="00E023F9" w:rsidRDefault="00E023F9"/>
    <w:sectPr w:rsidR="00E023F9" w:rsidSect="00034379">
      <w:footerReference w:type="default" r:id="rId6"/>
      <w:pgSz w:w="12240" w:h="15840"/>
      <w:pgMar w:top="1417" w:right="1417" w:bottom="1417" w:left="1417" w:header="720" w:footer="720" w:gutter="0"/>
      <w:lnNumType w:countBy="1" w:start="1" w:distance="720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35DA" w14:textId="77777777" w:rsidR="00034379" w:rsidRDefault="00034379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79"/>
    <w:rsid w:val="00034379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B3882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0059B"/>
  <w15:chartTrackingRefBased/>
  <w15:docId w15:val="{858993EC-E599-4C8B-8217-79CDA0C5F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379"/>
    <w:pPr>
      <w:spacing w:after="200" w:line="480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43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3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3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3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3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37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37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37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37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4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3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4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379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4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379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4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37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34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79"/>
    <w:rPr>
      <w:rFonts w:ascii="Times New Roman" w:eastAsia="Times New Roman" w:hAnsi="Times New Roman"/>
      <w:kern w:val="0"/>
      <w:szCs w:val="22"/>
      <w:lang w:val="en-US"/>
      <w14:ligatures w14:val="none"/>
    </w:rPr>
  </w:style>
  <w:style w:type="table" w:styleId="TableGrid">
    <w:name w:val="Table Grid"/>
    <w:basedOn w:val="TableNormal"/>
    <w:uiPriority w:val="59"/>
    <w:rsid w:val="00034379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34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1184</Words>
  <Characters>6754</Characters>
  <Application>Microsoft Office Word</Application>
  <DocSecurity>0</DocSecurity>
  <Lines>56</Lines>
  <Paragraphs>15</Paragraphs>
  <ScaleCrop>false</ScaleCrop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2026-08-14T09:46:00Z</dcterms:created>
  <dcterms:modified xsi:type="dcterms:W3CDTF">2026-08-14T09:46:00Z</dcterms:modified>
</cp:coreProperties>
</file>