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B6373"/>
          <w:sz w:val="40"/>
        </w:rPr>
        <w:t>FQM v59 - Relatório de Validação Astrofísica</w:t>
      </w:r>
    </w:p>
    <w:p>
      <w:pPr>
        <w:jc w:val="center"/>
      </w:pPr>
      <w:r>
        <w:rPr>
          <w:i/>
          <w:sz w:val="26"/>
        </w:rPr>
        <w:t>Cálculos, correções dimensionais, resultados e protocolo de falsificação</w:t>
      </w:r>
    </w:p>
    <w:p>
      <w:pPr>
        <w:pStyle w:val="Heading1"/>
      </w:pPr>
      <w:r>
        <w:t>Resultado executivo</w:t>
      </w:r>
    </w:p>
    <w:p>
      <w:r>
        <w:t>A escala global ajustada é A=0.07984651 UA/F_n. O RMSE relativo do encaixe é 10.09% (contra 11.32% com âncora terrestre). O nó n=11 fica em 7.106 UA. Júpiter responde por 87.53% da energia efetiva total do ansatz, mas isso não demonstra causalidade histórica.</w:t>
      </w:r>
    </w:p>
    <w:p>
      <w:pPr>
        <w:pStyle w:val="Heading1"/>
      </w:pPr>
      <w:r>
        <w:t>Fórmulas corrigidas</w:t>
      </w:r>
    </w:p>
    <w:p>
      <w:pPr>
        <w:jc w:val="center"/>
      </w:pPr>
      <w:r>
        <w:rPr>
          <w:rFonts w:ascii="Cambria Math" w:hAnsi="Cambria Math"/>
          <w:sz w:val="22"/>
        </w:rPr>
        <w:t>k_r = GM_*m/r^3</w:t>
      </w:r>
    </w:p>
    <w:p>
      <w:pPr>
        <w:jc w:val="center"/>
      </w:pPr>
      <w:r>
        <w:rPr>
          <w:rFonts w:ascii="Cambria Math" w:hAnsi="Cambria Math"/>
          <w:sz w:val="22"/>
        </w:rPr>
        <w:t>kappa_epsilon = r^2 k_r = GM_*m/r = m v_c^2</w:t>
      </w:r>
    </w:p>
    <w:p>
      <w:pPr>
        <w:jc w:val="center"/>
      </w:pPr>
      <w:r>
        <w:rPr>
          <w:rFonts w:ascii="Cambria Math" w:hAnsi="Cambria Math"/>
          <w:sz w:val="22"/>
        </w:rPr>
        <w:t>epsilon=(r-r*)/r*</w:t>
      </w:r>
    </w:p>
    <w:p>
      <w:pPr>
        <w:jc w:val="center"/>
      </w:pPr>
      <w:r>
        <w:rPr>
          <w:rFonts w:ascii="Cambria Math" w:hAnsi="Cambria Math"/>
          <w:sz w:val="22"/>
        </w:rPr>
        <w:t>E=(1/2)kappa_epsilon epsilon^2</w:t>
      </w:r>
    </w:p>
    <w:p>
      <w:pPr>
        <w:jc w:val="center"/>
      </w:pPr>
      <w:r>
        <w:rPr>
          <w:rFonts w:ascii="Cambria Math" w:hAnsi="Cambria Math"/>
          <w:sz w:val="22"/>
        </w:rPr>
        <w:t>Gamma_n=(kappa_(n+1)/kappa_n) Phi^-2/R_n^2</w:t>
      </w:r>
    </w:p>
    <w:p>
      <w:pPr>
        <w:pStyle w:val="Heading1"/>
      </w:pPr>
      <w:r>
        <w:t>Conclusão</w:t>
      </w:r>
    </w:p>
    <w:p>
      <w:r>
        <w:t>O modelo tornou-se dimensionalmente consistente e testável. O resultado não é uma demonstração de quantização orbital: a qualidade do ajuste, a seleção de índices e a ausência do nó n=11 exigem validação estatística e dinâmica independente.</w:t>
      </w:r>
    </w:p>
    <w:p>
      <w:r>
        <w:drawing>
          <wp:inline xmlns:a="http://schemas.openxmlformats.org/drawingml/2006/main" xmlns:pic="http://schemas.openxmlformats.org/drawingml/2006/picture">
            <wp:extent cx="5852160" cy="35763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orbital_node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5763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852160" cy="35763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ffective_energy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57632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008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