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CD01B" w14:textId="77777777" w:rsidR="00B237D7" w:rsidRPr="00E378A1" w:rsidRDefault="00B237D7" w:rsidP="00B237D7">
      <w:pPr>
        <w:spacing w:after="0" w:line="480" w:lineRule="auto"/>
        <w:jc w:val="both"/>
        <w:rPr>
          <w:rFonts w:ascii="Arial" w:hAnsi="Arial" w:cs="Arial"/>
          <w:sz w:val="21"/>
          <w:szCs w:val="21"/>
        </w:rPr>
      </w:pPr>
      <w:r w:rsidRPr="00E378A1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735A4172" wp14:editId="688D9F5C">
            <wp:extent cx="5731510" cy="3886200"/>
            <wp:effectExtent l="0" t="0" r="0" b="0"/>
            <wp:docPr id="21310288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028868" name="Picture 21310288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853C8" w14:textId="77777777" w:rsidR="00B237D7" w:rsidRPr="00E378A1" w:rsidRDefault="00B237D7" w:rsidP="00B237D7">
      <w:pPr>
        <w:spacing w:after="0" w:line="480" w:lineRule="auto"/>
        <w:jc w:val="both"/>
        <w:rPr>
          <w:rFonts w:ascii="Arial" w:hAnsi="Arial" w:cs="Arial"/>
          <w:sz w:val="16"/>
          <w:szCs w:val="16"/>
        </w:rPr>
      </w:pPr>
      <w:r w:rsidRPr="00E378A1">
        <w:rPr>
          <w:rFonts w:ascii="Arial" w:hAnsi="Arial" w:cs="Arial"/>
          <w:b/>
          <w:sz w:val="16"/>
          <w:szCs w:val="16"/>
        </w:rPr>
        <w:t>Supplementary Figure 1: Representative example of the VVC-on-chip 3D reconstructions.</w:t>
      </w:r>
      <w:r w:rsidRPr="00E378A1">
        <w:rPr>
          <w:rFonts w:ascii="Arial" w:hAnsi="Arial" w:cs="Arial"/>
          <w:sz w:val="16"/>
          <w:szCs w:val="16"/>
        </w:rPr>
        <w:t xml:space="preserve"> </w:t>
      </w:r>
      <w:r w:rsidRPr="00E378A1">
        <w:rPr>
          <w:rFonts w:ascii="Arial" w:hAnsi="Arial" w:cs="Arial"/>
          <w:b/>
          <w:sz w:val="16"/>
          <w:szCs w:val="16"/>
        </w:rPr>
        <w:t>(left)</w:t>
      </w:r>
      <w:r w:rsidRPr="00E378A1">
        <w:rPr>
          <w:rFonts w:ascii="Arial" w:hAnsi="Arial" w:cs="Arial"/>
          <w:sz w:val="16"/>
          <w:szCs w:val="16"/>
        </w:rPr>
        <w:t xml:space="preserve"> Single-channel image layers from a three-dimensional confocal microscopy Z-stack recorded from a </w:t>
      </w:r>
      <w:r w:rsidRPr="00E378A1">
        <w:rPr>
          <w:rFonts w:ascii="Arial" w:hAnsi="Arial" w:cs="Arial"/>
          <w:i/>
          <w:sz w:val="16"/>
          <w:szCs w:val="16"/>
        </w:rPr>
        <w:t>C. albicans</w:t>
      </w:r>
      <w:r w:rsidRPr="00E378A1">
        <w:rPr>
          <w:rFonts w:ascii="Arial" w:hAnsi="Arial" w:cs="Arial"/>
          <w:sz w:val="16"/>
          <w:szCs w:val="16"/>
        </w:rPr>
        <w:t>-infected chip. From bottom to top: membrane pores (grey), DAPI-stained nuclei (cyan), Phalloidin-stained actin (green), anti-</w:t>
      </w:r>
      <w:r w:rsidRPr="00E378A1">
        <w:rPr>
          <w:rFonts w:ascii="Arial" w:hAnsi="Arial" w:cs="Arial"/>
          <w:i/>
          <w:sz w:val="16"/>
          <w:szCs w:val="16"/>
        </w:rPr>
        <w:t>Candida</w:t>
      </w:r>
      <w:r w:rsidRPr="00E378A1">
        <w:rPr>
          <w:rFonts w:ascii="Arial" w:hAnsi="Arial" w:cs="Arial"/>
          <w:sz w:val="16"/>
          <w:szCs w:val="16"/>
        </w:rPr>
        <w:t xml:space="preserve">-stained fungal hyphae (magenta), anti-CD15-stained neutrophils (orange), neutrophil-bounded fungal hyphae (overlay of orange and magenta). </w:t>
      </w:r>
      <w:r w:rsidRPr="00E378A1">
        <w:rPr>
          <w:rFonts w:ascii="Arial" w:hAnsi="Arial" w:cs="Arial"/>
          <w:b/>
          <w:sz w:val="16"/>
          <w:szCs w:val="16"/>
        </w:rPr>
        <w:t>(right)</w:t>
      </w:r>
      <w:r w:rsidRPr="00E378A1">
        <w:rPr>
          <w:rFonts w:ascii="Arial" w:hAnsi="Arial" w:cs="Arial"/>
          <w:sz w:val="16"/>
          <w:szCs w:val="16"/>
        </w:rPr>
        <w:t xml:space="preserve"> The corresponding 3D surface reconstructions of the left panel provided by Imaris 11.0.1. From bottom to top: membrane pores (random colours), nuclei (cyan), actin (green), fungal hyphae (magenta), neutrophils (random colours), neutrophil-bounded fungal hyphae (overlay of magenta and random colours). See the Methods for segmentation details.  </w:t>
      </w:r>
    </w:p>
    <w:p w14:paraId="269C7E32" w14:textId="77777777" w:rsidR="00B237D7" w:rsidRPr="00E378A1" w:rsidRDefault="00B237D7" w:rsidP="00B237D7">
      <w:pPr>
        <w:spacing w:after="0" w:line="48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25B00BC7" wp14:editId="6DC09CF8">
            <wp:extent cx="4057745" cy="1556084"/>
            <wp:effectExtent l="0" t="0" r="0" b="6350"/>
            <wp:docPr id="18294323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32341" name="Picture 182943234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76" t="19407" r="12114" b="32318"/>
                    <a:stretch/>
                  </pic:blipFill>
                  <pic:spPr bwMode="auto">
                    <a:xfrm>
                      <a:off x="0" y="0"/>
                      <a:ext cx="4058476" cy="1556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20726" w14:textId="77777777" w:rsidR="00B237D7" w:rsidRPr="00E378A1" w:rsidRDefault="00B237D7" w:rsidP="00B237D7">
      <w:pPr>
        <w:spacing w:after="0" w:line="480" w:lineRule="auto"/>
        <w:jc w:val="both"/>
        <w:rPr>
          <w:rFonts w:ascii="Arial" w:hAnsi="Arial" w:cs="Arial"/>
          <w:sz w:val="16"/>
          <w:szCs w:val="16"/>
        </w:rPr>
      </w:pPr>
      <w:r w:rsidRPr="00E378A1">
        <w:rPr>
          <w:rFonts w:ascii="Arial" w:hAnsi="Arial" w:cs="Arial"/>
          <w:b/>
          <w:sz w:val="16"/>
          <w:szCs w:val="16"/>
        </w:rPr>
        <w:t xml:space="preserve">Supplementary Figure 2: Magnified view of the representative images in Figure 2d showing morphological changes in the epithelial actin-cytoskeleton organization upon CA3153 infection. (left) </w:t>
      </w:r>
      <w:r w:rsidRPr="00E378A1">
        <w:rPr>
          <w:rFonts w:ascii="Arial" w:hAnsi="Arial" w:cs="Arial"/>
          <w:sz w:val="16"/>
          <w:szCs w:val="16"/>
        </w:rPr>
        <w:t xml:space="preserve">Uninfected. </w:t>
      </w:r>
      <w:r w:rsidRPr="00E378A1">
        <w:rPr>
          <w:rFonts w:ascii="Arial" w:hAnsi="Arial" w:cs="Arial"/>
          <w:b/>
          <w:sz w:val="16"/>
          <w:szCs w:val="16"/>
        </w:rPr>
        <w:t xml:space="preserve">(middle) </w:t>
      </w:r>
      <w:r w:rsidRPr="00E378A1">
        <w:rPr>
          <w:rFonts w:ascii="Arial" w:hAnsi="Arial" w:cs="Arial"/>
          <w:sz w:val="16"/>
          <w:szCs w:val="16"/>
        </w:rPr>
        <w:t xml:space="preserve">Epithelial actin-cytoskeleton disorganization in an infected chip. </w:t>
      </w:r>
      <w:r w:rsidRPr="00E378A1">
        <w:rPr>
          <w:rFonts w:ascii="Arial" w:hAnsi="Arial" w:cs="Arial"/>
          <w:b/>
          <w:sz w:val="16"/>
          <w:szCs w:val="16"/>
        </w:rPr>
        <w:t xml:space="preserve">(right) </w:t>
      </w:r>
      <w:r w:rsidRPr="00E378A1">
        <w:rPr>
          <w:rFonts w:ascii="Arial" w:hAnsi="Arial" w:cs="Arial"/>
          <w:sz w:val="16"/>
          <w:szCs w:val="16"/>
        </w:rPr>
        <w:t xml:space="preserve">Actin cuff formation in an infected chip (white arrowheads). Middle and right images are the </w:t>
      </w:r>
      <w:r w:rsidRPr="00E378A1">
        <w:rPr>
          <w:rFonts w:ascii="Arial" w:hAnsi="Arial" w:cs="Arial"/>
          <w:sz w:val="16"/>
          <w:szCs w:val="16"/>
        </w:rPr>
        <w:lastRenderedPageBreak/>
        <w:t xml:space="preserve">magnified views of different regions in the same image. F-actin is stained with phalloidin (green) and </w:t>
      </w:r>
      <w:r w:rsidRPr="00E378A1">
        <w:rPr>
          <w:rFonts w:ascii="Arial" w:hAnsi="Arial" w:cs="Arial"/>
          <w:i/>
          <w:iCs/>
          <w:sz w:val="16"/>
          <w:szCs w:val="16"/>
        </w:rPr>
        <w:t>C. albicans</w:t>
      </w:r>
      <w:r w:rsidRPr="00E378A1">
        <w:rPr>
          <w:rFonts w:ascii="Arial" w:hAnsi="Arial" w:cs="Arial"/>
          <w:sz w:val="16"/>
          <w:szCs w:val="16"/>
        </w:rPr>
        <w:t xml:space="preserve"> is stained with anti-</w:t>
      </w:r>
      <w:r w:rsidRPr="00E378A1">
        <w:rPr>
          <w:rFonts w:ascii="Arial" w:hAnsi="Arial" w:cs="Arial"/>
          <w:i/>
          <w:sz w:val="16"/>
          <w:szCs w:val="16"/>
        </w:rPr>
        <w:t>Candida</w:t>
      </w:r>
      <w:r w:rsidRPr="00E378A1">
        <w:rPr>
          <w:rFonts w:ascii="Arial" w:hAnsi="Arial" w:cs="Arial"/>
          <w:sz w:val="16"/>
          <w:szCs w:val="16"/>
        </w:rPr>
        <w:t xml:space="preserve"> antibody (magenta). Magnification 20×. Scale bars represent 20 μm.</w:t>
      </w:r>
    </w:p>
    <w:p w14:paraId="4EF9257B" w14:textId="77777777" w:rsidR="00B237D7" w:rsidRPr="00E378A1" w:rsidRDefault="00B237D7" w:rsidP="00B237D7">
      <w:pPr>
        <w:spacing w:after="0" w:line="48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1152C178" wp14:editId="2ED4D74F">
            <wp:simplePos x="0" y="0"/>
            <wp:positionH relativeFrom="margin">
              <wp:align>center</wp:align>
            </wp:positionH>
            <wp:positionV relativeFrom="paragraph">
              <wp:posOffset>230505</wp:posOffset>
            </wp:positionV>
            <wp:extent cx="2691888" cy="164592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888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FB002" w14:textId="77777777" w:rsidR="00B237D7" w:rsidRPr="00E378A1" w:rsidRDefault="00B237D7" w:rsidP="00B237D7">
      <w:pPr>
        <w:spacing w:after="0" w:line="480" w:lineRule="auto"/>
        <w:jc w:val="both"/>
        <w:rPr>
          <w:rFonts w:ascii="Arial" w:hAnsi="Arial" w:cs="Arial"/>
          <w:sz w:val="16"/>
          <w:szCs w:val="16"/>
        </w:rPr>
      </w:pPr>
      <w:r w:rsidRPr="00E378A1">
        <w:rPr>
          <w:rFonts w:ascii="Arial" w:hAnsi="Arial" w:cs="Arial"/>
          <w:b/>
          <w:sz w:val="16"/>
          <w:szCs w:val="16"/>
        </w:rPr>
        <w:t>Supplementary Figure 3: Comparison between reference strain SC5314 and vaginal isolate CA3153.</w:t>
      </w:r>
      <w:r w:rsidRPr="00E378A1">
        <w:rPr>
          <w:rFonts w:ascii="Arial" w:hAnsi="Arial" w:cs="Arial"/>
          <w:sz w:val="16"/>
          <w:szCs w:val="16"/>
        </w:rPr>
        <w:t xml:space="preserve"> </w:t>
      </w:r>
      <w:r w:rsidRPr="00E378A1">
        <w:rPr>
          <w:rFonts w:ascii="Arial" w:hAnsi="Arial" w:cs="Arial"/>
          <w:b/>
          <w:sz w:val="16"/>
          <w:szCs w:val="16"/>
        </w:rPr>
        <w:t>(a)</w:t>
      </w:r>
      <w:r w:rsidRPr="00E378A1">
        <w:rPr>
          <w:rFonts w:ascii="Arial" w:hAnsi="Arial" w:cs="Arial"/>
          <w:sz w:val="16"/>
          <w:szCs w:val="16"/>
        </w:rPr>
        <w:t xml:space="preserve"> Epithelial fungal burden from SC5314 and CA3153 measured by quantifying colony-forming units (CFU; </w:t>
      </w:r>
      <w:r w:rsidRPr="00E378A1">
        <w:rPr>
          <w:rFonts w:ascii="Arial" w:hAnsi="Arial" w:cs="Arial"/>
          <w:i/>
          <w:sz w:val="16"/>
          <w:szCs w:val="16"/>
        </w:rPr>
        <w:t>n</w:t>
      </w:r>
      <w:r w:rsidRPr="00E378A1">
        <w:rPr>
          <w:rFonts w:ascii="Arial" w:hAnsi="Arial" w:cs="Arial"/>
          <w:sz w:val="16"/>
          <w:szCs w:val="16"/>
        </w:rPr>
        <w:t xml:space="preserve"> = 6). </w:t>
      </w:r>
      <w:r w:rsidRPr="00E378A1">
        <w:rPr>
          <w:rFonts w:ascii="Arial" w:hAnsi="Arial" w:cs="Arial"/>
          <w:b/>
          <w:sz w:val="16"/>
          <w:szCs w:val="16"/>
        </w:rPr>
        <w:t>(b)</w:t>
      </w:r>
      <w:r w:rsidRPr="00E378A1">
        <w:rPr>
          <w:rFonts w:ascii="Arial" w:hAnsi="Arial" w:cs="Arial"/>
          <w:sz w:val="16"/>
          <w:szCs w:val="16"/>
        </w:rPr>
        <w:t xml:space="preserve"> Epithelial fungal burden in epithelial lysate from SC5314 and CA3153 measured by quantifying CFU (</w:t>
      </w:r>
      <w:r w:rsidRPr="00E378A1">
        <w:rPr>
          <w:rFonts w:ascii="Arial" w:hAnsi="Arial" w:cs="Arial"/>
          <w:i/>
          <w:sz w:val="16"/>
          <w:szCs w:val="16"/>
        </w:rPr>
        <w:t>n</w:t>
      </w:r>
      <w:r w:rsidRPr="00E378A1">
        <w:rPr>
          <w:rFonts w:ascii="Arial" w:hAnsi="Arial" w:cs="Arial"/>
          <w:sz w:val="16"/>
          <w:szCs w:val="16"/>
        </w:rPr>
        <w:t xml:space="preserve"> = 4). The symbols represent the data from each independent experiment, bars represent the mean + standard error of the mean (SEM), and the numbers represent the </w:t>
      </w:r>
      <w:r w:rsidRPr="00E378A1">
        <w:rPr>
          <w:rFonts w:ascii="Arial" w:hAnsi="Arial" w:cs="Arial"/>
          <w:i/>
          <w:sz w:val="16"/>
          <w:szCs w:val="16"/>
        </w:rPr>
        <w:t>P</w:t>
      </w:r>
      <w:r w:rsidRPr="00E378A1">
        <w:rPr>
          <w:rFonts w:ascii="Arial" w:hAnsi="Arial" w:cs="Arial"/>
          <w:sz w:val="16"/>
          <w:szCs w:val="16"/>
        </w:rPr>
        <w:t>-values obtained in each statistical test. Statistical significance was determined using paired t-test (a-b).</w:t>
      </w:r>
    </w:p>
    <w:p w14:paraId="71884861" w14:textId="77777777" w:rsidR="00B237D7" w:rsidRPr="00E378A1" w:rsidRDefault="00B237D7" w:rsidP="00B237D7">
      <w:pPr>
        <w:spacing w:after="0" w:line="480" w:lineRule="auto"/>
        <w:jc w:val="center"/>
        <w:rPr>
          <w:rFonts w:ascii="Arial" w:hAnsi="Arial" w:cs="Arial"/>
          <w:sz w:val="21"/>
          <w:szCs w:val="21"/>
        </w:rPr>
      </w:pPr>
      <w:r w:rsidRPr="00E378A1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017DC652" wp14:editId="512DDE00">
            <wp:extent cx="4257675" cy="2739591"/>
            <wp:effectExtent l="0" t="0" r="0" b="3810"/>
            <wp:docPr id="16339229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22974" name="Picture 163392297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69" t="13303" r="30433" b="41057"/>
                    <a:stretch/>
                  </pic:blipFill>
                  <pic:spPr bwMode="auto">
                    <a:xfrm>
                      <a:off x="0" y="0"/>
                      <a:ext cx="4275400" cy="2750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4DA348" w14:textId="77777777" w:rsidR="00B237D7" w:rsidRPr="00E378A1" w:rsidRDefault="00B237D7" w:rsidP="00B237D7">
      <w:pPr>
        <w:spacing w:after="0" w:line="480" w:lineRule="auto"/>
        <w:jc w:val="both"/>
        <w:rPr>
          <w:rFonts w:ascii="Arial" w:hAnsi="Arial" w:cs="Arial"/>
          <w:sz w:val="16"/>
          <w:szCs w:val="16"/>
        </w:rPr>
      </w:pPr>
      <w:r w:rsidRPr="00E378A1">
        <w:rPr>
          <w:rFonts w:ascii="Arial" w:hAnsi="Arial" w:cs="Arial"/>
          <w:b/>
          <w:sz w:val="16"/>
          <w:szCs w:val="16"/>
        </w:rPr>
        <w:t xml:space="preserve">Supplementary Figure 4: Representative confocal microscopy of infected chips perfused without and with neutrophils. </w:t>
      </w:r>
      <w:r w:rsidRPr="00E378A1">
        <w:rPr>
          <w:rFonts w:ascii="Arial" w:hAnsi="Arial" w:cs="Arial"/>
          <w:sz w:val="16"/>
          <w:szCs w:val="16"/>
        </w:rPr>
        <w:t xml:space="preserve">Nuclei are stained with DAPI (blue), F-actin is stained with phalloidin (green), human neutrophils are stained using anti-CD15 (orange), and </w:t>
      </w:r>
      <w:r w:rsidRPr="00E378A1">
        <w:rPr>
          <w:rFonts w:ascii="Arial" w:hAnsi="Arial" w:cs="Arial"/>
          <w:i/>
          <w:sz w:val="16"/>
          <w:szCs w:val="16"/>
        </w:rPr>
        <w:t>C. albicans</w:t>
      </w:r>
      <w:r w:rsidRPr="00E378A1">
        <w:rPr>
          <w:rFonts w:ascii="Arial" w:hAnsi="Arial" w:cs="Arial"/>
          <w:sz w:val="16"/>
          <w:szCs w:val="16"/>
        </w:rPr>
        <w:t xml:space="preserve"> is stained with an anti-</w:t>
      </w:r>
      <w:r w:rsidRPr="00E378A1">
        <w:rPr>
          <w:rFonts w:ascii="Arial" w:hAnsi="Arial" w:cs="Arial"/>
          <w:i/>
          <w:sz w:val="16"/>
          <w:szCs w:val="16"/>
        </w:rPr>
        <w:t>Candida</w:t>
      </w:r>
      <w:r w:rsidRPr="00E378A1">
        <w:rPr>
          <w:rFonts w:ascii="Arial" w:hAnsi="Arial" w:cs="Arial"/>
          <w:sz w:val="16"/>
          <w:szCs w:val="16"/>
        </w:rPr>
        <w:t xml:space="preserve"> antibody (magenta). Magnification 20×. Scale bars represent 100 μm.</w:t>
      </w:r>
    </w:p>
    <w:p w14:paraId="5CE2ED6E" w14:textId="1EB11507" w:rsidR="008B07A6" w:rsidRPr="00B237D7" w:rsidRDefault="00B237D7" w:rsidP="00B237D7">
      <w:pPr>
        <w:spacing w:after="0" w:line="48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16"/>
          <w:szCs w:val="16"/>
        </w:rPr>
        <w:lastRenderedPageBreak/>
        <w:drawing>
          <wp:anchor distT="0" distB="0" distL="114300" distR="114300" simplePos="0" relativeHeight="251661312" behindDoc="0" locked="0" layoutInCell="1" allowOverlap="1" wp14:anchorId="3B97EDB5" wp14:editId="4E870255">
            <wp:simplePos x="0" y="0"/>
            <wp:positionH relativeFrom="margin">
              <wp:align>center</wp:align>
            </wp:positionH>
            <wp:positionV relativeFrom="paragraph">
              <wp:posOffset>610</wp:posOffset>
            </wp:positionV>
            <wp:extent cx="1607451" cy="164592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451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78A1">
        <w:rPr>
          <w:rFonts w:ascii="Arial" w:hAnsi="Arial" w:cs="Arial"/>
          <w:b/>
          <w:sz w:val="16"/>
          <w:szCs w:val="16"/>
        </w:rPr>
        <w:t>Supplementary Figure 5: Number of neutrophils occupying membrane pores.</w:t>
      </w:r>
      <w:r w:rsidRPr="00E378A1">
        <w:rPr>
          <w:rFonts w:ascii="Arial" w:hAnsi="Arial" w:cs="Arial"/>
          <w:sz w:val="16"/>
          <w:szCs w:val="16"/>
        </w:rPr>
        <w:t xml:space="preserve"> Average number of neutrophils that occupy the membrane pores were estimated from the distance from the reconstructed membrane pores. A distance of 8 </w:t>
      </w:r>
      <w:r w:rsidRPr="00E378A1">
        <w:rPr>
          <w:rFonts w:ascii="Arial" w:hAnsi="Arial" w:cs="Arial"/>
          <w:iCs/>
          <w:sz w:val="16"/>
          <w:szCs w:val="16"/>
        </w:rPr>
        <w:t>µm</w:t>
      </w:r>
      <w:r w:rsidRPr="00E378A1">
        <w:rPr>
          <w:rFonts w:ascii="Arial" w:hAnsi="Arial" w:cs="Arial"/>
          <w:sz w:val="16"/>
          <w:szCs w:val="16"/>
        </w:rPr>
        <w:t xml:space="preserve">, which corresponds to the thickness of the membrane, was used as a threshold to identify in-pore neutrophils. </w:t>
      </w:r>
      <w:r w:rsidRPr="00E378A1">
        <w:rPr>
          <w:rFonts w:ascii="Arial" w:hAnsi="Arial" w:cs="Arial"/>
          <w:iCs/>
          <w:sz w:val="16"/>
          <w:szCs w:val="16"/>
        </w:rPr>
        <w:t>Data was generated from nine uninfected images and ten infected images obtained from two individual chip experiments. Bars represent the mean + standard error of the mean (SEM) in all panels.</w:t>
      </w:r>
      <w:r w:rsidRPr="00E378A1">
        <w:rPr>
          <w:rFonts w:ascii="Arial" w:hAnsi="Arial" w:cs="Arial"/>
          <w:sz w:val="21"/>
          <w:szCs w:val="21"/>
        </w:rPr>
        <w:br w:type="page"/>
      </w:r>
    </w:p>
    <w:sectPr w:rsidR="008B07A6" w:rsidRPr="00B23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D7"/>
    <w:rsid w:val="00066677"/>
    <w:rsid w:val="00153A17"/>
    <w:rsid w:val="001A37F3"/>
    <w:rsid w:val="003A4E89"/>
    <w:rsid w:val="00556784"/>
    <w:rsid w:val="008B07A6"/>
    <w:rsid w:val="0097029A"/>
    <w:rsid w:val="00987B63"/>
    <w:rsid w:val="00A234E6"/>
    <w:rsid w:val="00B237D7"/>
    <w:rsid w:val="00D31E7D"/>
    <w:rsid w:val="00F4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CF616"/>
  <w15:chartTrackingRefBased/>
  <w15:docId w15:val="{658F0684-09DA-4501-A030-D0E03318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7D7"/>
    <w:pPr>
      <w:suppressAutoHyphens/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7D7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7D7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7D7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7D7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7D7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7D7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7D7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7D7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7D7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7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7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7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7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7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7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7D7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23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7D7"/>
    <w:pPr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23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7D7"/>
    <w:pPr>
      <w:suppressAutoHyphens w:val="0"/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B237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7D7"/>
    <w:pPr>
      <w:suppressAutoHyphens w:val="0"/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B237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7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7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2026-07-27T08:10:00Z</dcterms:created>
  <dcterms:modified xsi:type="dcterms:W3CDTF">2026-07-27T08:12:00Z</dcterms:modified>
</cp:coreProperties>
</file>