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4D74E">
      <w:pPr>
        <w:pStyle w:val="2"/>
        <w:keepNext w:val="0"/>
        <w:keepLines w:val="0"/>
        <w:widowControl/>
        <w:suppressLineNumbers w:val="0"/>
        <w:rPr>
          <w:rFonts w:hint="default" w:ascii="Times New Roman Regular" w:hAnsi="Times New Roman Regular" w:cs="Times New Roman Regular"/>
          <w:sz w:val="28"/>
          <w:szCs w:val="28"/>
        </w:rPr>
      </w:pPr>
      <w:bookmarkStart w:id="0" w:name="_GoBack"/>
      <w:r>
        <w:rPr>
          <w:rFonts w:hint="default" w:ascii="Times New Roman Regular" w:hAnsi="Times New Roman Regular" w:cs="Times New Roman Regular"/>
          <w:sz w:val="28"/>
          <w:szCs w:val="28"/>
        </w:rPr>
        <w:t>Supplementary Appendix</w:t>
      </w:r>
    </w:p>
    <w:p w14:paraId="6604DA95">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Failure of Cross-Procedure Transportability of Preoperative Prolonged Length-of-Stay Prediction From VATS to Esophagectomy: A Locked Model Evaluation Study</w:t>
      </w:r>
    </w:p>
    <w:p w14:paraId="37285195">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This Supplementary Appendix provides additional methodological specifications, frozen model parameters, extended diagnostic results, and reproducibility information supporting the analyses reported in the main manuscript. It forms part of the same study and does not represent a separate investigation. The primary study design, findings, and interpretation are presented in the main manuscript and are not repeated here. Post-evaluation analyses are clearly identified and did not alter the frozen models or archived locked-evaluation results.</w:t>
      </w:r>
    </w:p>
    <w:p w14:paraId="2BDD13EB">
      <w:pPr>
        <w:pStyle w:val="2"/>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Methods</w:t>
      </w:r>
    </w:p>
    <w:p w14:paraId="5EA4A1F7">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S1. CT definitions and frozen predictor preprocessing</w:t>
      </w:r>
    </w:p>
    <w:p w14:paraId="4F8AF9D1">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Thoracic muscle and subcutaneous fat thicknesses were recorded in millimetres at T5, T8, and T10. Mean thoracic muscle thickness and mean thoracic fat thickness were calculated as equally weighted arithmetic means across the three vertebral levels. No outcome-derived weighting, sex-specific threshold, level-specific normalization, or target-cohort transformation was applied.</w:t>
      </w:r>
    </w:p>
    <w:p w14:paraId="021BC807">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Continuous variables were centered and scaled within each model-fitting sample. During locked evaluation, preprocessing parameters estimated from the complete VATS cohort were applied unchanged to the esophagectomy cohort. Binary predictors were not standardized. Female sex, no smoking history, and no hypertension served as reference categories.</w:t>
      </w:r>
    </w:p>
    <w:p w14:paraId="5DCA33AC">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S2. Extended resampling and estimability rules</w:t>
      </w:r>
    </w:p>
    <w:p w14:paraId="33BB782B">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All seven authorized pipelines underwent 1,000 full-pipeline internal-validation bootstrap repetitions. Preprocessing, penalty selection, and fitting were repeated within each bootstrap sample. Duplicate copies of the same patient were assigned to the same inner fold.</w:t>
      </w:r>
    </w:p>
    <w:p w14:paraId="57EE6D2E">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Locked target-cohort uncertainty was estimated using 2,000 stratified bootstrap resamples of the frozen predictions and observed outcomes. No target-cohort model refitting occurred during this procedure. Calibration slopes and flexible calibration curves were classified as nonestimable when the standard deviation of predicted probabilities was 0.001 or less.</w:t>
      </w:r>
    </w:p>
    <w:p w14:paraId="63AB3EE8">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learning-curve analysis used 50 repeated stratified five-fold partitions. Because every fold served once as the assessment fold, each eligible model–sample-size–method combination generated 250 outer fold fits. Repetition-level performance summaries were used to calculate empirical stability intervals.</w:t>
      </w:r>
    </w:p>
    <w:p w14:paraId="3FBFCA43">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S3. Reproducibility and quality assurance</w:t>
      </w:r>
    </w:p>
    <w:p w14:paraId="784C3F2F">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analytical package retained deterministic random seeds, software versions, preprocessing parameters, resampling indices, penalty values, coefficients, configuration files, and input and output checksums. Independent quality assurance confirmed cohort and event counts, CT composites, predictor mapping, outcome reconstruction, preprocessing isolation, duplicate-patient fold grouping, inner-only penalty selection, paired calculations, frozen-package integrity, and numerical consistency across the manuscript tables and figures.</w:t>
      </w:r>
    </w:p>
    <w:p w14:paraId="6C78078C">
      <w:pPr>
        <w:pStyle w:val="2"/>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Tables</w:t>
      </w:r>
    </w:p>
    <w:p w14:paraId="45BF8BBB">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Tables S1A–S1G. Frozen raw-input model coefficients</w:t>
      </w:r>
    </w:p>
    <w:p w14:paraId="3CBCD29F">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listed coefficients operate on predictors in their original units. The predicted probability is calculated as (p=1/[1+\exp(-\eta)]), where (\eta) is the intercept plus the sum of each coefficient multiplied by its corresponding predictor.</w:t>
      </w:r>
    </w:p>
    <w:p w14:paraId="6FC98318">
      <w:pPr>
        <w:pStyle w:val="4"/>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S1A. Model 1 clinical ridge coefficients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42"/>
        <w:gridCol w:w="1351"/>
      </w:tblGrid>
      <w:tr w14:paraId="072E7E31">
        <w:trPr>
          <w:tblCellSpacing w:w="15" w:type="dxa"/>
        </w:trPr>
        <w:tc>
          <w:tcPr>
            <w:tcW w:w="0" w:type="auto"/>
            <w:tcBorders>
              <w:top w:val="single" w:color="000000" w:sz="4" w:space="0"/>
              <w:bottom w:val="single" w:color="000000" w:sz="4" w:space="0"/>
            </w:tcBorders>
            <w:shd w:val="clear" w:color="auto" w:fill="auto"/>
            <w:vAlign w:val="center"/>
          </w:tcPr>
          <w:p w14:paraId="68B43C9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Term</w:t>
            </w:r>
          </w:p>
        </w:tc>
        <w:tc>
          <w:tcPr>
            <w:tcW w:w="0" w:type="auto"/>
            <w:tcBorders>
              <w:top w:val="single" w:color="000000" w:sz="4" w:space="0"/>
              <w:bottom w:val="single" w:color="000000" w:sz="4" w:space="0"/>
            </w:tcBorders>
            <w:shd w:val="clear" w:color="auto" w:fill="auto"/>
            <w:vAlign w:val="center"/>
          </w:tcPr>
          <w:p w14:paraId="6BDDB70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Estimate</w:t>
            </w:r>
          </w:p>
        </w:tc>
      </w:tr>
      <w:tr w14:paraId="36B93A86">
        <w:trPr>
          <w:tblCellSpacing w:w="15" w:type="dxa"/>
        </w:trPr>
        <w:tc>
          <w:tcPr>
            <w:tcW w:w="0" w:type="auto"/>
            <w:shd w:val="clear" w:color="auto" w:fill="auto"/>
            <w:vAlign w:val="center"/>
          </w:tcPr>
          <w:p w14:paraId="651E548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0" w:type="auto"/>
            <w:shd w:val="clear" w:color="auto" w:fill="auto"/>
            <w:vAlign w:val="center"/>
          </w:tcPr>
          <w:p w14:paraId="1021FB4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−0.40748721</w:t>
            </w:r>
          </w:p>
        </w:tc>
      </w:tr>
      <w:tr w14:paraId="512F361F">
        <w:trPr>
          <w:tblCellSpacing w:w="15" w:type="dxa"/>
        </w:trPr>
        <w:tc>
          <w:tcPr>
            <w:tcW w:w="0" w:type="auto"/>
            <w:shd w:val="clear" w:color="auto" w:fill="auto"/>
            <w:vAlign w:val="center"/>
          </w:tcPr>
          <w:p w14:paraId="3498B64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137D876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0.00578767</w:t>
            </w:r>
          </w:p>
        </w:tc>
      </w:tr>
      <w:tr w14:paraId="06BDA66E">
        <w:trPr>
          <w:tblCellSpacing w:w="15" w:type="dxa"/>
        </w:trPr>
        <w:tc>
          <w:tcPr>
            <w:tcW w:w="0" w:type="auto"/>
            <w:shd w:val="clear" w:color="auto" w:fill="auto"/>
            <w:vAlign w:val="center"/>
          </w:tcPr>
          <w:p w14:paraId="54758E9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Male sex</w:t>
            </w:r>
          </w:p>
        </w:tc>
        <w:tc>
          <w:tcPr>
            <w:tcW w:w="0" w:type="auto"/>
            <w:shd w:val="clear" w:color="auto" w:fill="auto"/>
            <w:vAlign w:val="center"/>
          </w:tcPr>
          <w:p w14:paraId="64EE987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0.00907750</w:t>
            </w:r>
          </w:p>
        </w:tc>
      </w:tr>
      <w:tr w14:paraId="47E531C0">
        <w:trPr>
          <w:tblCellSpacing w:w="15" w:type="dxa"/>
        </w:trPr>
        <w:tc>
          <w:tcPr>
            <w:tcW w:w="0" w:type="auto"/>
            <w:shd w:val="clear" w:color="auto" w:fill="auto"/>
            <w:vAlign w:val="center"/>
          </w:tcPr>
          <w:p w14:paraId="5A934AD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BMI, kg/m²</w:t>
            </w:r>
          </w:p>
        </w:tc>
        <w:tc>
          <w:tcPr>
            <w:tcW w:w="0" w:type="auto"/>
            <w:shd w:val="clear" w:color="auto" w:fill="auto"/>
            <w:vAlign w:val="center"/>
          </w:tcPr>
          <w:p w14:paraId="18CE989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−0.00673823</w:t>
            </w:r>
          </w:p>
        </w:tc>
      </w:tr>
      <w:tr w14:paraId="1DADDE05">
        <w:trPr>
          <w:tblCellSpacing w:w="15" w:type="dxa"/>
        </w:trPr>
        <w:tc>
          <w:tcPr>
            <w:tcW w:w="0" w:type="auto"/>
            <w:shd w:val="clear" w:color="auto" w:fill="auto"/>
            <w:vAlign w:val="center"/>
          </w:tcPr>
          <w:p w14:paraId="06EDDA8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Smoking history</w:t>
            </w:r>
          </w:p>
        </w:tc>
        <w:tc>
          <w:tcPr>
            <w:tcW w:w="0" w:type="auto"/>
            <w:shd w:val="clear" w:color="auto" w:fill="auto"/>
            <w:vAlign w:val="center"/>
          </w:tcPr>
          <w:p w14:paraId="3BCC419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0.00352204</w:t>
            </w:r>
          </w:p>
        </w:tc>
      </w:tr>
      <w:tr w14:paraId="59B23DF2">
        <w:trPr>
          <w:tblCellSpacing w:w="15" w:type="dxa"/>
        </w:trPr>
        <w:tc>
          <w:tcPr>
            <w:tcW w:w="0" w:type="auto"/>
            <w:shd w:val="clear" w:color="auto" w:fill="auto"/>
            <w:vAlign w:val="center"/>
          </w:tcPr>
          <w:p w14:paraId="42E75F2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Hypertension</w:t>
            </w:r>
          </w:p>
        </w:tc>
        <w:tc>
          <w:tcPr>
            <w:tcW w:w="0" w:type="auto"/>
            <w:shd w:val="clear" w:color="auto" w:fill="auto"/>
            <w:vAlign w:val="center"/>
          </w:tcPr>
          <w:p w14:paraId="4AC7A9F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−0.00055627</w:t>
            </w:r>
          </w:p>
        </w:tc>
      </w:tr>
      <w:tr w14:paraId="3E1C93A4">
        <w:trPr>
          <w:tblCellSpacing w:w="15" w:type="dxa"/>
        </w:trPr>
        <w:tc>
          <w:tcPr>
            <w:tcW w:w="0" w:type="auto"/>
            <w:shd w:val="clear" w:color="auto" w:fill="auto"/>
            <w:vAlign w:val="center"/>
          </w:tcPr>
          <w:p w14:paraId="74EAC06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Albumin, g/L</w:t>
            </w:r>
          </w:p>
        </w:tc>
        <w:tc>
          <w:tcPr>
            <w:tcW w:w="0" w:type="auto"/>
            <w:shd w:val="clear" w:color="auto" w:fill="auto"/>
            <w:vAlign w:val="center"/>
          </w:tcPr>
          <w:p w14:paraId="3DCBB0F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−0.00699617</w:t>
            </w:r>
          </w:p>
        </w:tc>
      </w:tr>
      <w:tr w14:paraId="47C067DB">
        <w:trPr>
          <w:tblCellSpacing w:w="15" w:type="dxa"/>
        </w:trPr>
        <w:tc>
          <w:tcPr>
            <w:tcW w:w="1997" w:type="dxa"/>
            <w:shd w:val="clear" w:color="auto" w:fill="auto"/>
            <w:vAlign w:val="center"/>
          </w:tcPr>
          <w:p w14:paraId="1579950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4F6E63A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0.00204197</w:t>
            </w:r>
          </w:p>
        </w:tc>
      </w:tr>
      <w:tr w14:paraId="2B674F59">
        <w:trPr>
          <w:tblCellSpacing w:w="15" w:type="dxa"/>
        </w:trPr>
        <w:tc>
          <w:tcPr>
            <w:tcW w:w="1997" w:type="dxa"/>
            <w:tcBorders>
              <w:bottom w:val="single" w:color="000000" w:sz="4" w:space="0"/>
            </w:tcBorders>
            <w:shd w:val="clear" w:color="auto" w:fill="auto"/>
            <w:vAlign w:val="center"/>
          </w:tcPr>
          <w:p w14:paraId="0E6FE0B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tcBorders>
              <w:bottom w:val="single" w:color="000000" w:sz="4" w:space="0"/>
            </w:tcBorders>
            <w:shd w:val="clear" w:color="auto" w:fill="auto"/>
            <w:vAlign w:val="center"/>
          </w:tcPr>
          <w:p w14:paraId="338C6FA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−0.00033256</w:t>
            </w:r>
          </w:p>
        </w:tc>
      </w:tr>
    </w:tbl>
    <w:p w14:paraId="37A334F6">
      <w:pPr>
        <w:pStyle w:val="4"/>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S1B. Model 2 clinical-plus-mean-CT ridge coefficients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41"/>
        <w:gridCol w:w="1351"/>
      </w:tblGrid>
      <w:tr w14:paraId="28427524">
        <w:trPr>
          <w:tblCellSpacing w:w="15" w:type="dxa"/>
        </w:trPr>
        <w:tc>
          <w:tcPr>
            <w:tcW w:w="0" w:type="auto"/>
            <w:tcBorders>
              <w:top w:val="single" w:color="000000" w:sz="4" w:space="0"/>
              <w:bottom w:val="single" w:color="000000" w:sz="4" w:space="0"/>
            </w:tcBorders>
            <w:shd w:val="clear" w:color="auto" w:fill="auto"/>
            <w:vAlign w:val="center"/>
          </w:tcPr>
          <w:p w14:paraId="5BB511C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Term</w:t>
            </w:r>
          </w:p>
        </w:tc>
        <w:tc>
          <w:tcPr>
            <w:tcW w:w="0" w:type="auto"/>
            <w:tcBorders>
              <w:top w:val="single" w:color="000000" w:sz="4" w:space="0"/>
              <w:bottom w:val="single" w:color="000000" w:sz="4" w:space="0"/>
            </w:tcBorders>
            <w:shd w:val="clear" w:color="auto" w:fill="auto"/>
            <w:vAlign w:val="center"/>
          </w:tcPr>
          <w:p w14:paraId="043436A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Estimate</w:t>
            </w:r>
          </w:p>
        </w:tc>
      </w:tr>
      <w:tr w14:paraId="386FFA4D">
        <w:trPr>
          <w:tblCellSpacing w:w="15" w:type="dxa"/>
        </w:trPr>
        <w:tc>
          <w:tcPr>
            <w:tcW w:w="0" w:type="auto"/>
            <w:shd w:val="clear" w:color="auto" w:fill="auto"/>
            <w:vAlign w:val="center"/>
          </w:tcPr>
          <w:p w14:paraId="721EA23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0" w:type="auto"/>
            <w:shd w:val="clear" w:color="auto" w:fill="auto"/>
            <w:vAlign w:val="center"/>
          </w:tcPr>
          <w:p w14:paraId="08BFE13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−0.31186913</w:t>
            </w:r>
          </w:p>
        </w:tc>
      </w:tr>
      <w:tr w14:paraId="400F5F81">
        <w:trPr>
          <w:tblCellSpacing w:w="15" w:type="dxa"/>
        </w:trPr>
        <w:tc>
          <w:tcPr>
            <w:tcW w:w="0" w:type="auto"/>
            <w:shd w:val="clear" w:color="auto" w:fill="auto"/>
            <w:vAlign w:val="center"/>
          </w:tcPr>
          <w:p w14:paraId="6F9FAD2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1D8FECA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0.00008865</w:t>
            </w:r>
          </w:p>
        </w:tc>
      </w:tr>
      <w:tr w14:paraId="77718FFD">
        <w:trPr>
          <w:tblCellSpacing w:w="15" w:type="dxa"/>
        </w:trPr>
        <w:tc>
          <w:tcPr>
            <w:tcW w:w="0" w:type="auto"/>
            <w:shd w:val="clear" w:color="auto" w:fill="auto"/>
            <w:vAlign w:val="center"/>
          </w:tcPr>
          <w:p w14:paraId="33180D9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Male sex</w:t>
            </w:r>
          </w:p>
        </w:tc>
        <w:tc>
          <w:tcPr>
            <w:tcW w:w="0" w:type="auto"/>
            <w:shd w:val="clear" w:color="auto" w:fill="auto"/>
            <w:vAlign w:val="center"/>
          </w:tcPr>
          <w:p w14:paraId="0536FE1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0.00012516</w:t>
            </w:r>
          </w:p>
        </w:tc>
      </w:tr>
      <w:tr w14:paraId="54A935B8">
        <w:trPr>
          <w:tblCellSpacing w:w="15" w:type="dxa"/>
        </w:trPr>
        <w:tc>
          <w:tcPr>
            <w:tcW w:w="0" w:type="auto"/>
            <w:shd w:val="clear" w:color="auto" w:fill="auto"/>
            <w:vAlign w:val="center"/>
          </w:tcPr>
          <w:p w14:paraId="4F7CE46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BMI, kg/m²</w:t>
            </w:r>
          </w:p>
        </w:tc>
        <w:tc>
          <w:tcPr>
            <w:tcW w:w="0" w:type="auto"/>
            <w:shd w:val="clear" w:color="auto" w:fill="auto"/>
            <w:vAlign w:val="center"/>
          </w:tcPr>
          <w:p w14:paraId="1F22349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−0.00010752</w:t>
            </w:r>
          </w:p>
        </w:tc>
      </w:tr>
      <w:tr w14:paraId="30CB4B9C">
        <w:trPr>
          <w:tblCellSpacing w:w="15" w:type="dxa"/>
        </w:trPr>
        <w:tc>
          <w:tcPr>
            <w:tcW w:w="0" w:type="auto"/>
            <w:shd w:val="clear" w:color="auto" w:fill="auto"/>
            <w:vAlign w:val="center"/>
          </w:tcPr>
          <w:p w14:paraId="3FF4583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Smoking history</w:t>
            </w:r>
          </w:p>
        </w:tc>
        <w:tc>
          <w:tcPr>
            <w:tcW w:w="0" w:type="auto"/>
            <w:shd w:val="clear" w:color="auto" w:fill="auto"/>
            <w:vAlign w:val="center"/>
          </w:tcPr>
          <w:p w14:paraId="13993F1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0.00003949</w:t>
            </w:r>
          </w:p>
        </w:tc>
      </w:tr>
      <w:tr w14:paraId="322BD076">
        <w:trPr>
          <w:tblCellSpacing w:w="15" w:type="dxa"/>
        </w:trPr>
        <w:tc>
          <w:tcPr>
            <w:tcW w:w="0" w:type="auto"/>
            <w:shd w:val="clear" w:color="auto" w:fill="auto"/>
            <w:vAlign w:val="center"/>
          </w:tcPr>
          <w:p w14:paraId="72ACB6B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Hypertension</w:t>
            </w:r>
          </w:p>
        </w:tc>
        <w:tc>
          <w:tcPr>
            <w:tcW w:w="0" w:type="auto"/>
            <w:shd w:val="clear" w:color="auto" w:fill="auto"/>
            <w:vAlign w:val="center"/>
          </w:tcPr>
          <w:p w14:paraId="7D08A9C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−0.00001426</w:t>
            </w:r>
          </w:p>
        </w:tc>
      </w:tr>
      <w:tr w14:paraId="6335A5B5">
        <w:trPr>
          <w:tblCellSpacing w:w="15" w:type="dxa"/>
        </w:trPr>
        <w:tc>
          <w:tcPr>
            <w:tcW w:w="0" w:type="auto"/>
            <w:shd w:val="clear" w:color="auto" w:fill="auto"/>
            <w:vAlign w:val="center"/>
          </w:tcPr>
          <w:p w14:paraId="559D6A1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Albumin, g/L</w:t>
            </w:r>
          </w:p>
        </w:tc>
        <w:tc>
          <w:tcPr>
            <w:tcW w:w="0" w:type="auto"/>
            <w:shd w:val="clear" w:color="auto" w:fill="auto"/>
            <w:vAlign w:val="center"/>
          </w:tcPr>
          <w:p w14:paraId="5023510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−0.00010861</w:t>
            </w:r>
          </w:p>
        </w:tc>
      </w:tr>
      <w:tr w14:paraId="1FACD5A2">
        <w:trPr>
          <w:tblCellSpacing w:w="15" w:type="dxa"/>
        </w:trPr>
        <w:tc>
          <w:tcPr>
            <w:tcW w:w="0" w:type="auto"/>
            <w:shd w:val="clear" w:color="auto" w:fill="auto"/>
            <w:vAlign w:val="center"/>
          </w:tcPr>
          <w:p w14:paraId="7C79C24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1775D29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0.00003495</w:t>
            </w:r>
          </w:p>
        </w:tc>
      </w:tr>
      <w:tr w14:paraId="49483B0A">
        <w:trPr>
          <w:tblCellSpacing w:w="15" w:type="dxa"/>
        </w:trPr>
        <w:tc>
          <w:tcPr>
            <w:tcW w:w="0" w:type="auto"/>
            <w:shd w:val="clear" w:color="auto" w:fill="auto"/>
            <w:vAlign w:val="center"/>
          </w:tcPr>
          <w:p w14:paraId="5A41534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shd w:val="clear" w:color="auto" w:fill="auto"/>
            <w:vAlign w:val="center"/>
          </w:tcPr>
          <w:p w14:paraId="5594E89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0.00000452</w:t>
            </w:r>
          </w:p>
        </w:tc>
      </w:tr>
      <w:tr w14:paraId="2037A0D8">
        <w:trPr>
          <w:tblCellSpacing w:w="15" w:type="dxa"/>
        </w:trPr>
        <w:tc>
          <w:tcPr>
            <w:tcW w:w="0" w:type="auto"/>
            <w:shd w:val="clear" w:color="auto" w:fill="auto"/>
            <w:vAlign w:val="center"/>
          </w:tcPr>
          <w:p w14:paraId="71A942B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muscle thickness, mm</w:t>
            </w:r>
          </w:p>
        </w:tc>
        <w:tc>
          <w:tcPr>
            <w:tcW w:w="0" w:type="auto"/>
            <w:shd w:val="clear" w:color="auto" w:fill="auto"/>
            <w:vAlign w:val="center"/>
          </w:tcPr>
          <w:p w14:paraId="62C8CA8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−0.00019848</w:t>
            </w:r>
          </w:p>
        </w:tc>
      </w:tr>
      <w:tr w14:paraId="25F64330">
        <w:trPr>
          <w:tblCellSpacing w:w="15" w:type="dxa"/>
        </w:trPr>
        <w:tc>
          <w:tcPr>
            <w:tcW w:w="0" w:type="auto"/>
            <w:tcBorders>
              <w:bottom w:val="single" w:color="000000" w:sz="4" w:space="0"/>
            </w:tcBorders>
            <w:shd w:val="clear" w:color="auto" w:fill="auto"/>
            <w:vAlign w:val="center"/>
          </w:tcPr>
          <w:p w14:paraId="1244EF1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fat thickness, mm</w:t>
            </w:r>
          </w:p>
        </w:tc>
        <w:tc>
          <w:tcPr>
            <w:tcW w:w="0" w:type="auto"/>
            <w:tcBorders>
              <w:bottom w:val="single" w:color="000000" w:sz="4" w:space="0"/>
            </w:tcBorders>
            <w:shd w:val="clear" w:color="auto" w:fill="auto"/>
            <w:vAlign w:val="center"/>
          </w:tcPr>
          <w:p w14:paraId="229D00B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−0.00001807</w:t>
            </w:r>
          </w:p>
        </w:tc>
      </w:tr>
    </w:tbl>
    <w:p w14:paraId="4F763428">
      <w:pPr>
        <w:pStyle w:val="4"/>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S1C. Clinical elastic-net coefficients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42"/>
        <w:gridCol w:w="1351"/>
      </w:tblGrid>
      <w:tr w14:paraId="4F0B1CC3">
        <w:trPr>
          <w:tblCellSpacing w:w="15" w:type="dxa"/>
        </w:trPr>
        <w:tc>
          <w:tcPr>
            <w:tcW w:w="0" w:type="auto"/>
            <w:tcBorders>
              <w:top w:val="single" w:color="000000" w:sz="4" w:space="0"/>
              <w:bottom w:val="single" w:color="000000" w:sz="4" w:space="0"/>
            </w:tcBorders>
            <w:shd w:val="clear" w:color="auto" w:fill="auto"/>
            <w:vAlign w:val="center"/>
          </w:tcPr>
          <w:p w14:paraId="20D2127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Term</w:t>
            </w:r>
          </w:p>
        </w:tc>
        <w:tc>
          <w:tcPr>
            <w:tcW w:w="0" w:type="auto"/>
            <w:tcBorders>
              <w:top w:val="single" w:color="000000" w:sz="4" w:space="0"/>
              <w:bottom w:val="single" w:color="000000" w:sz="4" w:space="0"/>
            </w:tcBorders>
            <w:shd w:val="clear" w:color="auto" w:fill="auto"/>
            <w:vAlign w:val="center"/>
          </w:tcPr>
          <w:p w14:paraId="17AC2B7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Estimate</w:t>
            </w:r>
          </w:p>
        </w:tc>
      </w:tr>
      <w:tr w14:paraId="03C6553F">
        <w:trPr>
          <w:tblCellSpacing w:w="15" w:type="dxa"/>
        </w:trPr>
        <w:tc>
          <w:tcPr>
            <w:tcW w:w="0" w:type="auto"/>
            <w:shd w:val="clear" w:color="auto" w:fill="auto"/>
            <w:vAlign w:val="center"/>
          </w:tcPr>
          <w:p w14:paraId="7F35F6C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0" w:type="auto"/>
            <w:shd w:val="clear" w:color="auto" w:fill="auto"/>
            <w:vAlign w:val="center"/>
          </w:tcPr>
          <w:p w14:paraId="2559F94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−1.03333487</w:t>
            </w:r>
          </w:p>
        </w:tc>
      </w:tr>
      <w:tr w14:paraId="1FBF8A33">
        <w:trPr>
          <w:tblCellSpacing w:w="15" w:type="dxa"/>
        </w:trPr>
        <w:tc>
          <w:tcPr>
            <w:tcW w:w="0" w:type="auto"/>
            <w:shd w:val="clear" w:color="auto" w:fill="auto"/>
            <w:vAlign w:val="center"/>
          </w:tcPr>
          <w:p w14:paraId="072D488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221621C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0.01181888</w:t>
            </w:r>
          </w:p>
        </w:tc>
      </w:tr>
      <w:tr w14:paraId="3F2F3AD2">
        <w:trPr>
          <w:tblCellSpacing w:w="15" w:type="dxa"/>
        </w:trPr>
        <w:tc>
          <w:tcPr>
            <w:tcW w:w="0" w:type="auto"/>
            <w:shd w:val="clear" w:color="auto" w:fill="auto"/>
            <w:vAlign w:val="center"/>
          </w:tcPr>
          <w:p w14:paraId="2E903AB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Male sex</w:t>
            </w:r>
          </w:p>
        </w:tc>
        <w:tc>
          <w:tcPr>
            <w:tcW w:w="0" w:type="auto"/>
            <w:shd w:val="clear" w:color="auto" w:fill="auto"/>
            <w:vAlign w:val="center"/>
          </w:tcPr>
          <w:p w14:paraId="135EEBE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6883F46B">
        <w:trPr>
          <w:tblCellSpacing w:w="15" w:type="dxa"/>
        </w:trPr>
        <w:tc>
          <w:tcPr>
            <w:tcW w:w="0" w:type="auto"/>
            <w:shd w:val="clear" w:color="auto" w:fill="auto"/>
            <w:vAlign w:val="center"/>
          </w:tcPr>
          <w:p w14:paraId="35432CF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BMI, kg/m²</w:t>
            </w:r>
          </w:p>
        </w:tc>
        <w:tc>
          <w:tcPr>
            <w:tcW w:w="0" w:type="auto"/>
            <w:shd w:val="clear" w:color="auto" w:fill="auto"/>
            <w:vAlign w:val="center"/>
          </w:tcPr>
          <w:p w14:paraId="55A8A92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3CC6B3E2">
        <w:trPr>
          <w:tblCellSpacing w:w="15" w:type="dxa"/>
        </w:trPr>
        <w:tc>
          <w:tcPr>
            <w:tcW w:w="0" w:type="auto"/>
            <w:shd w:val="clear" w:color="auto" w:fill="auto"/>
            <w:vAlign w:val="center"/>
          </w:tcPr>
          <w:p w14:paraId="31E2761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Smoking history</w:t>
            </w:r>
          </w:p>
        </w:tc>
        <w:tc>
          <w:tcPr>
            <w:tcW w:w="0" w:type="auto"/>
            <w:shd w:val="clear" w:color="auto" w:fill="auto"/>
            <w:vAlign w:val="center"/>
          </w:tcPr>
          <w:p w14:paraId="598083C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37DFF0BB">
        <w:trPr>
          <w:tblCellSpacing w:w="15" w:type="dxa"/>
        </w:trPr>
        <w:tc>
          <w:tcPr>
            <w:tcW w:w="0" w:type="auto"/>
            <w:shd w:val="clear" w:color="auto" w:fill="auto"/>
            <w:vAlign w:val="center"/>
          </w:tcPr>
          <w:p w14:paraId="3E5982C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Hypertension</w:t>
            </w:r>
          </w:p>
        </w:tc>
        <w:tc>
          <w:tcPr>
            <w:tcW w:w="0" w:type="auto"/>
            <w:shd w:val="clear" w:color="auto" w:fill="auto"/>
            <w:vAlign w:val="center"/>
          </w:tcPr>
          <w:p w14:paraId="54A4473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690AEF63">
        <w:trPr>
          <w:tblCellSpacing w:w="15" w:type="dxa"/>
        </w:trPr>
        <w:tc>
          <w:tcPr>
            <w:tcW w:w="0" w:type="auto"/>
            <w:shd w:val="clear" w:color="auto" w:fill="auto"/>
            <w:vAlign w:val="center"/>
          </w:tcPr>
          <w:p w14:paraId="720A7F5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Albumin, g/L</w:t>
            </w:r>
          </w:p>
        </w:tc>
        <w:tc>
          <w:tcPr>
            <w:tcW w:w="0" w:type="auto"/>
            <w:shd w:val="clear" w:color="auto" w:fill="auto"/>
            <w:vAlign w:val="center"/>
          </w:tcPr>
          <w:p w14:paraId="77F6A9F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1442C914">
        <w:trPr>
          <w:tblCellSpacing w:w="15" w:type="dxa"/>
        </w:trPr>
        <w:tc>
          <w:tcPr>
            <w:tcW w:w="0" w:type="auto"/>
            <w:shd w:val="clear" w:color="auto" w:fill="auto"/>
            <w:vAlign w:val="center"/>
          </w:tcPr>
          <w:p w14:paraId="53C1C56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20026EF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7AC1B3BF">
        <w:trPr>
          <w:tblCellSpacing w:w="15" w:type="dxa"/>
        </w:trPr>
        <w:tc>
          <w:tcPr>
            <w:tcW w:w="0" w:type="auto"/>
            <w:tcBorders>
              <w:bottom w:val="single" w:color="000000" w:sz="4" w:space="0"/>
            </w:tcBorders>
            <w:shd w:val="clear" w:color="auto" w:fill="auto"/>
            <w:vAlign w:val="center"/>
          </w:tcPr>
          <w:p w14:paraId="63DACDC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tcBorders>
              <w:bottom w:val="single" w:color="000000" w:sz="4" w:space="0"/>
            </w:tcBorders>
            <w:shd w:val="clear" w:color="auto" w:fill="auto"/>
            <w:vAlign w:val="center"/>
          </w:tcPr>
          <w:p w14:paraId="5643500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bl>
    <w:p w14:paraId="45D0293C">
      <w:pPr>
        <w:pStyle w:val="4"/>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S1D. Clinical-plus-mean-CT elastic-net coefficients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41"/>
        <w:gridCol w:w="1351"/>
      </w:tblGrid>
      <w:tr w14:paraId="1EC916A6">
        <w:trPr>
          <w:tblCellSpacing w:w="15" w:type="dxa"/>
        </w:trPr>
        <w:tc>
          <w:tcPr>
            <w:tcW w:w="0" w:type="auto"/>
            <w:tcBorders>
              <w:top w:val="single" w:color="000000" w:sz="4" w:space="0"/>
              <w:bottom w:val="single" w:color="000000" w:sz="4" w:space="0"/>
            </w:tcBorders>
            <w:shd w:val="clear" w:color="auto" w:fill="auto"/>
            <w:vAlign w:val="center"/>
          </w:tcPr>
          <w:p w14:paraId="5420BE2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Term</w:t>
            </w:r>
          </w:p>
        </w:tc>
        <w:tc>
          <w:tcPr>
            <w:tcW w:w="0" w:type="auto"/>
            <w:tcBorders>
              <w:top w:val="single" w:color="000000" w:sz="4" w:space="0"/>
              <w:bottom w:val="single" w:color="000000" w:sz="4" w:space="0"/>
            </w:tcBorders>
            <w:shd w:val="clear" w:color="auto" w:fill="auto"/>
            <w:vAlign w:val="center"/>
          </w:tcPr>
          <w:p w14:paraId="26865AD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Estimate</w:t>
            </w:r>
          </w:p>
        </w:tc>
      </w:tr>
      <w:tr w14:paraId="69E7EFE0">
        <w:trPr>
          <w:tblCellSpacing w:w="15" w:type="dxa"/>
        </w:trPr>
        <w:tc>
          <w:tcPr>
            <w:tcW w:w="0" w:type="auto"/>
            <w:shd w:val="clear" w:color="auto" w:fill="auto"/>
            <w:vAlign w:val="center"/>
          </w:tcPr>
          <w:p w14:paraId="5F7F043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0" w:type="auto"/>
            <w:shd w:val="clear" w:color="auto" w:fill="auto"/>
            <w:vAlign w:val="center"/>
          </w:tcPr>
          <w:p w14:paraId="08C1356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−0.60761420</w:t>
            </w:r>
          </w:p>
        </w:tc>
      </w:tr>
      <w:tr w14:paraId="041F122F">
        <w:trPr>
          <w:tblCellSpacing w:w="15" w:type="dxa"/>
        </w:trPr>
        <w:tc>
          <w:tcPr>
            <w:tcW w:w="0" w:type="auto"/>
            <w:shd w:val="clear" w:color="auto" w:fill="auto"/>
            <w:vAlign w:val="center"/>
          </w:tcPr>
          <w:p w14:paraId="096360B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2057B85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0.01374576</w:t>
            </w:r>
          </w:p>
        </w:tc>
      </w:tr>
      <w:tr w14:paraId="7FD1D76B">
        <w:trPr>
          <w:tblCellSpacing w:w="15" w:type="dxa"/>
        </w:trPr>
        <w:tc>
          <w:tcPr>
            <w:tcW w:w="0" w:type="auto"/>
            <w:shd w:val="clear" w:color="auto" w:fill="auto"/>
            <w:vAlign w:val="center"/>
          </w:tcPr>
          <w:p w14:paraId="702BAB5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Male sex</w:t>
            </w:r>
          </w:p>
        </w:tc>
        <w:tc>
          <w:tcPr>
            <w:tcW w:w="0" w:type="auto"/>
            <w:shd w:val="clear" w:color="auto" w:fill="auto"/>
            <w:vAlign w:val="center"/>
          </w:tcPr>
          <w:p w14:paraId="7892804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0FB969D7">
        <w:trPr>
          <w:tblCellSpacing w:w="15" w:type="dxa"/>
        </w:trPr>
        <w:tc>
          <w:tcPr>
            <w:tcW w:w="0" w:type="auto"/>
            <w:shd w:val="clear" w:color="auto" w:fill="auto"/>
            <w:vAlign w:val="center"/>
          </w:tcPr>
          <w:p w14:paraId="32B31AF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BMI, kg/m²</w:t>
            </w:r>
          </w:p>
        </w:tc>
        <w:tc>
          <w:tcPr>
            <w:tcW w:w="0" w:type="auto"/>
            <w:shd w:val="clear" w:color="auto" w:fill="auto"/>
            <w:vAlign w:val="center"/>
          </w:tcPr>
          <w:p w14:paraId="0B6F364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38684CE6">
        <w:trPr>
          <w:tblCellSpacing w:w="15" w:type="dxa"/>
        </w:trPr>
        <w:tc>
          <w:tcPr>
            <w:tcW w:w="0" w:type="auto"/>
            <w:shd w:val="clear" w:color="auto" w:fill="auto"/>
            <w:vAlign w:val="center"/>
          </w:tcPr>
          <w:p w14:paraId="3E97268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Smoking history</w:t>
            </w:r>
          </w:p>
        </w:tc>
        <w:tc>
          <w:tcPr>
            <w:tcW w:w="0" w:type="auto"/>
            <w:shd w:val="clear" w:color="auto" w:fill="auto"/>
            <w:vAlign w:val="center"/>
          </w:tcPr>
          <w:p w14:paraId="18A6722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69053BE7">
        <w:trPr>
          <w:tblCellSpacing w:w="15" w:type="dxa"/>
        </w:trPr>
        <w:tc>
          <w:tcPr>
            <w:tcW w:w="0" w:type="auto"/>
            <w:shd w:val="clear" w:color="auto" w:fill="auto"/>
            <w:vAlign w:val="center"/>
          </w:tcPr>
          <w:p w14:paraId="5E97D48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Hypertension</w:t>
            </w:r>
          </w:p>
        </w:tc>
        <w:tc>
          <w:tcPr>
            <w:tcW w:w="0" w:type="auto"/>
            <w:shd w:val="clear" w:color="auto" w:fill="auto"/>
            <w:vAlign w:val="center"/>
          </w:tcPr>
          <w:p w14:paraId="581EB41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12FECE4E">
        <w:trPr>
          <w:tblCellSpacing w:w="15" w:type="dxa"/>
        </w:trPr>
        <w:tc>
          <w:tcPr>
            <w:tcW w:w="0" w:type="auto"/>
            <w:shd w:val="clear" w:color="auto" w:fill="auto"/>
            <w:vAlign w:val="center"/>
          </w:tcPr>
          <w:p w14:paraId="3A813E9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Albumin, g/L</w:t>
            </w:r>
          </w:p>
        </w:tc>
        <w:tc>
          <w:tcPr>
            <w:tcW w:w="0" w:type="auto"/>
            <w:shd w:val="clear" w:color="auto" w:fill="auto"/>
            <w:vAlign w:val="center"/>
          </w:tcPr>
          <w:p w14:paraId="6CF7E8F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025DFF80">
        <w:trPr>
          <w:tblCellSpacing w:w="15" w:type="dxa"/>
        </w:trPr>
        <w:tc>
          <w:tcPr>
            <w:tcW w:w="0" w:type="auto"/>
            <w:shd w:val="clear" w:color="auto" w:fill="auto"/>
            <w:vAlign w:val="center"/>
          </w:tcPr>
          <w:p w14:paraId="6B21714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1D0D2E2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2ADAF3D2">
        <w:trPr>
          <w:tblCellSpacing w:w="15" w:type="dxa"/>
        </w:trPr>
        <w:tc>
          <w:tcPr>
            <w:tcW w:w="0" w:type="auto"/>
            <w:shd w:val="clear" w:color="auto" w:fill="auto"/>
            <w:vAlign w:val="center"/>
          </w:tcPr>
          <w:p w14:paraId="2BD99E7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shd w:val="clear" w:color="auto" w:fill="auto"/>
            <w:vAlign w:val="center"/>
          </w:tcPr>
          <w:p w14:paraId="13907E6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r w14:paraId="018BDBCD">
        <w:trPr>
          <w:tblCellSpacing w:w="15" w:type="dxa"/>
        </w:trPr>
        <w:tc>
          <w:tcPr>
            <w:tcW w:w="0" w:type="auto"/>
            <w:shd w:val="clear" w:color="auto" w:fill="auto"/>
            <w:vAlign w:val="center"/>
          </w:tcPr>
          <w:p w14:paraId="0BD04D3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muscle thickness, mm</w:t>
            </w:r>
          </w:p>
        </w:tc>
        <w:tc>
          <w:tcPr>
            <w:tcW w:w="0" w:type="auto"/>
            <w:shd w:val="clear" w:color="auto" w:fill="auto"/>
            <w:vAlign w:val="center"/>
          </w:tcPr>
          <w:p w14:paraId="55EA33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−0.02139154</w:t>
            </w:r>
          </w:p>
        </w:tc>
      </w:tr>
      <w:tr w14:paraId="6BE05D80">
        <w:trPr>
          <w:tblCellSpacing w:w="15" w:type="dxa"/>
        </w:trPr>
        <w:tc>
          <w:tcPr>
            <w:tcW w:w="0" w:type="auto"/>
            <w:tcBorders>
              <w:bottom w:val="single" w:color="000000" w:sz="4" w:space="0"/>
            </w:tcBorders>
            <w:shd w:val="clear" w:color="auto" w:fill="auto"/>
            <w:vAlign w:val="center"/>
          </w:tcPr>
          <w:p w14:paraId="0A93EBD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fat thickness, mm</w:t>
            </w:r>
          </w:p>
        </w:tc>
        <w:tc>
          <w:tcPr>
            <w:tcW w:w="0" w:type="auto"/>
            <w:tcBorders>
              <w:bottom w:val="single" w:color="000000" w:sz="4" w:space="0"/>
            </w:tcBorders>
            <w:shd w:val="clear" w:color="auto" w:fill="auto"/>
            <w:vAlign w:val="center"/>
          </w:tcPr>
          <w:p w14:paraId="45D1C87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0.00000000</w:t>
            </w:r>
          </w:p>
        </w:tc>
      </w:tr>
    </w:tbl>
    <w:p w14:paraId="5C14C902">
      <w:pPr>
        <w:pStyle w:val="4"/>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S1E. Clinical-plus-muscle ridge coefficients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41"/>
        <w:gridCol w:w="1351"/>
      </w:tblGrid>
      <w:tr w14:paraId="4B0FBA0D">
        <w:trPr>
          <w:tblCellSpacing w:w="15" w:type="dxa"/>
        </w:trPr>
        <w:tc>
          <w:tcPr>
            <w:tcW w:w="0" w:type="auto"/>
            <w:tcBorders>
              <w:top w:val="single" w:color="000000" w:sz="4" w:space="0"/>
              <w:bottom w:val="single" w:color="000000" w:sz="4" w:space="0"/>
            </w:tcBorders>
            <w:shd w:val="clear" w:color="auto" w:fill="auto"/>
            <w:vAlign w:val="center"/>
          </w:tcPr>
          <w:p w14:paraId="4466ECB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Term</w:t>
            </w:r>
          </w:p>
        </w:tc>
        <w:tc>
          <w:tcPr>
            <w:tcW w:w="0" w:type="auto"/>
            <w:tcBorders>
              <w:top w:val="single" w:color="000000" w:sz="4" w:space="0"/>
              <w:bottom w:val="single" w:color="000000" w:sz="4" w:space="0"/>
            </w:tcBorders>
            <w:shd w:val="clear" w:color="auto" w:fill="auto"/>
            <w:vAlign w:val="center"/>
          </w:tcPr>
          <w:p w14:paraId="1234D75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Estimate</w:t>
            </w:r>
          </w:p>
        </w:tc>
      </w:tr>
      <w:tr w14:paraId="2D728CE3">
        <w:trPr>
          <w:tblCellSpacing w:w="15" w:type="dxa"/>
        </w:trPr>
        <w:tc>
          <w:tcPr>
            <w:tcW w:w="0" w:type="auto"/>
            <w:shd w:val="clear" w:color="auto" w:fill="auto"/>
            <w:vAlign w:val="center"/>
          </w:tcPr>
          <w:p w14:paraId="38CA7C6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0" w:type="auto"/>
            <w:shd w:val="clear" w:color="auto" w:fill="auto"/>
            <w:vAlign w:val="center"/>
          </w:tcPr>
          <w:p w14:paraId="5138FEB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−0.29077415</w:t>
            </w:r>
          </w:p>
        </w:tc>
      </w:tr>
      <w:tr w14:paraId="04ECE754">
        <w:trPr>
          <w:tblCellSpacing w:w="15" w:type="dxa"/>
        </w:trPr>
        <w:tc>
          <w:tcPr>
            <w:tcW w:w="0" w:type="auto"/>
            <w:shd w:val="clear" w:color="auto" w:fill="auto"/>
            <w:vAlign w:val="center"/>
          </w:tcPr>
          <w:p w14:paraId="05312BC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2CBB996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0.00077019</w:t>
            </w:r>
          </w:p>
        </w:tc>
      </w:tr>
      <w:tr w14:paraId="7AF9E16D">
        <w:trPr>
          <w:tblCellSpacing w:w="15" w:type="dxa"/>
        </w:trPr>
        <w:tc>
          <w:tcPr>
            <w:tcW w:w="0" w:type="auto"/>
            <w:shd w:val="clear" w:color="auto" w:fill="auto"/>
            <w:vAlign w:val="center"/>
          </w:tcPr>
          <w:p w14:paraId="03DA973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Male sex</w:t>
            </w:r>
          </w:p>
        </w:tc>
        <w:tc>
          <w:tcPr>
            <w:tcW w:w="0" w:type="auto"/>
            <w:shd w:val="clear" w:color="auto" w:fill="auto"/>
            <w:vAlign w:val="center"/>
          </w:tcPr>
          <w:p w14:paraId="6F4137D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0.00114031</w:t>
            </w:r>
          </w:p>
        </w:tc>
      </w:tr>
      <w:tr w14:paraId="2367CD07">
        <w:trPr>
          <w:tblCellSpacing w:w="15" w:type="dxa"/>
        </w:trPr>
        <w:tc>
          <w:tcPr>
            <w:tcW w:w="0" w:type="auto"/>
            <w:shd w:val="clear" w:color="auto" w:fill="auto"/>
            <w:vAlign w:val="center"/>
          </w:tcPr>
          <w:p w14:paraId="6205770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BMI, kg/m²</w:t>
            </w:r>
          </w:p>
        </w:tc>
        <w:tc>
          <w:tcPr>
            <w:tcW w:w="0" w:type="auto"/>
            <w:shd w:val="clear" w:color="auto" w:fill="auto"/>
            <w:vAlign w:val="center"/>
          </w:tcPr>
          <w:p w14:paraId="374F391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−0.00090834</w:t>
            </w:r>
          </w:p>
        </w:tc>
      </w:tr>
      <w:tr w14:paraId="4D905089">
        <w:trPr>
          <w:tblCellSpacing w:w="15" w:type="dxa"/>
        </w:trPr>
        <w:tc>
          <w:tcPr>
            <w:tcW w:w="0" w:type="auto"/>
            <w:shd w:val="clear" w:color="auto" w:fill="auto"/>
            <w:vAlign w:val="center"/>
          </w:tcPr>
          <w:p w14:paraId="3062C67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Smoking history</w:t>
            </w:r>
          </w:p>
        </w:tc>
        <w:tc>
          <w:tcPr>
            <w:tcW w:w="0" w:type="auto"/>
            <w:shd w:val="clear" w:color="auto" w:fill="auto"/>
            <w:vAlign w:val="center"/>
          </w:tcPr>
          <w:p w14:paraId="43DDF6A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0.00035625</w:t>
            </w:r>
          </w:p>
        </w:tc>
      </w:tr>
      <w:tr w14:paraId="44CE947E">
        <w:trPr>
          <w:tblCellSpacing w:w="15" w:type="dxa"/>
        </w:trPr>
        <w:tc>
          <w:tcPr>
            <w:tcW w:w="0" w:type="auto"/>
            <w:shd w:val="clear" w:color="auto" w:fill="auto"/>
            <w:vAlign w:val="center"/>
          </w:tcPr>
          <w:p w14:paraId="3C0AF70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Hypertension</w:t>
            </w:r>
          </w:p>
        </w:tc>
        <w:tc>
          <w:tcPr>
            <w:tcW w:w="0" w:type="auto"/>
            <w:shd w:val="clear" w:color="auto" w:fill="auto"/>
            <w:vAlign w:val="center"/>
          </w:tcPr>
          <w:p w14:paraId="5602FA5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−0.00011013</w:t>
            </w:r>
          </w:p>
        </w:tc>
      </w:tr>
      <w:tr w14:paraId="55D455D3">
        <w:trPr>
          <w:tblCellSpacing w:w="15" w:type="dxa"/>
        </w:trPr>
        <w:tc>
          <w:tcPr>
            <w:tcW w:w="0" w:type="auto"/>
            <w:shd w:val="clear" w:color="auto" w:fill="auto"/>
            <w:vAlign w:val="center"/>
          </w:tcPr>
          <w:p w14:paraId="3C635E1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Albumin, g/L</w:t>
            </w:r>
          </w:p>
        </w:tc>
        <w:tc>
          <w:tcPr>
            <w:tcW w:w="0" w:type="auto"/>
            <w:shd w:val="clear" w:color="auto" w:fill="auto"/>
            <w:vAlign w:val="center"/>
          </w:tcPr>
          <w:p w14:paraId="535F903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−0.00093503</w:t>
            </w:r>
          </w:p>
        </w:tc>
      </w:tr>
      <w:tr w14:paraId="7459BB75">
        <w:trPr>
          <w:tblCellSpacing w:w="15" w:type="dxa"/>
        </w:trPr>
        <w:tc>
          <w:tcPr>
            <w:tcW w:w="0" w:type="auto"/>
            <w:shd w:val="clear" w:color="auto" w:fill="auto"/>
            <w:vAlign w:val="center"/>
          </w:tcPr>
          <w:p w14:paraId="1DFA88C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3EF219B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0.00029727</w:t>
            </w:r>
          </w:p>
        </w:tc>
      </w:tr>
      <w:tr w14:paraId="146D55C5">
        <w:trPr>
          <w:tblCellSpacing w:w="15" w:type="dxa"/>
        </w:trPr>
        <w:tc>
          <w:tcPr>
            <w:tcW w:w="0" w:type="auto"/>
            <w:shd w:val="clear" w:color="auto" w:fill="auto"/>
            <w:vAlign w:val="center"/>
          </w:tcPr>
          <w:p w14:paraId="485C6A1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shd w:val="clear" w:color="auto" w:fill="auto"/>
            <w:vAlign w:val="center"/>
          </w:tcPr>
          <w:p w14:paraId="49924C4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0.00002732</w:t>
            </w:r>
          </w:p>
        </w:tc>
      </w:tr>
      <w:tr w14:paraId="3FDC782C">
        <w:trPr>
          <w:tblCellSpacing w:w="15" w:type="dxa"/>
        </w:trPr>
        <w:tc>
          <w:tcPr>
            <w:tcW w:w="0" w:type="auto"/>
            <w:tcBorders>
              <w:bottom w:val="single" w:color="000000" w:sz="4" w:space="0"/>
            </w:tcBorders>
            <w:shd w:val="clear" w:color="auto" w:fill="auto"/>
            <w:vAlign w:val="center"/>
          </w:tcPr>
          <w:p w14:paraId="3C2A4B2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muscle thickness, mm</w:t>
            </w:r>
          </w:p>
        </w:tc>
        <w:tc>
          <w:tcPr>
            <w:tcW w:w="0" w:type="auto"/>
            <w:tcBorders>
              <w:bottom w:val="single" w:color="000000" w:sz="4" w:space="0"/>
            </w:tcBorders>
            <w:shd w:val="clear" w:color="auto" w:fill="auto"/>
            <w:vAlign w:val="center"/>
          </w:tcPr>
          <w:p w14:paraId="17DF93A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−0.00171321</w:t>
            </w:r>
          </w:p>
        </w:tc>
      </w:tr>
    </w:tbl>
    <w:p w14:paraId="62DEFF2C">
      <w:pPr>
        <w:pStyle w:val="4"/>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S1F. Clinical-plus-fat ridge coefficients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214"/>
        <w:gridCol w:w="1351"/>
      </w:tblGrid>
      <w:tr w14:paraId="2EF5753B">
        <w:trPr>
          <w:tblCellSpacing w:w="15" w:type="dxa"/>
        </w:trPr>
        <w:tc>
          <w:tcPr>
            <w:tcW w:w="0" w:type="auto"/>
            <w:tcBorders>
              <w:top w:val="single" w:color="000000" w:sz="4" w:space="0"/>
              <w:bottom w:val="single" w:color="000000" w:sz="4" w:space="0"/>
            </w:tcBorders>
            <w:shd w:val="clear" w:color="auto" w:fill="auto"/>
            <w:vAlign w:val="center"/>
          </w:tcPr>
          <w:p w14:paraId="090C338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Term</w:t>
            </w:r>
          </w:p>
        </w:tc>
        <w:tc>
          <w:tcPr>
            <w:tcW w:w="0" w:type="auto"/>
            <w:tcBorders>
              <w:top w:val="single" w:color="000000" w:sz="4" w:space="0"/>
              <w:bottom w:val="single" w:color="000000" w:sz="4" w:space="0"/>
            </w:tcBorders>
            <w:shd w:val="clear" w:color="auto" w:fill="auto"/>
            <w:vAlign w:val="center"/>
          </w:tcPr>
          <w:p w14:paraId="3EFE4F1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Estimate</w:t>
            </w:r>
          </w:p>
        </w:tc>
      </w:tr>
      <w:tr w14:paraId="4A60CF6A">
        <w:trPr>
          <w:tblCellSpacing w:w="15" w:type="dxa"/>
        </w:trPr>
        <w:tc>
          <w:tcPr>
            <w:tcW w:w="0" w:type="auto"/>
            <w:shd w:val="clear" w:color="auto" w:fill="auto"/>
            <w:vAlign w:val="center"/>
          </w:tcPr>
          <w:p w14:paraId="60B9D41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0" w:type="auto"/>
            <w:shd w:val="clear" w:color="auto" w:fill="auto"/>
            <w:vAlign w:val="center"/>
          </w:tcPr>
          <w:p w14:paraId="4DCF796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−0.31690869</w:t>
            </w:r>
          </w:p>
        </w:tc>
      </w:tr>
      <w:tr w14:paraId="2850D978">
        <w:trPr>
          <w:tblCellSpacing w:w="15" w:type="dxa"/>
        </w:trPr>
        <w:tc>
          <w:tcPr>
            <w:tcW w:w="0" w:type="auto"/>
            <w:shd w:val="clear" w:color="auto" w:fill="auto"/>
            <w:vAlign w:val="center"/>
          </w:tcPr>
          <w:p w14:paraId="750D587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143E36B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0.00008867</w:t>
            </w:r>
          </w:p>
        </w:tc>
      </w:tr>
      <w:tr w14:paraId="56468A76">
        <w:trPr>
          <w:tblCellSpacing w:w="15" w:type="dxa"/>
        </w:trPr>
        <w:tc>
          <w:tcPr>
            <w:tcW w:w="0" w:type="auto"/>
            <w:shd w:val="clear" w:color="auto" w:fill="auto"/>
            <w:vAlign w:val="center"/>
          </w:tcPr>
          <w:p w14:paraId="4EBB909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Male sex</w:t>
            </w:r>
          </w:p>
        </w:tc>
        <w:tc>
          <w:tcPr>
            <w:tcW w:w="0" w:type="auto"/>
            <w:shd w:val="clear" w:color="auto" w:fill="auto"/>
            <w:vAlign w:val="center"/>
          </w:tcPr>
          <w:p w14:paraId="317F49C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0.00012462</w:t>
            </w:r>
          </w:p>
        </w:tc>
      </w:tr>
      <w:tr w14:paraId="7AF779F1">
        <w:trPr>
          <w:tblCellSpacing w:w="15" w:type="dxa"/>
        </w:trPr>
        <w:tc>
          <w:tcPr>
            <w:tcW w:w="0" w:type="auto"/>
            <w:shd w:val="clear" w:color="auto" w:fill="auto"/>
            <w:vAlign w:val="center"/>
          </w:tcPr>
          <w:p w14:paraId="14FF673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BMI, kg/m²</w:t>
            </w:r>
          </w:p>
        </w:tc>
        <w:tc>
          <w:tcPr>
            <w:tcW w:w="0" w:type="auto"/>
            <w:shd w:val="clear" w:color="auto" w:fill="auto"/>
            <w:vAlign w:val="center"/>
          </w:tcPr>
          <w:p w14:paraId="51684A8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−0.00010788</w:t>
            </w:r>
          </w:p>
        </w:tc>
      </w:tr>
      <w:tr w14:paraId="7974DDD0">
        <w:trPr>
          <w:tblCellSpacing w:w="15" w:type="dxa"/>
        </w:trPr>
        <w:tc>
          <w:tcPr>
            <w:tcW w:w="0" w:type="auto"/>
            <w:shd w:val="clear" w:color="auto" w:fill="auto"/>
            <w:vAlign w:val="center"/>
          </w:tcPr>
          <w:p w14:paraId="5102941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Smoking history</w:t>
            </w:r>
          </w:p>
        </w:tc>
        <w:tc>
          <w:tcPr>
            <w:tcW w:w="0" w:type="auto"/>
            <w:shd w:val="clear" w:color="auto" w:fill="auto"/>
            <w:vAlign w:val="center"/>
          </w:tcPr>
          <w:p w14:paraId="6BC0DF2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0.00003953</w:t>
            </w:r>
          </w:p>
        </w:tc>
      </w:tr>
      <w:tr w14:paraId="170BEF58">
        <w:trPr>
          <w:tblCellSpacing w:w="15" w:type="dxa"/>
        </w:trPr>
        <w:tc>
          <w:tcPr>
            <w:tcW w:w="0" w:type="auto"/>
            <w:shd w:val="clear" w:color="auto" w:fill="auto"/>
            <w:vAlign w:val="center"/>
          </w:tcPr>
          <w:p w14:paraId="359A0C5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Hypertension</w:t>
            </w:r>
          </w:p>
        </w:tc>
        <w:tc>
          <w:tcPr>
            <w:tcW w:w="0" w:type="auto"/>
            <w:shd w:val="clear" w:color="auto" w:fill="auto"/>
            <w:vAlign w:val="center"/>
          </w:tcPr>
          <w:p w14:paraId="3C6B612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−0.00001438</w:t>
            </w:r>
          </w:p>
        </w:tc>
      </w:tr>
      <w:tr w14:paraId="2F0AB09D">
        <w:trPr>
          <w:tblCellSpacing w:w="15" w:type="dxa"/>
        </w:trPr>
        <w:tc>
          <w:tcPr>
            <w:tcW w:w="0" w:type="auto"/>
            <w:shd w:val="clear" w:color="auto" w:fill="auto"/>
            <w:vAlign w:val="center"/>
          </w:tcPr>
          <w:p w14:paraId="6406C4D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Albumin, g/L</w:t>
            </w:r>
          </w:p>
        </w:tc>
        <w:tc>
          <w:tcPr>
            <w:tcW w:w="0" w:type="auto"/>
            <w:shd w:val="clear" w:color="auto" w:fill="auto"/>
            <w:vAlign w:val="center"/>
          </w:tcPr>
          <w:p w14:paraId="59E8FFA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−0.00010874</w:t>
            </w:r>
          </w:p>
        </w:tc>
      </w:tr>
      <w:tr w14:paraId="38BDE84D">
        <w:trPr>
          <w:tblCellSpacing w:w="15" w:type="dxa"/>
        </w:trPr>
        <w:tc>
          <w:tcPr>
            <w:tcW w:w="0" w:type="auto"/>
            <w:shd w:val="clear" w:color="auto" w:fill="auto"/>
            <w:vAlign w:val="center"/>
          </w:tcPr>
          <w:p w14:paraId="455E323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377F2AA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0.00003498</w:t>
            </w:r>
          </w:p>
        </w:tc>
      </w:tr>
      <w:tr w14:paraId="61DBE34B">
        <w:trPr>
          <w:tblCellSpacing w:w="15" w:type="dxa"/>
        </w:trPr>
        <w:tc>
          <w:tcPr>
            <w:tcW w:w="0" w:type="auto"/>
            <w:shd w:val="clear" w:color="auto" w:fill="auto"/>
            <w:vAlign w:val="center"/>
          </w:tcPr>
          <w:p w14:paraId="5BE7CBB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shd w:val="clear" w:color="auto" w:fill="auto"/>
            <w:vAlign w:val="center"/>
          </w:tcPr>
          <w:p w14:paraId="6B62CF4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0.00000455</w:t>
            </w:r>
          </w:p>
        </w:tc>
      </w:tr>
      <w:tr w14:paraId="16996090">
        <w:trPr>
          <w:tblCellSpacing w:w="15" w:type="dxa"/>
        </w:trPr>
        <w:tc>
          <w:tcPr>
            <w:tcW w:w="0" w:type="auto"/>
            <w:tcBorders>
              <w:bottom w:val="single" w:color="000000" w:sz="4" w:space="0"/>
            </w:tcBorders>
            <w:shd w:val="clear" w:color="auto" w:fill="auto"/>
            <w:vAlign w:val="center"/>
          </w:tcPr>
          <w:p w14:paraId="75B9D92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fat thickness, mm</w:t>
            </w:r>
          </w:p>
        </w:tc>
        <w:tc>
          <w:tcPr>
            <w:tcW w:w="0" w:type="auto"/>
            <w:tcBorders>
              <w:bottom w:val="single" w:color="000000" w:sz="4" w:space="0"/>
            </w:tcBorders>
            <w:shd w:val="clear" w:color="auto" w:fill="auto"/>
            <w:vAlign w:val="center"/>
          </w:tcPr>
          <w:p w14:paraId="60A244B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−0.00001812</w:t>
            </w:r>
          </w:p>
        </w:tc>
      </w:tr>
    </w:tbl>
    <w:p w14:paraId="647AB61F">
      <w:pPr>
        <w:pStyle w:val="4"/>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S1G. Clinical-plus-individual-CT ridge coefficients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648"/>
        <w:gridCol w:w="1351"/>
      </w:tblGrid>
      <w:tr w14:paraId="6F909B6D">
        <w:trPr>
          <w:tblCellSpacing w:w="15" w:type="dxa"/>
        </w:trPr>
        <w:tc>
          <w:tcPr>
            <w:tcW w:w="0" w:type="auto"/>
            <w:tcBorders>
              <w:top w:val="single" w:color="000000" w:sz="4" w:space="0"/>
              <w:bottom w:val="single" w:color="000000" w:sz="4" w:space="0"/>
            </w:tcBorders>
            <w:shd w:val="clear" w:color="auto" w:fill="auto"/>
            <w:vAlign w:val="center"/>
          </w:tcPr>
          <w:p w14:paraId="303DC83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Term</w:t>
            </w:r>
          </w:p>
        </w:tc>
        <w:tc>
          <w:tcPr>
            <w:tcW w:w="0" w:type="auto"/>
            <w:tcBorders>
              <w:top w:val="single" w:color="000000" w:sz="4" w:space="0"/>
              <w:bottom w:val="single" w:color="000000" w:sz="4" w:space="0"/>
            </w:tcBorders>
            <w:shd w:val="clear" w:color="auto" w:fill="auto"/>
            <w:vAlign w:val="center"/>
          </w:tcPr>
          <w:p w14:paraId="2AEAD9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Estimate</w:t>
            </w:r>
          </w:p>
        </w:tc>
      </w:tr>
      <w:tr w14:paraId="05E3A22D">
        <w:trPr>
          <w:tblCellSpacing w:w="15" w:type="dxa"/>
        </w:trPr>
        <w:tc>
          <w:tcPr>
            <w:tcW w:w="0" w:type="auto"/>
            <w:shd w:val="clear" w:color="auto" w:fill="auto"/>
            <w:vAlign w:val="center"/>
          </w:tcPr>
          <w:p w14:paraId="75F1D3B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0" w:type="auto"/>
            <w:shd w:val="clear" w:color="auto" w:fill="auto"/>
            <w:vAlign w:val="center"/>
          </w:tcPr>
          <w:p w14:paraId="519BBF7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−0.11150155</w:t>
            </w:r>
          </w:p>
        </w:tc>
      </w:tr>
      <w:tr w14:paraId="7D04F7E0">
        <w:trPr>
          <w:tblCellSpacing w:w="15" w:type="dxa"/>
        </w:trPr>
        <w:tc>
          <w:tcPr>
            <w:tcW w:w="0" w:type="auto"/>
            <w:shd w:val="clear" w:color="auto" w:fill="auto"/>
            <w:vAlign w:val="center"/>
          </w:tcPr>
          <w:p w14:paraId="4CB0897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0AD150C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0.00265351</w:t>
            </w:r>
          </w:p>
        </w:tc>
      </w:tr>
      <w:tr w14:paraId="6387BEC3">
        <w:trPr>
          <w:tblCellSpacing w:w="15" w:type="dxa"/>
        </w:trPr>
        <w:tc>
          <w:tcPr>
            <w:tcW w:w="0" w:type="auto"/>
            <w:shd w:val="clear" w:color="auto" w:fill="auto"/>
            <w:vAlign w:val="center"/>
          </w:tcPr>
          <w:p w14:paraId="79B3D6F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Male sex</w:t>
            </w:r>
          </w:p>
        </w:tc>
        <w:tc>
          <w:tcPr>
            <w:tcW w:w="0" w:type="auto"/>
            <w:shd w:val="clear" w:color="auto" w:fill="auto"/>
            <w:vAlign w:val="center"/>
          </w:tcPr>
          <w:p w14:paraId="6CF0762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0.00475380</w:t>
            </w:r>
          </w:p>
        </w:tc>
      </w:tr>
      <w:tr w14:paraId="75C3A594">
        <w:trPr>
          <w:tblCellSpacing w:w="15" w:type="dxa"/>
        </w:trPr>
        <w:tc>
          <w:tcPr>
            <w:tcW w:w="0" w:type="auto"/>
            <w:shd w:val="clear" w:color="auto" w:fill="auto"/>
            <w:vAlign w:val="center"/>
          </w:tcPr>
          <w:p w14:paraId="7A51B95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BMI, kg/m²</w:t>
            </w:r>
          </w:p>
        </w:tc>
        <w:tc>
          <w:tcPr>
            <w:tcW w:w="0" w:type="auto"/>
            <w:shd w:val="clear" w:color="auto" w:fill="auto"/>
            <w:vAlign w:val="center"/>
          </w:tcPr>
          <w:p w14:paraId="548F290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−0.00254560</w:t>
            </w:r>
          </w:p>
        </w:tc>
      </w:tr>
      <w:tr w14:paraId="2FEA92F7">
        <w:trPr>
          <w:tblCellSpacing w:w="15" w:type="dxa"/>
        </w:trPr>
        <w:tc>
          <w:tcPr>
            <w:tcW w:w="0" w:type="auto"/>
            <w:shd w:val="clear" w:color="auto" w:fill="auto"/>
            <w:vAlign w:val="center"/>
          </w:tcPr>
          <w:p w14:paraId="337DF4B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Smoking history</w:t>
            </w:r>
          </w:p>
        </w:tc>
        <w:tc>
          <w:tcPr>
            <w:tcW w:w="0" w:type="auto"/>
            <w:shd w:val="clear" w:color="auto" w:fill="auto"/>
            <w:vAlign w:val="center"/>
          </w:tcPr>
          <w:p w14:paraId="0A79AC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0.00130852</w:t>
            </w:r>
          </w:p>
        </w:tc>
      </w:tr>
      <w:tr w14:paraId="2500A21C">
        <w:trPr>
          <w:tblCellSpacing w:w="15" w:type="dxa"/>
        </w:trPr>
        <w:tc>
          <w:tcPr>
            <w:tcW w:w="0" w:type="auto"/>
            <w:shd w:val="clear" w:color="auto" w:fill="auto"/>
            <w:vAlign w:val="center"/>
          </w:tcPr>
          <w:p w14:paraId="045E41B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Hypertension</w:t>
            </w:r>
          </w:p>
        </w:tc>
        <w:tc>
          <w:tcPr>
            <w:tcW w:w="0" w:type="auto"/>
            <w:shd w:val="clear" w:color="auto" w:fill="auto"/>
            <w:vAlign w:val="center"/>
          </w:tcPr>
          <w:p w14:paraId="4D47495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−0.00017971</w:t>
            </w:r>
          </w:p>
        </w:tc>
      </w:tr>
      <w:tr w14:paraId="7CED449B">
        <w:trPr>
          <w:tblCellSpacing w:w="15" w:type="dxa"/>
        </w:trPr>
        <w:tc>
          <w:tcPr>
            <w:tcW w:w="0" w:type="auto"/>
            <w:shd w:val="clear" w:color="auto" w:fill="auto"/>
            <w:vAlign w:val="center"/>
          </w:tcPr>
          <w:p w14:paraId="3AA7E08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Albumin, g/L</w:t>
            </w:r>
          </w:p>
        </w:tc>
        <w:tc>
          <w:tcPr>
            <w:tcW w:w="0" w:type="auto"/>
            <w:shd w:val="clear" w:color="auto" w:fill="auto"/>
            <w:vAlign w:val="center"/>
          </w:tcPr>
          <w:p w14:paraId="1AFA159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−0.00305552</w:t>
            </w:r>
          </w:p>
        </w:tc>
      </w:tr>
      <w:tr w14:paraId="0ADA65AD">
        <w:trPr>
          <w:tblCellSpacing w:w="15" w:type="dxa"/>
        </w:trPr>
        <w:tc>
          <w:tcPr>
            <w:tcW w:w="0" w:type="auto"/>
            <w:shd w:val="clear" w:color="auto" w:fill="auto"/>
            <w:vAlign w:val="center"/>
          </w:tcPr>
          <w:p w14:paraId="17B4EAD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2E4CF77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0.00095838</w:t>
            </w:r>
          </w:p>
        </w:tc>
      </w:tr>
      <w:tr w14:paraId="71BF3349">
        <w:trPr>
          <w:tblCellSpacing w:w="15" w:type="dxa"/>
        </w:trPr>
        <w:tc>
          <w:tcPr>
            <w:tcW w:w="0" w:type="auto"/>
            <w:shd w:val="clear" w:color="auto" w:fill="auto"/>
            <w:vAlign w:val="center"/>
          </w:tcPr>
          <w:p w14:paraId="5F42B79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shd w:val="clear" w:color="auto" w:fill="auto"/>
            <w:vAlign w:val="center"/>
          </w:tcPr>
          <w:p w14:paraId="45021FF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−0.00003333</w:t>
            </w:r>
          </w:p>
        </w:tc>
      </w:tr>
      <w:tr w14:paraId="05E82286">
        <w:trPr>
          <w:tblCellSpacing w:w="15" w:type="dxa"/>
        </w:trPr>
        <w:tc>
          <w:tcPr>
            <w:tcW w:w="0" w:type="auto"/>
            <w:shd w:val="clear" w:color="auto" w:fill="auto"/>
            <w:vAlign w:val="center"/>
          </w:tcPr>
          <w:p w14:paraId="092F5A7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T5 muscle thickness, mm</w:t>
            </w:r>
          </w:p>
        </w:tc>
        <w:tc>
          <w:tcPr>
            <w:tcW w:w="0" w:type="auto"/>
            <w:shd w:val="clear" w:color="auto" w:fill="auto"/>
            <w:vAlign w:val="center"/>
          </w:tcPr>
          <w:p w14:paraId="44F836B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−0.00283558</w:t>
            </w:r>
          </w:p>
        </w:tc>
      </w:tr>
      <w:tr w14:paraId="46403CC7">
        <w:trPr>
          <w:tblCellSpacing w:w="15" w:type="dxa"/>
        </w:trPr>
        <w:tc>
          <w:tcPr>
            <w:tcW w:w="0" w:type="auto"/>
            <w:shd w:val="clear" w:color="auto" w:fill="auto"/>
            <w:vAlign w:val="center"/>
          </w:tcPr>
          <w:p w14:paraId="3819A18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T8 muscle thickness, mm</w:t>
            </w:r>
          </w:p>
        </w:tc>
        <w:tc>
          <w:tcPr>
            <w:tcW w:w="0" w:type="auto"/>
            <w:shd w:val="clear" w:color="auto" w:fill="auto"/>
            <w:vAlign w:val="center"/>
          </w:tcPr>
          <w:p w14:paraId="7074CEA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−0.00352250</w:t>
            </w:r>
          </w:p>
        </w:tc>
      </w:tr>
      <w:tr w14:paraId="447C1518">
        <w:trPr>
          <w:tblCellSpacing w:w="15" w:type="dxa"/>
        </w:trPr>
        <w:tc>
          <w:tcPr>
            <w:tcW w:w="0" w:type="auto"/>
            <w:shd w:val="clear" w:color="auto" w:fill="auto"/>
            <w:vAlign w:val="center"/>
          </w:tcPr>
          <w:p w14:paraId="5811785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T10 muscle thickness, mm</w:t>
            </w:r>
          </w:p>
        </w:tc>
        <w:tc>
          <w:tcPr>
            <w:tcW w:w="0" w:type="auto"/>
            <w:shd w:val="clear" w:color="auto" w:fill="auto"/>
            <w:vAlign w:val="center"/>
          </w:tcPr>
          <w:p w14:paraId="1DD93A6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−0.00621646</w:t>
            </w:r>
          </w:p>
        </w:tc>
      </w:tr>
      <w:tr w14:paraId="48F2EC21">
        <w:trPr>
          <w:tblCellSpacing w:w="15" w:type="dxa"/>
        </w:trPr>
        <w:tc>
          <w:tcPr>
            <w:tcW w:w="0" w:type="auto"/>
            <w:shd w:val="clear" w:color="auto" w:fill="auto"/>
            <w:vAlign w:val="center"/>
          </w:tcPr>
          <w:p w14:paraId="5DA5523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T5 fat thickness, mm</w:t>
            </w:r>
          </w:p>
        </w:tc>
        <w:tc>
          <w:tcPr>
            <w:tcW w:w="0" w:type="auto"/>
            <w:shd w:val="clear" w:color="auto" w:fill="auto"/>
            <w:vAlign w:val="center"/>
          </w:tcPr>
          <w:p w14:paraId="486E8BF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−0.00085856</w:t>
            </w:r>
          </w:p>
        </w:tc>
      </w:tr>
      <w:tr w14:paraId="2555AB17">
        <w:trPr>
          <w:tblCellSpacing w:w="15" w:type="dxa"/>
        </w:trPr>
        <w:tc>
          <w:tcPr>
            <w:tcW w:w="0" w:type="auto"/>
            <w:shd w:val="clear" w:color="auto" w:fill="auto"/>
            <w:vAlign w:val="center"/>
          </w:tcPr>
          <w:p w14:paraId="4959497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T8 fat thickness, mm</w:t>
            </w:r>
          </w:p>
        </w:tc>
        <w:tc>
          <w:tcPr>
            <w:tcW w:w="0" w:type="auto"/>
            <w:shd w:val="clear" w:color="auto" w:fill="auto"/>
            <w:vAlign w:val="center"/>
          </w:tcPr>
          <w:p w14:paraId="0D61878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0.00009412</w:t>
            </w:r>
          </w:p>
        </w:tc>
      </w:tr>
      <w:tr w14:paraId="4DC35CAD">
        <w:trPr>
          <w:tblCellSpacing w:w="15" w:type="dxa"/>
        </w:trPr>
        <w:tc>
          <w:tcPr>
            <w:tcW w:w="0" w:type="auto"/>
            <w:tcBorders>
              <w:bottom w:val="single" w:color="000000" w:sz="4" w:space="0"/>
            </w:tcBorders>
            <w:shd w:val="clear" w:color="auto" w:fill="auto"/>
            <w:vAlign w:val="center"/>
          </w:tcPr>
          <w:p w14:paraId="11646CF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T10 fat thickness, mm</w:t>
            </w:r>
          </w:p>
        </w:tc>
        <w:tc>
          <w:tcPr>
            <w:tcW w:w="0" w:type="auto"/>
            <w:tcBorders>
              <w:bottom w:val="single" w:color="000000" w:sz="4" w:space="0"/>
            </w:tcBorders>
            <w:shd w:val="clear" w:color="auto" w:fill="auto"/>
            <w:vAlign w:val="center"/>
          </w:tcPr>
          <w:p w14:paraId="21B68EC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−0.00014442</w:t>
            </w:r>
          </w:p>
        </w:tc>
      </w:tr>
    </w:tbl>
    <w:p w14:paraId="0020DFAA">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S1H. Frozen penalties and fitting diagnostics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613"/>
        <w:gridCol w:w="863"/>
        <w:gridCol w:w="186"/>
        <w:gridCol w:w="1080"/>
        <w:gridCol w:w="1264"/>
        <w:gridCol w:w="1247"/>
        <w:gridCol w:w="1127"/>
        <w:gridCol w:w="1016"/>
      </w:tblGrid>
      <w:tr w14:paraId="7C6CD7A1">
        <w:trPr>
          <w:tblCellSpacing w:w="15" w:type="dxa"/>
        </w:trPr>
        <w:tc>
          <w:tcPr>
            <w:tcW w:w="0" w:type="auto"/>
            <w:tcBorders>
              <w:top w:val="single" w:color="000000" w:sz="4" w:space="0"/>
              <w:bottom w:val="single" w:color="000000" w:sz="4" w:space="0"/>
            </w:tcBorders>
            <w:shd w:val="clear" w:color="auto" w:fill="auto"/>
            <w:vAlign w:val="center"/>
          </w:tcPr>
          <w:p w14:paraId="7555C83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w:t>
            </w:r>
          </w:p>
        </w:tc>
        <w:tc>
          <w:tcPr>
            <w:tcW w:w="0" w:type="auto"/>
            <w:tcBorders>
              <w:top w:val="single" w:color="000000" w:sz="4" w:space="0"/>
              <w:bottom w:val="single" w:color="000000" w:sz="4" w:space="0"/>
            </w:tcBorders>
            <w:shd w:val="clear" w:color="auto" w:fill="auto"/>
            <w:vAlign w:val="center"/>
          </w:tcPr>
          <w:p w14:paraId="6F4B224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Method</w:t>
            </w:r>
          </w:p>
        </w:tc>
        <w:tc>
          <w:tcPr>
            <w:tcW w:w="0" w:type="auto"/>
            <w:tcBorders>
              <w:top w:val="single" w:color="000000" w:sz="4" w:space="0"/>
              <w:bottom w:val="single" w:color="000000" w:sz="4" w:space="0"/>
            </w:tcBorders>
            <w:shd w:val="clear" w:color="auto" w:fill="auto"/>
            <w:vAlign w:val="center"/>
          </w:tcPr>
          <w:p w14:paraId="6C319CD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α</w:t>
            </w:r>
          </w:p>
        </w:tc>
        <w:tc>
          <w:tcPr>
            <w:tcW w:w="0" w:type="auto"/>
            <w:tcBorders>
              <w:top w:val="single" w:color="000000" w:sz="4" w:space="0"/>
              <w:bottom w:val="single" w:color="000000" w:sz="4" w:space="0"/>
            </w:tcBorders>
            <w:shd w:val="clear" w:color="auto" w:fill="auto"/>
            <w:vAlign w:val="center"/>
          </w:tcPr>
          <w:p w14:paraId="5190C6E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λ</w:t>
            </w:r>
          </w:p>
        </w:tc>
        <w:tc>
          <w:tcPr>
            <w:tcW w:w="0" w:type="auto"/>
            <w:tcBorders>
              <w:top w:val="single" w:color="000000" w:sz="4" w:space="0"/>
              <w:bottom w:val="single" w:color="000000" w:sz="4" w:space="0"/>
            </w:tcBorders>
            <w:shd w:val="clear" w:color="auto" w:fill="auto"/>
            <w:vAlign w:val="center"/>
          </w:tcPr>
          <w:p w14:paraId="2D29982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Cross-validated log loss</w:t>
            </w:r>
          </w:p>
        </w:tc>
        <w:tc>
          <w:tcPr>
            <w:tcW w:w="0" w:type="auto"/>
            <w:tcBorders>
              <w:top w:val="single" w:color="000000" w:sz="4" w:space="0"/>
              <w:bottom w:val="single" w:color="000000" w:sz="4" w:space="0"/>
            </w:tcBorders>
            <w:shd w:val="clear" w:color="auto" w:fill="auto"/>
            <w:vAlign w:val="center"/>
          </w:tcPr>
          <w:p w14:paraId="5FD092B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Fitted prediction SD</w:t>
            </w:r>
          </w:p>
        </w:tc>
        <w:tc>
          <w:tcPr>
            <w:tcW w:w="0" w:type="auto"/>
            <w:tcBorders>
              <w:top w:val="single" w:color="000000" w:sz="4" w:space="0"/>
              <w:bottom w:val="single" w:color="000000" w:sz="4" w:space="0"/>
            </w:tcBorders>
            <w:shd w:val="clear" w:color="auto" w:fill="auto"/>
            <w:vAlign w:val="center"/>
          </w:tcPr>
          <w:p w14:paraId="4A58D41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Parameters</w:t>
            </w:r>
          </w:p>
        </w:tc>
        <w:tc>
          <w:tcPr>
            <w:tcW w:w="0" w:type="auto"/>
            <w:tcBorders>
              <w:top w:val="single" w:color="000000" w:sz="4" w:space="0"/>
              <w:bottom w:val="single" w:color="000000" w:sz="4" w:space="0"/>
            </w:tcBorders>
            <w:shd w:val="clear" w:color="auto" w:fill="auto"/>
            <w:vAlign w:val="center"/>
          </w:tcPr>
          <w:p w14:paraId="1F3263E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Leakage count</w:t>
            </w:r>
          </w:p>
        </w:tc>
      </w:tr>
      <w:tr w14:paraId="46518BE2">
        <w:trPr>
          <w:tblCellSpacing w:w="15" w:type="dxa"/>
        </w:trPr>
        <w:tc>
          <w:tcPr>
            <w:tcW w:w="0" w:type="auto"/>
            <w:shd w:val="clear" w:color="auto" w:fill="auto"/>
            <w:vAlign w:val="center"/>
          </w:tcPr>
          <w:p w14:paraId="6A577BB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ridge</w:t>
            </w:r>
          </w:p>
        </w:tc>
        <w:tc>
          <w:tcPr>
            <w:tcW w:w="0" w:type="auto"/>
            <w:shd w:val="clear" w:color="auto" w:fill="auto"/>
            <w:vAlign w:val="center"/>
          </w:tcPr>
          <w:p w14:paraId="50B5F9D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w:t>
            </w:r>
          </w:p>
        </w:tc>
        <w:tc>
          <w:tcPr>
            <w:tcW w:w="0" w:type="auto"/>
            <w:shd w:val="clear" w:color="auto" w:fill="auto"/>
            <w:vAlign w:val="center"/>
          </w:tcPr>
          <w:p w14:paraId="28E5D5E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5E89931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1.142063</w:t>
            </w:r>
          </w:p>
        </w:tc>
        <w:tc>
          <w:tcPr>
            <w:tcW w:w="0" w:type="auto"/>
            <w:shd w:val="clear" w:color="auto" w:fill="auto"/>
            <w:vAlign w:val="center"/>
          </w:tcPr>
          <w:p w14:paraId="344AF9D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0.676373</w:t>
            </w:r>
          </w:p>
        </w:tc>
        <w:tc>
          <w:tcPr>
            <w:tcW w:w="0" w:type="auto"/>
            <w:shd w:val="clear" w:color="auto" w:fill="auto"/>
            <w:vAlign w:val="center"/>
          </w:tcPr>
          <w:p w14:paraId="5F9B7A1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0.018921</w:t>
            </w:r>
          </w:p>
        </w:tc>
        <w:tc>
          <w:tcPr>
            <w:tcW w:w="0" w:type="auto"/>
            <w:shd w:val="clear" w:color="auto" w:fill="auto"/>
            <w:vAlign w:val="center"/>
          </w:tcPr>
          <w:p w14:paraId="149802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8</w:t>
            </w:r>
          </w:p>
        </w:tc>
        <w:tc>
          <w:tcPr>
            <w:tcW w:w="0" w:type="auto"/>
            <w:shd w:val="clear" w:color="auto" w:fill="auto"/>
            <w:vAlign w:val="center"/>
          </w:tcPr>
          <w:p w14:paraId="3356B58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r>
      <w:tr w14:paraId="6CB21E63">
        <w:trPr>
          <w:tblCellSpacing w:w="15" w:type="dxa"/>
        </w:trPr>
        <w:tc>
          <w:tcPr>
            <w:tcW w:w="0" w:type="auto"/>
            <w:shd w:val="clear" w:color="auto" w:fill="auto"/>
            <w:vAlign w:val="center"/>
          </w:tcPr>
          <w:p w14:paraId="740A8FE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ridge</w:t>
            </w:r>
          </w:p>
        </w:tc>
        <w:tc>
          <w:tcPr>
            <w:tcW w:w="0" w:type="auto"/>
            <w:shd w:val="clear" w:color="auto" w:fill="auto"/>
            <w:vAlign w:val="center"/>
          </w:tcPr>
          <w:p w14:paraId="04B4A47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w:t>
            </w:r>
          </w:p>
        </w:tc>
        <w:tc>
          <w:tcPr>
            <w:tcW w:w="0" w:type="auto"/>
            <w:shd w:val="clear" w:color="auto" w:fill="auto"/>
            <w:vAlign w:val="center"/>
          </w:tcPr>
          <w:p w14:paraId="2534E75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59E9C9F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90.453295</w:t>
            </w:r>
          </w:p>
        </w:tc>
        <w:tc>
          <w:tcPr>
            <w:tcW w:w="0" w:type="auto"/>
            <w:shd w:val="clear" w:color="auto" w:fill="auto"/>
            <w:vAlign w:val="center"/>
          </w:tcPr>
          <w:p w14:paraId="2CEA437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0.680792</w:t>
            </w:r>
          </w:p>
        </w:tc>
        <w:tc>
          <w:tcPr>
            <w:tcW w:w="0" w:type="auto"/>
            <w:shd w:val="clear" w:color="auto" w:fill="auto"/>
            <w:vAlign w:val="center"/>
          </w:tcPr>
          <w:p w14:paraId="0D1F3B5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0.000426</w:t>
            </w:r>
          </w:p>
        </w:tc>
        <w:tc>
          <w:tcPr>
            <w:tcW w:w="0" w:type="auto"/>
            <w:shd w:val="clear" w:color="auto" w:fill="auto"/>
            <w:vAlign w:val="center"/>
          </w:tcPr>
          <w:p w14:paraId="395F61C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w:t>
            </w:r>
          </w:p>
        </w:tc>
        <w:tc>
          <w:tcPr>
            <w:tcW w:w="0" w:type="auto"/>
            <w:shd w:val="clear" w:color="auto" w:fill="auto"/>
            <w:vAlign w:val="center"/>
          </w:tcPr>
          <w:p w14:paraId="649CC2B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r>
      <w:tr w14:paraId="58612DBC">
        <w:trPr>
          <w:tblCellSpacing w:w="15" w:type="dxa"/>
        </w:trPr>
        <w:tc>
          <w:tcPr>
            <w:tcW w:w="0" w:type="auto"/>
            <w:shd w:val="clear" w:color="auto" w:fill="auto"/>
            <w:vAlign w:val="center"/>
          </w:tcPr>
          <w:p w14:paraId="5116D81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elastic net</w:t>
            </w:r>
          </w:p>
        </w:tc>
        <w:tc>
          <w:tcPr>
            <w:tcW w:w="0" w:type="auto"/>
            <w:shd w:val="clear" w:color="auto" w:fill="auto"/>
            <w:vAlign w:val="center"/>
          </w:tcPr>
          <w:p w14:paraId="44E1173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Elastic net</w:t>
            </w:r>
          </w:p>
        </w:tc>
        <w:tc>
          <w:tcPr>
            <w:tcW w:w="0" w:type="auto"/>
            <w:shd w:val="clear" w:color="auto" w:fill="auto"/>
            <w:vAlign w:val="center"/>
          </w:tcPr>
          <w:p w14:paraId="04BA24B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w:t>
            </w:r>
          </w:p>
        </w:tc>
        <w:tc>
          <w:tcPr>
            <w:tcW w:w="0" w:type="auto"/>
            <w:shd w:val="clear" w:color="auto" w:fill="auto"/>
            <w:vAlign w:val="center"/>
          </w:tcPr>
          <w:p w14:paraId="609055A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0.058419</w:t>
            </w:r>
          </w:p>
        </w:tc>
        <w:tc>
          <w:tcPr>
            <w:tcW w:w="0" w:type="auto"/>
            <w:shd w:val="clear" w:color="auto" w:fill="auto"/>
            <w:vAlign w:val="center"/>
          </w:tcPr>
          <w:p w14:paraId="41D57E5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0.671889</w:t>
            </w:r>
          </w:p>
        </w:tc>
        <w:tc>
          <w:tcPr>
            <w:tcW w:w="0" w:type="auto"/>
            <w:shd w:val="clear" w:color="auto" w:fill="auto"/>
            <w:vAlign w:val="center"/>
          </w:tcPr>
          <w:p w14:paraId="5481DF5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0.032145</w:t>
            </w:r>
          </w:p>
        </w:tc>
        <w:tc>
          <w:tcPr>
            <w:tcW w:w="0" w:type="auto"/>
            <w:shd w:val="clear" w:color="auto" w:fill="auto"/>
            <w:vAlign w:val="center"/>
          </w:tcPr>
          <w:p w14:paraId="73D6C0B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8</w:t>
            </w:r>
          </w:p>
        </w:tc>
        <w:tc>
          <w:tcPr>
            <w:tcW w:w="0" w:type="auto"/>
            <w:shd w:val="clear" w:color="auto" w:fill="auto"/>
            <w:vAlign w:val="center"/>
          </w:tcPr>
          <w:p w14:paraId="3BADB18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r>
      <w:tr w14:paraId="67E4026F">
        <w:trPr>
          <w:tblCellSpacing w:w="15" w:type="dxa"/>
        </w:trPr>
        <w:tc>
          <w:tcPr>
            <w:tcW w:w="0" w:type="auto"/>
            <w:shd w:val="clear" w:color="auto" w:fill="auto"/>
            <w:vAlign w:val="center"/>
          </w:tcPr>
          <w:p w14:paraId="566830A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elastic net</w:t>
            </w:r>
          </w:p>
        </w:tc>
        <w:tc>
          <w:tcPr>
            <w:tcW w:w="0" w:type="auto"/>
            <w:shd w:val="clear" w:color="auto" w:fill="auto"/>
            <w:vAlign w:val="center"/>
          </w:tcPr>
          <w:p w14:paraId="679F0BC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Elastic net</w:t>
            </w:r>
          </w:p>
        </w:tc>
        <w:tc>
          <w:tcPr>
            <w:tcW w:w="0" w:type="auto"/>
            <w:shd w:val="clear" w:color="auto" w:fill="auto"/>
            <w:vAlign w:val="center"/>
          </w:tcPr>
          <w:p w14:paraId="2AC0FE2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w:t>
            </w:r>
          </w:p>
        </w:tc>
        <w:tc>
          <w:tcPr>
            <w:tcW w:w="0" w:type="auto"/>
            <w:shd w:val="clear" w:color="auto" w:fill="auto"/>
            <w:vAlign w:val="center"/>
          </w:tcPr>
          <w:p w14:paraId="218B35C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0.050496</w:t>
            </w:r>
          </w:p>
        </w:tc>
        <w:tc>
          <w:tcPr>
            <w:tcW w:w="0" w:type="auto"/>
            <w:shd w:val="clear" w:color="auto" w:fill="auto"/>
            <w:vAlign w:val="center"/>
          </w:tcPr>
          <w:p w14:paraId="3AFED45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0.668011</w:t>
            </w:r>
          </w:p>
        </w:tc>
        <w:tc>
          <w:tcPr>
            <w:tcW w:w="0" w:type="auto"/>
            <w:shd w:val="clear" w:color="auto" w:fill="auto"/>
            <w:vAlign w:val="center"/>
          </w:tcPr>
          <w:p w14:paraId="0BDE986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0.045712</w:t>
            </w:r>
          </w:p>
        </w:tc>
        <w:tc>
          <w:tcPr>
            <w:tcW w:w="0" w:type="auto"/>
            <w:shd w:val="clear" w:color="auto" w:fill="auto"/>
            <w:vAlign w:val="center"/>
          </w:tcPr>
          <w:p w14:paraId="1EBC9E1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w:t>
            </w:r>
          </w:p>
        </w:tc>
        <w:tc>
          <w:tcPr>
            <w:tcW w:w="0" w:type="auto"/>
            <w:shd w:val="clear" w:color="auto" w:fill="auto"/>
            <w:vAlign w:val="center"/>
          </w:tcPr>
          <w:p w14:paraId="1EE34C8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r>
      <w:tr w14:paraId="616CA8C4">
        <w:trPr>
          <w:tblCellSpacing w:w="15" w:type="dxa"/>
        </w:trPr>
        <w:tc>
          <w:tcPr>
            <w:tcW w:w="0" w:type="auto"/>
            <w:shd w:val="clear" w:color="auto" w:fill="auto"/>
            <w:vAlign w:val="center"/>
          </w:tcPr>
          <w:p w14:paraId="01F9E74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Clinical-plus-muscle ridge</w:t>
            </w:r>
          </w:p>
        </w:tc>
        <w:tc>
          <w:tcPr>
            <w:tcW w:w="0" w:type="auto"/>
            <w:shd w:val="clear" w:color="auto" w:fill="auto"/>
            <w:vAlign w:val="center"/>
          </w:tcPr>
          <w:p w14:paraId="7F92640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w:t>
            </w:r>
          </w:p>
        </w:tc>
        <w:tc>
          <w:tcPr>
            <w:tcW w:w="0" w:type="auto"/>
            <w:shd w:val="clear" w:color="auto" w:fill="auto"/>
            <w:vAlign w:val="center"/>
          </w:tcPr>
          <w:p w14:paraId="2453F24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5730C0F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10.163828</w:t>
            </w:r>
          </w:p>
        </w:tc>
        <w:tc>
          <w:tcPr>
            <w:tcW w:w="0" w:type="auto"/>
            <w:shd w:val="clear" w:color="auto" w:fill="auto"/>
            <w:vAlign w:val="center"/>
          </w:tcPr>
          <w:p w14:paraId="25DFDF7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0.679812</w:t>
            </w:r>
          </w:p>
        </w:tc>
        <w:tc>
          <w:tcPr>
            <w:tcW w:w="0" w:type="auto"/>
            <w:shd w:val="clear" w:color="auto" w:fill="auto"/>
            <w:vAlign w:val="center"/>
          </w:tcPr>
          <w:p w14:paraId="69098F4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0.003607</w:t>
            </w:r>
          </w:p>
        </w:tc>
        <w:tc>
          <w:tcPr>
            <w:tcW w:w="0" w:type="auto"/>
            <w:shd w:val="clear" w:color="auto" w:fill="auto"/>
            <w:vAlign w:val="center"/>
          </w:tcPr>
          <w:p w14:paraId="1D7DFAD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9</w:t>
            </w:r>
          </w:p>
        </w:tc>
        <w:tc>
          <w:tcPr>
            <w:tcW w:w="0" w:type="auto"/>
            <w:shd w:val="clear" w:color="auto" w:fill="auto"/>
            <w:vAlign w:val="center"/>
          </w:tcPr>
          <w:p w14:paraId="6EF9A32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r>
      <w:tr w14:paraId="2643C870">
        <w:trPr>
          <w:tblCellSpacing w:w="15" w:type="dxa"/>
        </w:trPr>
        <w:tc>
          <w:tcPr>
            <w:tcW w:w="0" w:type="auto"/>
            <w:shd w:val="clear" w:color="auto" w:fill="auto"/>
            <w:vAlign w:val="center"/>
          </w:tcPr>
          <w:p w14:paraId="5A9CBEB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Clinical-plus-fat ridge</w:t>
            </w:r>
          </w:p>
        </w:tc>
        <w:tc>
          <w:tcPr>
            <w:tcW w:w="0" w:type="auto"/>
            <w:shd w:val="clear" w:color="auto" w:fill="auto"/>
            <w:vAlign w:val="center"/>
          </w:tcPr>
          <w:p w14:paraId="3127AF8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w:t>
            </w:r>
          </w:p>
        </w:tc>
        <w:tc>
          <w:tcPr>
            <w:tcW w:w="0" w:type="auto"/>
            <w:shd w:val="clear" w:color="auto" w:fill="auto"/>
            <w:vAlign w:val="center"/>
          </w:tcPr>
          <w:p w14:paraId="58D04D4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63F6EEF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90.453295</w:t>
            </w:r>
          </w:p>
        </w:tc>
        <w:tc>
          <w:tcPr>
            <w:tcW w:w="0" w:type="auto"/>
            <w:shd w:val="clear" w:color="auto" w:fill="auto"/>
            <w:vAlign w:val="center"/>
          </w:tcPr>
          <w:p w14:paraId="34A0340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0.680872</w:t>
            </w:r>
          </w:p>
        </w:tc>
        <w:tc>
          <w:tcPr>
            <w:tcW w:w="0" w:type="auto"/>
            <w:shd w:val="clear" w:color="auto" w:fill="auto"/>
            <w:vAlign w:val="center"/>
          </w:tcPr>
          <w:p w14:paraId="3F942A9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0.000309</w:t>
            </w:r>
          </w:p>
        </w:tc>
        <w:tc>
          <w:tcPr>
            <w:tcW w:w="0" w:type="auto"/>
            <w:shd w:val="clear" w:color="auto" w:fill="auto"/>
            <w:vAlign w:val="center"/>
          </w:tcPr>
          <w:p w14:paraId="46FBE2B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9</w:t>
            </w:r>
          </w:p>
        </w:tc>
        <w:tc>
          <w:tcPr>
            <w:tcW w:w="0" w:type="auto"/>
            <w:shd w:val="clear" w:color="auto" w:fill="auto"/>
            <w:vAlign w:val="center"/>
          </w:tcPr>
          <w:p w14:paraId="78DC9B2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r>
      <w:tr w14:paraId="72318A12">
        <w:trPr>
          <w:tblCellSpacing w:w="15" w:type="dxa"/>
        </w:trPr>
        <w:tc>
          <w:tcPr>
            <w:tcW w:w="0" w:type="auto"/>
            <w:shd w:val="clear" w:color="auto" w:fill="auto"/>
            <w:vAlign w:val="center"/>
          </w:tcPr>
          <w:p w14:paraId="6340E6C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Individual-CT ridge</w:t>
            </w:r>
          </w:p>
        </w:tc>
        <w:tc>
          <w:tcPr>
            <w:tcW w:w="0" w:type="auto"/>
            <w:shd w:val="clear" w:color="auto" w:fill="auto"/>
            <w:vAlign w:val="center"/>
          </w:tcPr>
          <w:p w14:paraId="6EA0428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w:t>
            </w:r>
          </w:p>
        </w:tc>
        <w:tc>
          <w:tcPr>
            <w:tcW w:w="0" w:type="auto"/>
            <w:shd w:val="clear" w:color="auto" w:fill="auto"/>
            <w:vAlign w:val="center"/>
          </w:tcPr>
          <w:p w14:paraId="4D34946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1F523A0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2.738023</w:t>
            </w:r>
          </w:p>
        </w:tc>
        <w:tc>
          <w:tcPr>
            <w:tcW w:w="0" w:type="auto"/>
            <w:shd w:val="clear" w:color="auto" w:fill="auto"/>
            <w:vAlign w:val="center"/>
          </w:tcPr>
          <w:p w14:paraId="3265339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0.677388</w:t>
            </w:r>
          </w:p>
        </w:tc>
        <w:tc>
          <w:tcPr>
            <w:tcW w:w="0" w:type="auto"/>
            <w:shd w:val="clear" w:color="auto" w:fill="auto"/>
            <w:vAlign w:val="center"/>
          </w:tcPr>
          <w:p w14:paraId="7D5E762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0.016238</w:t>
            </w:r>
          </w:p>
        </w:tc>
        <w:tc>
          <w:tcPr>
            <w:tcW w:w="0" w:type="auto"/>
            <w:shd w:val="clear" w:color="auto" w:fill="auto"/>
            <w:vAlign w:val="center"/>
          </w:tcPr>
          <w:p w14:paraId="0E11745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14</w:t>
            </w:r>
          </w:p>
        </w:tc>
        <w:tc>
          <w:tcPr>
            <w:tcW w:w="0" w:type="auto"/>
            <w:shd w:val="clear" w:color="auto" w:fill="auto"/>
            <w:vAlign w:val="center"/>
          </w:tcPr>
          <w:p w14:paraId="64297E4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r>
    </w:tbl>
    <w:p w14:paraId="1556A619">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The clinical-plus-mean-CT ridge and clinical-plus-fat ridge models selected the prespecified practical-null penalty boundary. SD, standard deviation.</w:t>
      </w:r>
    </w:p>
    <w:p w14:paraId="29B040E1">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S1I. Frozen VATS preprocessing parameters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41"/>
        <w:gridCol w:w="1080"/>
        <w:gridCol w:w="1095"/>
      </w:tblGrid>
      <w:tr w14:paraId="05DCB847">
        <w:trPr>
          <w:tblCellSpacing w:w="15" w:type="dxa"/>
        </w:trPr>
        <w:tc>
          <w:tcPr>
            <w:tcW w:w="0" w:type="auto"/>
            <w:tcBorders>
              <w:top w:val="single" w:color="000000" w:sz="4" w:space="0"/>
              <w:bottom w:val="single" w:color="000000" w:sz="4" w:space="0"/>
            </w:tcBorders>
            <w:shd w:val="clear" w:color="auto" w:fill="auto"/>
            <w:vAlign w:val="center"/>
          </w:tcPr>
          <w:p w14:paraId="2B03BED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Continuous predictor</w:t>
            </w:r>
          </w:p>
        </w:tc>
        <w:tc>
          <w:tcPr>
            <w:tcW w:w="0" w:type="auto"/>
            <w:tcBorders>
              <w:top w:val="single" w:color="000000" w:sz="4" w:space="0"/>
              <w:bottom w:val="single" w:color="000000" w:sz="4" w:space="0"/>
            </w:tcBorders>
            <w:shd w:val="clear" w:color="auto" w:fill="auto"/>
            <w:vAlign w:val="center"/>
          </w:tcPr>
          <w:p w14:paraId="08E1E14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Center</w:t>
            </w:r>
          </w:p>
        </w:tc>
        <w:tc>
          <w:tcPr>
            <w:tcW w:w="0" w:type="auto"/>
            <w:tcBorders>
              <w:top w:val="single" w:color="000000" w:sz="4" w:space="0"/>
              <w:bottom w:val="single" w:color="000000" w:sz="4" w:space="0"/>
            </w:tcBorders>
            <w:shd w:val="clear" w:color="auto" w:fill="auto"/>
            <w:vAlign w:val="center"/>
          </w:tcPr>
          <w:p w14:paraId="1360C1E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Scale</w:t>
            </w:r>
          </w:p>
        </w:tc>
      </w:tr>
      <w:tr w14:paraId="3DFD193C">
        <w:trPr>
          <w:tblCellSpacing w:w="15" w:type="dxa"/>
        </w:trPr>
        <w:tc>
          <w:tcPr>
            <w:tcW w:w="0" w:type="auto"/>
            <w:shd w:val="clear" w:color="auto" w:fill="auto"/>
            <w:vAlign w:val="center"/>
          </w:tcPr>
          <w:p w14:paraId="4972ABB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42FBF9F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60.667774</w:t>
            </w:r>
          </w:p>
        </w:tc>
        <w:tc>
          <w:tcPr>
            <w:tcW w:w="0" w:type="auto"/>
            <w:shd w:val="clear" w:color="auto" w:fill="auto"/>
            <w:vAlign w:val="center"/>
          </w:tcPr>
          <w:p w14:paraId="7096E36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11.246152</w:t>
            </w:r>
          </w:p>
        </w:tc>
      </w:tr>
      <w:tr w14:paraId="3028154C">
        <w:trPr>
          <w:tblCellSpacing w:w="15" w:type="dxa"/>
        </w:trPr>
        <w:tc>
          <w:tcPr>
            <w:tcW w:w="0" w:type="auto"/>
            <w:shd w:val="clear" w:color="auto" w:fill="auto"/>
            <w:vAlign w:val="center"/>
          </w:tcPr>
          <w:p w14:paraId="48CFF69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BMI, kg/m²</w:t>
            </w:r>
          </w:p>
        </w:tc>
        <w:tc>
          <w:tcPr>
            <w:tcW w:w="0" w:type="auto"/>
            <w:shd w:val="clear" w:color="auto" w:fill="auto"/>
            <w:vAlign w:val="center"/>
          </w:tcPr>
          <w:p w14:paraId="1DF9020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23.343987</w:t>
            </w:r>
          </w:p>
        </w:tc>
        <w:tc>
          <w:tcPr>
            <w:tcW w:w="0" w:type="auto"/>
            <w:shd w:val="clear" w:color="auto" w:fill="auto"/>
            <w:vAlign w:val="center"/>
          </w:tcPr>
          <w:p w14:paraId="1C8E6E8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3.448375</w:t>
            </w:r>
          </w:p>
        </w:tc>
      </w:tr>
      <w:tr w14:paraId="303866B5">
        <w:trPr>
          <w:tblCellSpacing w:w="15" w:type="dxa"/>
        </w:trPr>
        <w:tc>
          <w:tcPr>
            <w:tcW w:w="0" w:type="auto"/>
            <w:shd w:val="clear" w:color="auto" w:fill="auto"/>
            <w:vAlign w:val="center"/>
          </w:tcPr>
          <w:p w14:paraId="5090C56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Albumin, g/L</w:t>
            </w:r>
          </w:p>
        </w:tc>
        <w:tc>
          <w:tcPr>
            <w:tcW w:w="0" w:type="auto"/>
            <w:shd w:val="clear" w:color="auto" w:fill="auto"/>
            <w:vAlign w:val="center"/>
          </w:tcPr>
          <w:p w14:paraId="2328CB2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35.810133</w:t>
            </w:r>
          </w:p>
        </w:tc>
        <w:tc>
          <w:tcPr>
            <w:tcW w:w="0" w:type="auto"/>
            <w:shd w:val="clear" w:color="auto" w:fill="auto"/>
            <w:vAlign w:val="center"/>
          </w:tcPr>
          <w:p w14:paraId="77EA807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3.549914</w:t>
            </w:r>
          </w:p>
        </w:tc>
      </w:tr>
      <w:tr w14:paraId="470C9405">
        <w:trPr>
          <w:tblCellSpacing w:w="15" w:type="dxa"/>
        </w:trPr>
        <w:tc>
          <w:tcPr>
            <w:tcW w:w="0" w:type="auto"/>
            <w:shd w:val="clear" w:color="auto" w:fill="auto"/>
            <w:vAlign w:val="center"/>
          </w:tcPr>
          <w:p w14:paraId="048637A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20CF2AD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82.956811</w:t>
            </w:r>
          </w:p>
        </w:tc>
        <w:tc>
          <w:tcPr>
            <w:tcW w:w="0" w:type="auto"/>
            <w:shd w:val="clear" w:color="auto" w:fill="auto"/>
            <w:vAlign w:val="center"/>
          </w:tcPr>
          <w:p w14:paraId="5B92F2D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7.404152</w:t>
            </w:r>
          </w:p>
        </w:tc>
      </w:tr>
      <w:tr w14:paraId="066E8E8E">
        <w:trPr>
          <w:tblCellSpacing w:w="15" w:type="dxa"/>
        </w:trPr>
        <w:tc>
          <w:tcPr>
            <w:tcW w:w="0" w:type="auto"/>
            <w:shd w:val="clear" w:color="auto" w:fill="auto"/>
            <w:vAlign w:val="center"/>
          </w:tcPr>
          <w:p w14:paraId="7EF665C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shd w:val="clear" w:color="auto" w:fill="auto"/>
            <w:vAlign w:val="center"/>
          </w:tcPr>
          <w:p w14:paraId="045F0AD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77.953488</w:t>
            </w:r>
          </w:p>
        </w:tc>
        <w:tc>
          <w:tcPr>
            <w:tcW w:w="0" w:type="auto"/>
            <w:shd w:val="clear" w:color="auto" w:fill="auto"/>
            <w:vAlign w:val="center"/>
          </w:tcPr>
          <w:p w14:paraId="06AEF72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7.843330</w:t>
            </w:r>
          </w:p>
        </w:tc>
      </w:tr>
      <w:tr w14:paraId="764F2C8A">
        <w:trPr>
          <w:tblCellSpacing w:w="15" w:type="dxa"/>
        </w:trPr>
        <w:tc>
          <w:tcPr>
            <w:tcW w:w="0" w:type="auto"/>
            <w:shd w:val="clear" w:color="auto" w:fill="auto"/>
            <w:vAlign w:val="center"/>
          </w:tcPr>
          <w:p w14:paraId="2538578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muscle thickness, mm</w:t>
            </w:r>
          </w:p>
        </w:tc>
        <w:tc>
          <w:tcPr>
            <w:tcW w:w="0" w:type="auto"/>
            <w:shd w:val="clear" w:color="auto" w:fill="auto"/>
            <w:vAlign w:val="center"/>
          </w:tcPr>
          <w:p w14:paraId="1730B4D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25.434252</w:t>
            </w:r>
          </w:p>
        </w:tc>
        <w:tc>
          <w:tcPr>
            <w:tcW w:w="0" w:type="auto"/>
            <w:shd w:val="clear" w:color="auto" w:fill="auto"/>
            <w:vAlign w:val="center"/>
          </w:tcPr>
          <w:p w14:paraId="38E3521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4.293086</w:t>
            </w:r>
          </w:p>
        </w:tc>
      </w:tr>
      <w:tr w14:paraId="34010A18">
        <w:trPr>
          <w:tblCellSpacing w:w="15" w:type="dxa"/>
        </w:trPr>
        <w:tc>
          <w:tcPr>
            <w:tcW w:w="0" w:type="auto"/>
            <w:shd w:val="clear" w:color="auto" w:fill="auto"/>
            <w:vAlign w:val="center"/>
          </w:tcPr>
          <w:p w14:paraId="460DE56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fat thickness, mm</w:t>
            </w:r>
          </w:p>
        </w:tc>
        <w:tc>
          <w:tcPr>
            <w:tcW w:w="0" w:type="auto"/>
            <w:shd w:val="clear" w:color="auto" w:fill="auto"/>
            <w:vAlign w:val="center"/>
          </w:tcPr>
          <w:p w14:paraId="7166423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13.910842</w:t>
            </w:r>
          </w:p>
        </w:tc>
        <w:tc>
          <w:tcPr>
            <w:tcW w:w="0" w:type="auto"/>
            <w:shd w:val="clear" w:color="auto" w:fill="auto"/>
            <w:vAlign w:val="center"/>
          </w:tcPr>
          <w:p w14:paraId="0EB1B8D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5.857754</w:t>
            </w:r>
          </w:p>
        </w:tc>
      </w:tr>
      <w:tr w14:paraId="1CCEFAD5">
        <w:trPr>
          <w:tblCellSpacing w:w="15" w:type="dxa"/>
        </w:trPr>
        <w:tc>
          <w:tcPr>
            <w:tcW w:w="0" w:type="auto"/>
            <w:shd w:val="clear" w:color="auto" w:fill="auto"/>
            <w:vAlign w:val="center"/>
          </w:tcPr>
          <w:p w14:paraId="1FFD3E1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T5 muscle thickness, mm</w:t>
            </w:r>
          </w:p>
        </w:tc>
        <w:tc>
          <w:tcPr>
            <w:tcW w:w="0" w:type="auto"/>
            <w:shd w:val="clear" w:color="auto" w:fill="auto"/>
            <w:vAlign w:val="center"/>
          </w:tcPr>
          <w:p w14:paraId="7410953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45.846213</w:t>
            </w:r>
          </w:p>
        </w:tc>
        <w:tc>
          <w:tcPr>
            <w:tcW w:w="0" w:type="auto"/>
            <w:shd w:val="clear" w:color="auto" w:fill="auto"/>
            <w:vAlign w:val="center"/>
          </w:tcPr>
          <w:p w14:paraId="329D96F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7.743692</w:t>
            </w:r>
          </w:p>
        </w:tc>
      </w:tr>
      <w:tr w14:paraId="78F8B7EB">
        <w:trPr>
          <w:tblCellSpacing w:w="15" w:type="dxa"/>
        </w:trPr>
        <w:tc>
          <w:tcPr>
            <w:tcW w:w="0" w:type="auto"/>
            <w:shd w:val="clear" w:color="auto" w:fill="auto"/>
            <w:vAlign w:val="center"/>
          </w:tcPr>
          <w:p w14:paraId="1BF116F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T8 muscle thickness, mm</w:t>
            </w:r>
          </w:p>
        </w:tc>
        <w:tc>
          <w:tcPr>
            <w:tcW w:w="0" w:type="auto"/>
            <w:shd w:val="clear" w:color="auto" w:fill="auto"/>
            <w:vAlign w:val="center"/>
          </w:tcPr>
          <w:p w14:paraId="6D069A9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21.266412</w:t>
            </w:r>
          </w:p>
        </w:tc>
        <w:tc>
          <w:tcPr>
            <w:tcW w:w="0" w:type="auto"/>
            <w:shd w:val="clear" w:color="auto" w:fill="auto"/>
            <w:vAlign w:val="center"/>
          </w:tcPr>
          <w:p w14:paraId="574D16D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4.924558</w:t>
            </w:r>
          </w:p>
        </w:tc>
      </w:tr>
      <w:tr w14:paraId="606A449F">
        <w:trPr>
          <w:tblCellSpacing w:w="15" w:type="dxa"/>
        </w:trPr>
        <w:tc>
          <w:tcPr>
            <w:tcW w:w="0" w:type="auto"/>
            <w:shd w:val="clear" w:color="auto" w:fill="auto"/>
            <w:vAlign w:val="center"/>
          </w:tcPr>
          <w:p w14:paraId="20CB3BC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T10 muscle thickness, mm</w:t>
            </w:r>
          </w:p>
        </w:tc>
        <w:tc>
          <w:tcPr>
            <w:tcW w:w="0" w:type="auto"/>
            <w:shd w:val="clear" w:color="auto" w:fill="auto"/>
            <w:vAlign w:val="center"/>
          </w:tcPr>
          <w:p w14:paraId="01E9020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9.190133</w:t>
            </w:r>
          </w:p>
        </w:tc>
        <w:tc>
          <w:tcPr>
            <w:tcW w:w="0" w:type="auto"/>
            <w:shd w:val="clear" w:color="auto" w:fill="auto"/>
            <w:vAlign w:val="center"/>
          </w:tcPr>
          <w:p w14:paraId="10B4F7C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2.667067</w:t>
            </w:r>
          </w:p>
        </w:tc>
      </w:tr>
      <w:tr w14:paraId="50BDB1AA">
        <w:trPr>
          <w:tblCellSpacing w:w="15" w:type="dxa"/>
        </w:trPr>
        <w:tc>
          <w:tcPr>
            <w:tcW w:w="0" w:type="auto"/>
            <w:shd w:val="clear" w:color="auto" w:fill="auto"/>
            <w:vAlign w:val="center"/>
          </w:tcPr>
          <w:p w14:paraId="5C39CAE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T5 fat thickness, mm</w:t>
            </w:r>
          </w:p>
        </w:tc>
        <w:tc>
          <w:tcPr>
            <w:tcW w:w="0" w:type="auto"/>
            <w:shd w:val="clear" w:color="auto" w:fill="auto"/>
            <w:vAlign w:val="center"/>
          </w:tcPr>
          <w:p w14:paraId="064147B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15.232093</w:t>
            </w:r>
          </w:p>
        </w:tc>
        <w:tc>
          <w:tcPr>
            <w:tcW w:w="0" w:type="auto"/>
            <w:shd w:val="clear" w:color="auto" w:fill="auto"/>
            <w:vAlign w:val="center"/>
          </w:tcPr>
          <w:p w14:paraId="7DF884F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6.038545</w:t>
            </w:r>
          </w:p>
        </w:tc>
      </w:tr>
      <w:tr w14:paraId="0BB15B64">
        <w:trPr>
          <w:tblCellSpacing w:w="15" w:type="dxa"/>
        </w:trPr>
        <w:tc>
          <w:tcPr>
            <w:tcW w:w="0" w:type="auto"/>
            <w:shd w:val="clear" w:color="auto" w:fill="auto"/>
            <w:vAlign w:val="center"/>
          </w:tcPr>
          <w:p w14:paraId="614153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T8 fat thickness, mm</w:t>
            </w:r>
          </w:p>
        </w:tc>
        <w:tc>
          <w:tcPr>
            <w:tcW w:w="0" w:type="auto"/>
            <w:shd w:val="clear" w:color="auto" w:fill="auto"/>
            <w:vAlign w:val="center"/>
          </w:tcPr>
          <w:p w14:paraId="4838E43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14.691096</w:t>
            </w:r>
          </w:p>
        </w:tc>
        <w:tc>
          <w:tcPr>
            <w:tcW w:w="0" w:type="auto"/>
            <w:shd w:val="clear" w:color="auto" w:fill="auto"/>
            <w:vAlign w:val="center"/>
          </w:tcPr>
          <w:p w14:paraId="504CAD2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6.677303</w:t>
            </w:r>
          </w:p>
        </w:tc>
      </w:tr>
      <w:tr w14:paraId="2041AA25">
        <w:trPr>
          <w:tblCellSpacing w:w="15" w:type="dxa"/>
        </w:trPr>
        <w:tc>
          <w:tcPr>
            <w:tcW w:w="0" w:type="auto"/>
            <w:tcBorders>
              <w:bottom w:val="single" w:color="000000" w:sz="4" w:space="0"/>
            </w:tcBorders>
            <w:shd w:val="clear" w:color="auto" w:fill="auto"/>
            <w:vAlign w:val="center"/>
          </w:tcPr>
          <w:p w14:paraId="33C1E7B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T10 fat thickness, mm</w:t>
            </w:r>
          </w:p>
        </w:tc>
        <w:tc>
          <w:tcPr>
            <w:tcW w:w="0" w:type="auto"/>
            <w:tcBorders>
              <w:bottom w:val="single" w:color="000000" w:sz="4" w:space="0"/>
            </w:tcBorders>
            <w:shd w:val="clear" w:color="auto" w:fill="auto"/>
            <w:vAlign w:val="center"/>
          </w:tcPr>
          <w:p w14:paraId="37AF8E0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11.809336</w:t>
            </w:r>
          </w:p>
        </w:tc>
        <w:tc>
          <w:tcPr>
            <w:tcW w:w="0" w:type="auto"/>
            <w:tcBorders>
              <w:bottom w:val="single" w:color="000000" w:sz="4" w:space="0"/>
            </w:tcBorders>
            <w:shd w:val="clear" w:color="auto" w:fill="auto"/>
            <w:vAlign w:val="center"/>
          </w:tcPr>
          <w:p w14:paraId="0DBB97F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5.925200</w:t>
            </w:r>
          </w:p>
        </w:tc>
      </w:tr>
    </w:tbl>
    <w:p w14:paraId="75261E68">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Standardized values were calculated as (observed value − center)/scale. These VATS-derived parameters were applied unchanged during locked esophagectomy evaluation. Binary variables were not standardized.</w:t>
      </w:r>
    </w:p>
    <w:p w14:paraId="63FF7E45">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S2. Optimism-corrected internal-validation performance of all frozen models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72"/>
        <w:gridCol w:w="1077"/>
        <w:gridCol w:w="1077"/>
        <w:gridCol w:w="1077"/>
        <w:gridCol w:w="1077"/>
        <w:gridCol w:w="868"/>
        <w:gridCol w:w="1256"/>
        <w:gridCol w:w="1092"/>
      </w:tblGrid>
      <w:tr w14:paraId="255D98D7">
        <w:trPr>
          <w:tblCellSpacing w:w="15" w:type="dxa"/>
        </w:trPr>
        <w:tc>
          <w:tcPr>
            <w:tcW w:w="0" w:type="auto"/>
            <w:tcBorders>
              <w:top w:val="single" w:color="000000" w:sz="4" w:space="0"/>
              <w:bottom w:val="single" w:color="000000" w:sz="4" w:space="0"/>
            </w:tcBorders>
            <w:shd w:val="clear" w:color="auto" w:fill="auto"/>
            <w:vAlign w:val="center"/>
          </w:tcPr>
          <w:p w14:paraId="39A6EF2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w:t>
            </w:r>
          </w:p>
        </w:tc>
        <w:tc>
          <w:tcPr>
            <w:tcW w:w="0" w:type="auto"/>
            <w:tcBorders>
              <w:top w:val="single" w:color="000000" w:sz="4" w:space="0"/>
              <w:bottom w:val="single" w:color="000000" w:sz="4" w:space="0"/>
            </w:tcBorders>
            <w:shd w:val="clear" w:color="auto" w:fill="auto"/>
            <w:vAlign w:val="center"/>
          </w:tcPr>
          <w:p w14:paraId="2AD7ADC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AUROC</w:t>
            </w:r>
          </w:p>
        </w:tc>
        <w:tc>
          <w:tcPr>
            <w:tcW w:w="0" w:type="auto"/>
            <w:tcBorders>
              <w:top w:val="single" w:color="000000" w:sz="4" w:space="0"/>
              <w:bottom w:val="single" w:color="000000" w:sz="4" w:space="0"/>
            </w:tcBorders>
            <w:shd w:val="clear" w:color="auto" w:fill="auto"/>
            <w:vAlign w:val="center"/>
          </w:tcPr>
          <w:p w14:paraId="718247C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AUPRC</w:t>
            </w:r>
          </w:p>
        </w:tc>
        <w:tc>
          <w:tcPr>
            <w:tcW w:w="0" w:type="auto"/>
            <w:tcBorders>
              <w:top w:val="single" w:color="000000" w:sz="4" w:space="0"/>
              <w:bottom w:val="single" w:color="000000" w:sz="4" w:space="0"/>
            </w:tcBorders>
            <w:shd w:val="clear" w:color="auto" w:fill="auto"/>
            <w:vAlign w:val="center"/>
          </w:tcPr>
          <w:p w14:paraId="4291832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Brier score</w:t>
            </w:r>
          </w:p>
        </w:tc>
        <w:tc>
          <w:tcPr>
            <w:tcW w:w="0" w:type="auto"/>
            <w:tcBorders>
              <w:top w:val="single" w:color="000000" w:sz="4" w:space="0"/>
              <w:bottom w:val="single" w:color="000000" w:sz="4" w:space="0"/>
            </w:tcBorders>
            <w:shd w:val="clear" w:color="auto" w:fill="auto"/>
            <w:vAlign w:val="center"/>
          </w:tcPr>
          <w:p w14:paraId="6361823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Log loss</w:t>
            </w:r>
          </w:p>
        </w:tc>
        <w:tc>
          <w:tcPr>
            <w:tcW w:w="0" w:type="auto"/>
            <w:tcBorders>
              <w:top w:val="single" w:color="000000" w:sz="4" w:space="0"/>
              <w:bottom w:val="single" w:color="000000" w:sz="4" w:space="0"/>
            </w:tcBorders>
            <w:shd w:val="clear" w:color="auto" w:fill="auto"/>
            <w:vAlign w:val="center"/>
          </w:tcPr>
          <w:p w14:paraId="7B00FE4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Calibration intercept</w:t>
            </w:r>
          </w:p>
        </w:tc>
        <w:tc>
          <w:tcPr>
            <w:tcW w:w="0" w:type="auto"/>
            <w:tcBorders>
              <w:top w:val="single" w:color="000000" w:sz="4" w:space="0"/>
              <w:bottom w:val="single" w:color="000000" w:sz="4" w:space="0"/>
            </w:tcBorders>
            <w:shd w:val="clear" w:color="auto" w:fill="auto"/>
            <w:vAlign w:val="center"/>
          </w:tcPr>
          <w:p w14:paraId="44BFEB4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Calibration slope</w:t>
            </w:r>
          </w:p>
        </w:tc>
        <w:tc>
          <w:tcPr>
            <w:tcW w:w="0" w:type="auto"/>
            <w:tcBorders>
              <w:top w:val="single" w:color="000000" w:sz="4" w:space="0"/>
              <w:bottom w:val="single" w:color="000000" w:sz="4" w:space="0"/>
            </w:tcBorders>
            <w:shd w:val="clear" w:color="auto" w:fill="auto"/>
            <w:vAlign w:val="center"/>
          </w:tcPr>
          <w:p w14:paraId="6038A6B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O/E ratio</w:t>
            </w:r>
          </w:p>
        </w:tc>
      </w:tr>
      <w:tr w14:paraId="5ACA0365">
        <w:trPr>
          <w:tblCellSpacing w:w="15" w:type="dxa"/>
        </w:trPr>
        <w:tc>
          <w:tcPr>
            <w:tcW w:w="0" w:type="auto"/>
            <w:shd w:val="clear" w:color="auto" w:fill="auto"/>
            <w:vAlign w:val="center"/>
          </w:tcPr>
          <w:p w14:paraId="6412924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ridge</w:t>
            </w:r>
          </w:p>
        </w:tc>
        <w:tc>
          <w:tcPr>
            <w:tcW w:w="0" w:type="auto"/>
            <w:shd w:val="clear" w:color="auto" w:fill="auto"/>
            <w:vAlign w:val="center"/>
          </w:tcPr>
          <w:p w14:paraId="6719DF5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0.591 (0.534–0.644)</w:t>
            </w:r>
          </w:p>
        </w:tc>
        <w:tc>
          <w:tcPr>
            <w:tcW w:w="0" w:type="auto"/>
            <w:shd w:val="clear" w:color="auto" w:fill="auto"/>
            <w:vAlign w:val="center"/>
          </w:tcPr>
          <w:p w14:paraId="2C60348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0.525 (0.440–0.611)</w:t>
            </w:r>
          </w:p>
        </w:tc>
        <w:tc>
          <w:tcPr>
            <w:tcW w:w="0" w:type="auto"/>
            <w:shd w:val="clear" w:color="auto" w:fill="auto"/>
            <w:vAlign w:val="center"/>
          </w:tcPr>
          <w:p w14:paraId="1938AB2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0.243 (0.237–0.256)</w:t>
            </w:r>
          </w:p>
        </w:tc>
        <w:tc>
          <w:tcPr>
            <w:tcW w:w="0" w:type="auto"/>
            <w:shd w:val="clear" w:color="auto" w:fill="auto"/>
            <w:vAlign w:val="center"/>
          </w:tcPr>
          <w:p w14:paraId="6427FD2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0.679 (0.668–0.707)</w:t>
            </w:r>
          </w:p>
        </w:tc>
        <w:tc>
          <w:tcPr>
            <w:tcW w:w="0" w:type="auto"/>
            <w:shd w:val="clear" w:color="auto" w:fill="auto"/>
            <w:vAlign w:val="center"/>
          </w:tcPr>
          <w:p w14:paraId="3C049E1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 (−0.225 to 0.223)</w:t>
            </w:r>
          </w:p>
        </w:tc>
        <w:tc>
          <w:tcPr>
            <w:tcW w:w="0" w:type="auto"/>
            <w:shd w:val="clear" w:color="auto" w:fill="auto"/>
            <w:vAlign w:val="center"/>
          </w:tcPr>
          <w:p w14:paraId="63E62E7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0.654 (−17.639 to 5.387)</w:t>
            </w:r>
          </w:p>
        </w:tc>
        <w:tc>
          <w:tcPr>
            <w:tcW w:w="0" w:type="auto"/>
            <w:shd w:val="clear" w:color="auto" w:fill="auto"/>
            <w:vAlign w:val="center"/>
          </w:tcPr>
          <w:p w14:paraId="5D5302E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1.004 (0.883–1.144)</w:t>
            </w:r>
          </w:p>
        </w:tc>
      </w:tr>
      <w:tr w14:paraId="79ACC26F">
        <w:trPr>
          <w:tblCellSpacing w:w="15" w:type="dxa"/>
        </w:trPr>
        <w:tc>
          <w:tcPr>
            <w:tcW w:w="0" w:type="auto"/>
            <w:shd w:val="clear" w:color="auto" w:fill="auto"/>
            <w:vAlign w:val="center"/>
          </w:tcPr>
          <w:p w14:paraId="3517FC2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ridge</w:t>
            </w:r>
          </w:p>
        </w:tc>
        <w:tc>
          <w:tcPr>
            <w:tcW w:w="0" w:type="auto"/>
            <w:shd w:val="clear" w:color="auto" w:fill="auto"/>
            <w:vAlign w:val="center"/>
          </w:tcPr>
          <w:p w14:paraId="0A459E1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0.597 (0.540–0.646)</w:t>
            </w:r>
          </w:p>
        </w:tc>
        <w:tc>
          <w:tcPr>
            <w:tcW w:w="0" w:type="auto"/>
            <w:shd w:val="clear" w:color="auto" w:fill="auto"/>
            <w:vAlign w:val="center"/>
          </w:tcPr>
          <w:p w14:paraId="158D25A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0.542 (0.463–0.627)</w:t>
            </w:r>
          </w:p>
        </w:tc>
        <w:tc>
          <w:tcPr>
            <w:tcW w:w="0" w:type="auto"/>
            <w:shd w:val="clear" w:color="auto" w:fill="auto"/>
            <w:vAlign w:val="center"/>
          </w:tcPr>
          <w:p w14:paraId="6F9ED2D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0.247 (0.241–0.262)</w:t>
            </w:r>
          </w:p>
        </w:tc>
        <w:tc>
          <w:tcPr>
            <w:tcW w:w="0" w:type="auto"/>
            <w:shd w:val="clear" w:color="auto" w:fill="auto"/>
            <w:vAlign w:val="center"/>
          </w:tcPr>
          <w:p w14:paraId="392EFB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0.686 (0.675–0.717)</w:t>
            </w:r>
          </w:p>
        </w:tc>
        <w:tc>
          <w:tcPr>
            <w:tcW w:w="0" w:type="auto"/>
            <w:shd w:val="clear" w:color="auto" w:fill="auto"/>
            <w:vAlign w:val="center"/>
          </w:tcPr>
          <w:p w14:paraId="70E19CD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 (−0.228 to 0.223)</w:t>
            </w:r>
          </w:p>
        </w:tc>
        <w:tc>
          <w:tcPr>
            <w:tcW w:w="0" w:type="auto"/>
            <w:shd w:val="clear" w:color="auto" w:fill="auto"/>
            <w:vAlign w:val="center"/>
          </w:tcPr>
          <w:p w14:paraId="37701D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0" w:type="auto"/>
            <w:shd w:val="clear" w:color="auto" w:fill="auto"/>
            <w:vAlign w:val="center"/>
          </w:tcPr>
          <w:p w14:paraId="7F65AEC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1.004 (0.882–1.144)</w:t>
            </w:r>
          </w:p>
        </w:tc>
      </w:tr>
      <w:tr w14:paraId="6F0EC619">
        <w:trPr>
          <w:tblCellSpacing w:w="15" w:type="dxa"/>
        </w:trPr>
        <w:tc>
          <w:tcPr>
            <w:tcW w:w="0" w:type="auto"/>
            <w:shd w:val="clear" w:color="auto" w:fill="auto"/>
            <w:vAlign w:val="center"/>
          </w:tcPr>
          <w:p w14:paraId="2AB8C41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elastic net</w:t>
            </w:r>
          </w:p>
        </w:tc>
        <w:tc>
          <w:tcPr>
            <w:tcW w:w="0" w:type="auto"/>
            <w:shd w:val="clear" w:color="auto" w:fill="auto"/>
            <w:vAlign w:val="center"/>
          </w:tcPr>
          <w:p w14:paraId="4838EAB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0.599 (0.534–0.632)</w:t>
            </w:r>
          </w:p>
        </w:tc>
        <w:tc>
          <w:tcPr>
            <w:tcW w:w="0" w:type="auto"/>
            <w:shd w:val="clear" w:color="auto" w:fill="auto"/>
            <w:vAlign w:val="center"/>
          </w:tcPr>
          <w:p w14:paraId="24139CD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0.525 (0.428–0.596)</w:t>
            </w:r>
          </w:p>
        </w:tc>
        <w:tc>
          <w:tcPr>
            <w:tcW w:w="0" w:type="auto"/>
            <w:shd w:val="clear" w:color="auto" w:fill="auto"/>
            <w:vAlign w:val="center"/>
          </w:tcPr>
          <w:p w14:paraId="71CD0D6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0.242 (0.236–0.257)</w:t>
            </w:r>
          </w:p>
        </w:tc>
        <w:tc>
          <w:tcPr>
            <w:tcW w:w="0" w:type="auto"/>
            <w:shd w:val="clear" w:color="auto" w:fill="auto"/>
            <w:vAlign w:val="center"/>
          </w:tcPr>
          <w:p w14:paraId="6DAC673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0.677 (0.665–0.708)</w:t>
            </w:r>
          </w:p>
        </w:tc>
        <w:tc>
          <w:tcPr>
            <w:tcW w:w="0" w:type="auto"/>
            <w:shd w:val="clear" w:color="auto" w:fill="auto"/>
            <w:vAlign w:val="center"/>
          </w:tcPr>
          <w:p w14:paraId="467F224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 (−0.228 to 0.223)</w:t>
            </w:r>
          </w:p>
        </w:tc>
        <w:tc>
          <w:tcPr>
            <w:tcW w:w="0" w:type="auto"/>
            <w:shd w:val="clear" w:color="auto" w:fill="auto"/>
            <w:vAlign w:val="center"/>
          </w:tcPr>
          <w:p w14:paraId="6DF0118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1.928 (−1.669 to 4.617)</w:t>
            </w:r>
          </w:p>
        </w:tc>
        <w:tc>
          <w:tcPr>
            <w:tcW w:w="0" w:type="auto"/>
            <w:shd w:val="clear" w:color="auto" w:fill="auto"/>
            <w:vAlign w:val="center"/>
          </w:tcPr>
          <w:p w14:paraId="1779EDD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1.004 (0.882–1.144)</w:t>
            </w:r>
          </w:p>
        </w:tc>
      </w:tr>
      <w:tr w14:paraId="1E7450F4">
        <w:trPr>
          <w:tblCellSpacing w:w="15" w:type="dxa"/>
        </w:trPr>
        <w:tc>
          <w:tcPr>
            <w:tcW w:w="0" w:type="auto"/>
            <w:shd w:val="clear" w:color="auto" w:fill="auto"/>
            <w:vAlign w:val="center"/>
          </w:tcPr>
          <w:p w14:paraId="4CFFAD4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elastic net</w:t>
            </w:r>
          </w:p>
        </w:tc>
        <w:tc>
          <w:tcPr>
            <w:tcW w:w="0" w:type="auto"/>
            <w:shd w:val="clear" w:color="auto" w:fill="auto"/>
            <w:vAlign w:val="center"/>
          </w:tcPr>
          <w:p w14:paraId="06FAA86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0.618 (0.556–0.646)</w:t>
            </w:r>
          </w:p>
        </w:tc>
        <w:tc>
          <w:tcPr>
            <w:tcW w:w="0" w:type="auto"/>
            <w:shd w:val="clear" w:color="auto" w:fill="auto"/>
            <w:vAlign w:val="center"/>
          </w:tcPr>
          <w:p w14:paraId="407C9EE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0.553 (0.464–0.623)</w:t>
            </w:r>
          </w:p>
        </w:tc>
        <w:tc>
          <w:tcPr>
            <w:tcW w:w="0" w:type="auto"/>
            <w:shd w:val="clear" w:color="auto" w:fill="auto"/>
            <w:vAlign w:val="center"/>
          </w:tcPr>
          <w:p w14:paraId="50A6234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0.239 (0.233–0.254)</w:t>
            </w:r>
          </w:p>
        </w:tc>
        <w:tc>
          <w:tcPr>
            <w:tcW w:w="0" w:type="auto"/>
            <w:shd w:val="clear" w:color="auto" w:fill="auto"/>
            <w:vAlign w:val="center"/>
          </w:tcPr>
          <w:p w14:paraId="0F36DCA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0.671 (0.658–0.701)</w:t>
            </w:r>
          </w:p>
        </w:tc>
        <w:tc>
          <w:tcPr>
            <w:tcW w:w="0" w:type="auto"/>
            <w:shd w:val="clear" w:color="auto" w:fill="auto"/>
            <w:vAlign w:val="center"/>
          </w:tcPr>
          <w:p w14:paraId="36772EE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 (−0.228 to 0.224)</w:t>
            </w:r>
          </w:p>
        </w:tc>
        <w:tc>
          <w:tcPr>
            <w:tcW w:w="0" w:type="auto"/>
            <w:shd w:val="clear" w:color="auto" w:fill="auto"/>
            <w:vAlign w:val="center"/>
          </w:tcPr>
          <w:p w14:paraId="6ECF340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1.383 (−1.231 to 2.963)</w:t>
            </w:r>
          </w:p>
        </w:tc>
        <w:tc>
          <w:tcPr>
            <w:tcW w:w="0" w:type="auto"/>
            <w:shd w:val="clear" w:color="auto" w:fill="auto"/>
            <w:vAlign w:val="center"/>
          </w:tcPr>
          <w:p w14:paraId="2BDD4B8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1.004 (0.883–1.145)</w:t>
            </w:r>
          </w:p>
        </w:tc>
      </w:tr>
      <w:tr w14:paraId="782E5571">
        <w:trPr>
          <w:tblCellSpacing w:w="15" w:type="dxa"/>
        </w:trPr>
        <w:tc>
          <w:tcPr>
            <w:tcW w:w="0" w:type="auto"/>
            <w:shd w:val="clear" w:color="auto" w:fill="auto"/>
            <w:vAlign w:val="center"/>
          </w:tcPr>
          <w:p w14:paraId="65211BF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Clinical-plus-muscle ridge</w:t>
            </w:r>
          </w:p>
        </w:tc>
        <w:tc>
          <w:tcPr>
            <w:tcW w:w="0" w:type="auto"/>
            <w:shd w:val="clear" w:color="auto" w:fill="auto"/>
            <w:vAlign w:val="center"/>
          </w:tcPr>
          <w:p w14:paraId="1DB6A0C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0.603 (0.546–0.654)</w:t>
            </w:r>
          </w:p>
        </w:tc>
        <w:tc>
          <w:tcPr>
            <w:tcW w:w="0" w:type="auto"/>
            <w:shd w:val="clear" w:color="auto" w:fill="auto"/>
            <w:vAlign w:val="center"/>
          </w:tcPr>
          <w:p w14:paraId="38CB35F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0.547 (0.465–0.632)</w:t>
            </w:r>
          </w:p>
        </w:tc>
        <w:tc>
          <w:tcPr>
            <w:tcW w:w="0" w:type="auto"/>
            <w:shd w:val="clear" w:color="auto" w:fill="auto"/>
            <w:vAlign w:val="center"/>
          </w:tcPr>
          <w:p w14:paraId="719569E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0.246 (0.240–0.259)</w:t>
            </w:r>
          </w:p>
        </w:tc>
        <w:tc>
          <w:tcPr>
            <w:tcW w:w="0" w:type="auto"/>
            <w:shd w:val="clear" w:color="auto" w:fill="auto"/>
            <w:vAlign w:val="center"/>
          </w:tcPr>
          <w:p w14:paraId="5BA52F9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0.685 (0.673–0.711)</w:t>
            </w:r>
          </w:p>
        </w:tc>
        <w:tc>
          <w:tcPr>
            <w:tcW w:w="0" w:type="auto"/>
            <w:shd w:val="clear" w:color="auto" w:fill="auto"/>
            <w:vAlign w:val="center"/>
          </w:tcPr>
          <w:p w14:paraId="22D41C8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 (−0.222 to 0.223)</w:t>
            </w:r>
          </w:p>
        </w:tc>
        <w:tc>
          <w:tcPr>
            <w:tcW w:w="0" w:type="auto"/>
            <w:shd w:val="clear" w:color="auto" w:fill="auto"/>
            <w:vAlign w:val="center"/>
          </w:tcPr>
          <w:p w14:paraId="2634CC1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29.469 (13.321–33.196)</w:t>
            </w:r>
          </w:p>
        </w:tc>
        <w:tc>
          <w:tcPr>
            <w:tcW w:w="0" w:type="auto"/>
            <w:shd w:val="clear" w:color="auto" w:fill="auto"/>
            <w:vAlign w:val="center"/>
          </w:tcPr>
          <w:p w14:paraId="4F0BA3D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1.004 (0.886–1.144)</w:t>
            </w:r>
          </w:p>
        </w:tc>
      </w:tr>
      <w:tr w14:paraId="7D62F2C7">
        <w:trPr>
          <w:tblCellSpacing w:w="15" w:type="dxa"/>
        </w:trPr>
        <w:tc>
          <w:tcPr>
            <w:tcW w:w="0" w:type="auto"/>
            <w:shd w:val="clear" w:color="auto" w:fill="auto"/>
            <w:vAlign w:val="center"/>
          </w:tcPr>
          <w:p w14:paraId="570B6A4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Clinical-plus-fat ridge</w:t>
            </w:r>
          </w:p>
        </w:tc>
        <w:tc>
          <w:tcPr>
            <w:tcW w:w="0" w:type="auto"/>
            <w:shd w:val="clear" w:color="auto" w:fill="auto"/>
            <w:vAlign w:val="center"/>
          </w:tcPr>
          <w:p w14:paraId="2FD0921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0.579 (0.524–0.632)</w:t>
            </w:r>
          </w:p>
        </w:tc>
        <w:tc>
          <w:tcPr>
            <w:tcW w:w="0" w:type="auto"/>
            <w:shd w:val="clear" w:color="auto" w:fill="auto"/>
            <w:vAlign w:val="center"/>
          </w:tcPr>
          <w:p w14:paraId="5E90574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0.515 (0.433–0.598)</w:t>
            </w:r>
          </w:p>
        </w:tc>
        <w:tc>
          <w:tcPr>
            <w:tcW w:w="0" w:type="auto"/>
            <w:shd w:val="clear" w:color="auto" w:fill="auto"/>
            <w:vAlign w:val="center"/>
          </w:tcPr>
          <w:p w14:paraId="7FD12DB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0.246 (0.241–0.260)</w:t>
            </w:r>
          </w:p>
        </w:tc>
        <w:tc>
          <w:tcPr>
            <w:tcW w:w="0" w:type="auto"/>
            <w:shd w:val="clear" w:color="auto" w:fill="auto"/>
            <w:vAlign w:val="center"/>
          </w:tcPr>
          <w:p w14:paraId="6CE5CD6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0.686 (0.675–0.714)</w:t>
            </w:r>
          </w:p>
        </w:tc>
        <w:tc>
          <w:tcPr>
            <w:tcW w:w="0" w:type="auto"/>
            <w:shd w:val="clear" w:color="auto" w:fill="auto"/>
            <w:vAlign w:val="center"/>
          </w:tcPr>
          <w:p w14:paraId="178873F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 (−0.224 to 0.223)</w:t>
            </w:r>
          </w:p>
        </w:tc>
        <w:tc>
          <w:tcPr>
            <w:tcW w:w="0" w:type="auto"/>
            <w:shd w:val="clear" w:color="auto" w:fill="auto"/>
            <w:vAlign w:val="center"/>
          </w:tcPr>
          <w:p w14:paraId="48E9A04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0" w:type="auto"/>
            <w:shd w:val="clear" w:color="auto" w:fill="auto"/>
            <w:vAlign w:val="center"/>
          </w:tcPr>
          <w:p w14:paraId="2DBF3CF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1.004 (0.884–1.144)</w:t>
            </w:r>
          </w:p>
        </w:tc>
      </w:tr>
      <w:tr w14:paraId="59A95309">
        <w:trPr>
          <w:tblCellSpacing w:w="15" w:type="dxa"/>
        </w:trPr>
        <w:tc>
          <w:tcPr>
            <w:tcW w:w="0" w:type="auto"/>
            <w:tcBorders>
              <w:bottom w:val="single" w:color="000000" w:sz="4" w:space="0"/>
            </w:tcBorders>
            <w:shd w:val="clear" w:color="auto" w:fill="auto"/>
            <w:vAlign w:val="center"/>
          </w:tcPr>
          <w:p w14:paraId="4B5A173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Individual-CT ridge</w:t>
            </w:r>
          </w:p>
        </w:tc>
        <w:tc>
          <w:tcPr>
            <w:tcW w:w="0" w:type="auto"/>
            <w:tcBorders>
              <w:bottom w:val="single" w:color="000000" w:sz="4" w:space="0"/>
            </w:tcBorders>
            <w:shd w:val="clear" w:color="auto" w:fill="auto"/>
            <w:vAlign w:val="center"/>
          </w:tcPr>
          <w:p w14:paraId="0901661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0.594 (0.540–0.644)</w:t>
            </w:r>
          </w:p>
        </w:tc>
        <w:tc>
          <w:tcPr>
            <w:tcW w:w="0" w:type="auto"/>
            <w:tcBorders>
              <w:bottom w:val="single" w:color="000000" w:sz="4" w:space="0"/>
            </w:tcBorders>
            <w:shd w:val="clear" w:color="auto" w:fill="auto"/>
            <w:vAlign w:val="center"/>
          </w:tcPr>
          <w:p w14:paraId="351DCCA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0.530 (0.448–0.612)</w:t>
            </w:r>
          </w:p>
        </w:tc>
        <w:tc>
          <w:tcPr>
            <w:tcW w:w="0" w:type="auto"/>
            <w:tcBorders>
              <w:bottom w:val="single" w:color="000000" w:sz="4" w:space="0"/>
            </w:tcBorders>
            <w:shd w:val="clear" w:color="auto" w:fill="auto"/>
            <w:vAlign w:val="center"/>
          </w:tcPr>
          <w:p w14:paraId="08F483B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0.243 (0.238–0.256)</w:t>
            </w:r>
          </w:p>
        </w:tc>
        <w:tc>
          <w:tcPr>
            <w:tcW w:w="0" w:type="auto"/>
            <w:tcBorders>
              <w:bottom w:val="single" w:color="000000" w:sz="4" w:space="0"/>
            </w:tcBorders>
            <w:shd w:val="clear" w:color="auto" w:fill="auto"/>
            <w:vAlign w:val="center"/>
          </w:tcPr>
          <w:p w14:paraId="3672FED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0.680 (0.668–0.706)</w:t>
            </w:r>
          </w:p>
        </w:tc>
        <w:tc>
          <w:tcPr>
            <w:tcW w:w="0" w:type="auto"/>
            <w:tcBorders>
              <w:bottom w:val="single" w:color="000000" w:sz="4" w:space="0"/>
            </w:tcBorders>
            <w:shd w:val="clear" w:color="auto" w:fill="auto"/>
            <w:vAlign w:val="center"/>
          </w:tcPr>
          <w:p w14:paraId="1F4DCCF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 (−0.228 to 0.223)</w:t>
            </w:r>
          </w:p>
        </w:tc>
        <w:tc>
          <w:tcPr>
            <w:tcW w:w="0" w:type="auto"/>
            <w:tcBorders>
              <w:bottom w:val="single" w:color="000000" w:sz="4" w:space="0"/>
            </w:tcBorders>
            <w:shd w:val="clear" w:color="auto" w:fill="auto"/>
            <w:vAlign w:val="center"/>
          </w:tcPr>
          <w:p w14:paraId="77466FA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1.922 (−24.565 to 6.460)</w:t>
            </w:r>
          </w:p>
        </w:tc>
        <w:tc>
          <w:tcPr>
            <w:tcW w:w="0" w:type="auto"/>
            <w:tcBorders>
              <w:bottom w:val="single" w:color="000000" w:sz="4" w:space="0"/>
            </w:tcBorders>
            <w:shd w:val="clear" w:color="auto" w:fill="auto"/>
            <w:vAlign w:val="center"/>
          </w:tcPr>
          <w:p w14:paraId="350FAF7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1.004 (0.882–1.144)</w:t>
            </w:r>
          </w:p>
        </w:tc>
      </w:tr>
    </w:tbl>
    <w:p w14:paraId="0E021295">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Values are optimism-corrected estimates with 95% empirical bootstrap intervals. NE indicates nonestimable. O/E, observed-to-expected.</w:t>
      </w:r>
    </w:p>
    <w:p w14:paraId="08E19428">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S3. Paired internal Model 2-minus-Model 1 comparisons</w:t>
      </w:r>
    </w:p>
    <w:tbl>
      <w:tblPr>
        <w:tblStyle w:val="6"/>
        <w:tblW w:w="0" w:type="auto"/>
        <w:tblCellSpacing w:w="15" w:type="dxa"/>
        <w:tblInd w:w="-3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59"/>
        <w:gridCol w:w="1666"/>
        <w:gridCol w:w="1701"/>
        <w:gridCol w:w="1564"/>
        <w:gridCol w:w="1713"/>
      </w:tblGrid>
      <w:tr w14:paraId="6E0061E5">
        <w:trPr>
          <w:tblCellSpacing w:w="15" w:type="dxa"/>
        </w:trPr>
        <w:tc>
          <w:tcPr>
            <w:tcW w:w="2014" w:type="dxa"/>
            <w:tcBorders>
              <w:top w:val="single" w:color="000000" w:sz="4" w:space="0"/>
              <w:bottom w:val="single" w:color="000000" w:sz="4" w:space="0"/>
            </w:tcBorders>
            <w:shd w:val="clear" w:color="auto" w:fill="auto"/>
            <w:vAlign w:val="center"/>
          </w:tcPr>
          <w:p w14:paraId="63DC9DD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Measure</w:t>
            </w:r>
          </w:p>
        </w:tc>
        <w:tc>
          <w:tcPr>
            <w:tcW w:w="0" w:type="auto"/>
            <w:tcBorders>
              <w:top w:val="single" w:color="000000" w:sz="4" w:space="0"/>
              <w:bottom w:val="single" w:color="000000" w:sz="4" w:space="0"/>
            </w:tcBorders>
            <w:shd w:val="clear" w:color="auto" w:fill="auto"/>
            <w:vAlign w:val="center"/>
          </w:tcPr>
          <w:p w14:paraId="3439667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Apparent difference</w:t>
            </w:r>
          </w:p>
        </w:tc>
        <w:tc>
          <w:tcPr>
            <w:tcW w:w="0" w:type="auto"/>
            <w:tcBorders>
              <w:top w:val="single" w:color="000000" w:sz="4" w:space="0"/>
              <w:bottom w:val="single" w:color="000000" w:sz="4" w:space="0"/>
            </w:tcBorders>
            <w:shd w:val="clear" w:color="auto" w:fill="auto"/>
            <w:vAlign w:val="center"/>
          </w:tcPr>
          <w:p w14:paraId="6DD4545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Corrected difference</w:t>
            </w:r>
          </w:p>
        </w:tc>
        <w:tc>
          <w:tcPr>
            <w:tcW w:w="0" w:type="auto"/>
            <w:tcBorders>
              <w:top w:val="single" w:color="000000" w:sz="4" w:space="0"/>
              <w:bottom w:val="single" w:color="000000" w:sz="4" w:space="0"/>
            </w:tcBorders>
            <w:shd w:val="clear" w:color="auto" w:fill="auto"/>
            <w:vAlign w:val="center"/>
          </w:tcPr>
          <w:p w14:paraId="40B8F61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95% paired interval</w:t>
            </w:r>
          </w:p>
        </w:tc>
        <w:tc>
          <w:tcPr>
            <w:tcW w:w="0" w:type="auto"/>
            <w:tcBorders>
              <w:top w:val="single" w:color="000000" w:sz="4" w:space="0"/>
              <w:bottom w:val="single" w:color="000000" w:sz="4" w:space="0"/>
            </w:tcBorders>
            <w:shd w:val="clear" w:color="auto" w:fill="auto"/>
            <w:vAlign w:val="center"/>
          </w:tcPr>
          <w:p w14:paraId="34831FF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Effective repetitions</w:t>
            </w:r>
          </w:p>
        </w:tc>
      </w:tr>
      <w:tr w14:paraId="20253579">
        <w:trPr>
          <w:tblCellSpacing w:w="15" w:type="dxa"/>
        </w:trPr>
        <w:tc>
          <w:tcPr>
            <w:tcW w:w="2014" w:type="dxa"/>
            <w:shd w:val="clear" w:color="auto" w:fill="auto"/>
            <w:vAlign w:val="center"/>
          </w:tcPr>
          <w:p w14:paraId="1167E9C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AUROC</w:t>
            </w:r>
          </w:p>
        </w:tc>
        <w:tc>
          <w:tcPr>
            <w:tcW w:w="0" w:type="auto"/>
            <w:shd w:val="clear" w:color="auto" w:fill="auto"/>
            <w:vAlign w:val="center"/>
          </w:tcPr>
          <w:p w14:paraId="6C72443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0.007</w:t>
            </w:r>
          </w:p>
        </w:tc>
        <w:tc>
          <w:tcPr>
            <w:tcW w:w="0" w:type="auto"/>
            <w:shd w:val="clear" w:color="auto" w:fill="auto"/>
            <w:vAlign w:val="center"/>
          </w:tcPr>
          <w:p w14:paraId="26CEBB9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0.006</w:t>
            </w:r>
          </w:p>
        </w:tc>
        <w:tc>
          <w:tcPr>
            <w:tcW w:w="0" w:type="auto"/>
            <w:shd w:val="clear" w:color="auto" w:fill="auto"/>
            <w:vAlign w:val="center"/>
          </w:tcPr>
          <w:p w14:paraId="7B83E9D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−0.027 to 0.029</w:t>
            </w:r>
          </w:p>
        </w:tc>
        <w:tc>
          <w:tcPr>
            <w:tcW w:w="0" w:type="auto"/>
            <w:shd w:val="clear" w:color="auto" w:fill="auto"/>
            <w:vAlign w:val="center"/>
          </w:tcPr>
          <w:p w14:paraId="3E3BAE0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1,000</w:t>
            </w:r>
          </w:p>
        </w:tc>
      </w:tr>
      <w:tr w14:paraId="28509F32">
        <w:trPr>
          <w:tblCellSpacing w:w="15" w:type="dxa"/>
        </w:trPr>
        <w:tc>
          <w:tcPr>
            <w:tcW w:w="2014" w:type="dxa"/>
            <w:shd w:val="clear" w:color="auto" w:fill="auto"/>
            <w:vAlign w:val="center"/>
          </w:tcPr>
          <w:p w14:paraId="5D08CFA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AUPRC</w:t>
            </w:r>
          </w:p>
        </w:tc>
        <w:tc>
          <w:tcPr>
            <w:tcW w:w="0" w:type="auto"/>
            <w:shd w:val="clear" w:color="auto" w:fill="auto"/>
            <w:vAlign w:val="center"/>
          </w:tcPr>
          <w:p w14:paraId="155AC47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0.018</w:t>
            </w:r>
          </w:p>
        </w:tc>
        <w:tc>
          <w:tcPr>
            <w:tcW w:w="0" w:type="auto"/>
            <w:shd w:val="clear" w:color="auto" w:fill="auto"/>
            <w:vAlign w:val="center"/>
          </w:tcPr>
          <w:p w14:paraId="265E83E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0.018</w:t>
            </w:r>
          </w:p>
        </w:tc>
        <w:tc>
          <w:tcPr>
            <w:tcW w:w="0" w:type="auto"/>
            <w:shd w:val="clear" w:color="auto" w:fill="auto"/>
            <w:vAlign w:val="center"/>
          </w:tcPr>
          <w:p w14:paraId="354DE33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−0.022 to 0.051</w:t>
            </w:r>
          </w:p>
        </w:tc>
        <w:tc>
          <w:tcPr>
            <w:tcW w:w="0" w:type="auto"/>
            <w:shd w:val="clear" w:color="auto" w:fill="auto"/>
            <w:vAlign w:val="center"/>
          </w:tcPr>
          <w:p w14:paraId="4888240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1,000</w:t>
            </w:r>
          </w:p>
        </w:tc>
      </w:tr>
      <w:tr w14:paraId="695A3C79">
        <w:trPr>
          <w:tblCellSpacing w:w="15" w:type="dxa"/>
        </w:trPr>
        <w:tc>
          <w:tcPr>
            <w:tcW w:w="2014" w:type="dxa"/>
            <w:shd w:val="clear" w:color="auto" w:fill="auto"/>
            <w:vAlign w:val="center"/>
          </w:tcPr>
          <w:p w14:paraId="2F15AAB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Brier score</w:t>
            </w:r>
          </w:p>
        </w:tc>
        <w:tc>
          <w:tcPr>
            <w:tcW w:w="0" w:type="auto"/>
            <w:shd w:val="clear" w:color="auto" w:fill="auto"/>
            <w:vAlign w:val="center"/>
          </w:tcPr>
          <w:p w14:paraId="588FCCF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0.003</w:t>
            </w:r>
          </w:p>
        </w:tc>
        <w:tc>
          <w:tcPr>
            <w:tcW w:w="0" w:type="auto"/>
            <w:shd w:val="clear" w:color="auto" w:fill="auto"/>
            <w:vAlign w:val="center"/>
          </w:tcPr>
          <w:p w14:paraId="5943617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0.004</w:t>
            </w:r>
          </w:p>
        </w:tc>
        <w:tc>
          <w:tcPr>
            <w:tcW w:w="0" w:type="auto"/>
            <w:shd w:val="clear" w:color="auto" w:fill="auto"/>
            <w:vAlign w:val="center"/>
          </w:tcPr>
          <w:p w14:paraId="7379F3D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−0.001 to 0.010</w:t>
            </w:r>
          </w:p>
        </w:tc>
        <w:tc>
          <w:tcPr>
            <w:tcW w:w="0" w:type="auto"/>
            <w:shd w:val="clear" w:color="auto" w:fill="auto"/>
            <w:vAlign w:val="center"/>
          </w:tcPr>
          <w:p w14:paraId="447570D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1,000</w:t>
            </w:r>
          </w:p>
        </w:tc>
      </w:tr>
      <w:tr w14:paraId="2C0218E4">
        <w:trPr>
          <w:tblCellSpacing w:w="15" w:type="dxa"/>
        </w:trPr>
        <w:tc>
          <w:tcPr>
            <w:tcW w:w="2014" w:type="dxa"/>
            <w:shd w:val="clear" w:color="auto" w:fill="auto"/>
            <w:vAlign w:val="center"/>
          </w:tcPr>
          <w:p w14:paraId="55BF378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Log loss</w:t>
            </w:r>
          </w:p>
        </w:tc>
        <w:tc>
          <w:tcPr>
            <w:tcW w:w="0" w:type="auto"/>
            <w:shd w:val="clear" w:color="auto" w:fill="auto"/>
            <w:vAlign w:val="center"/>
          </w:tcPr>
          <w:p w14:paraId="4ED1333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0.007</w:t>
            </w:r>
          </w:p>
        </w:tc>
        <w:tc>
          <w:tcPr>
            <w:tcW w:w="0" w:type="auto"/>
            <w:shd w:val="clear" w:color="auto" w:fill="auto"/>
            <w:vAlign w:val="center"/>
          </w:tcPr>
          <w:p w14:paraId="40D2852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0.008</w:t>
            </w:r>
          </w:p>
        </w:tc>
        <w:tc>
          <w:tcPr>
            <w:tcW w:w="0" w:type="auto"/>
            <w:shd w:val="clear" w:color="auto" w:fill="auto"/>
            <w:vAlign w:val="center"/>
          </w:tcPr>
          <w:p w14:paraId="560B4AF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−0.002 to 0.021</w:t>
            </w:r>
          </w:p>
        </w:tc>
        <w:tc>
          <w:tcPr>
            <w:tcW w:w="0" w:type="auto"/>
            <w:shd w:val="clear" w:color="auto" w:fill="auto"/>
            <w:vAlign w:val="center"/>
          </w:tcPr>
          <w:p w14:paraId="1E892A9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1,000</w:t>
            </w:r>
          </w:p>
        </w:tc>
      </w:tr>
      <w:tr w14:paraId="12DDF8F7">
        <w:trPr>
          <w:tblCellSpacing w:w="15" w:type="dxa"/>
        </w:trPr>
        <w:tc>
          <w:tcPr>
            <w:tcW w:w="2014" w:type="dxa"/>
            <w:shd w:val="clear" w:color="auto" w:fill="auto"/>
            <w:vAlign w:val="center"/>
          </w:tcPr>
          <w:p w14:paraId="71E6B89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Calibration intercept</w:t>
            </w:r>
          </w:p>
        </w:tc>
        <w:tc>
          <w:tcPr>
            <w:tcW w:w="0" w:type="auto"/>
            <w:shd w:val="clear" w:color="auto" w:fill="auto"/>
            <w:vAlign w:val="center"/>
          </w:tcPr>
          <w:p w14:paraId="036F623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w:t>
            </w:r>
          </w:p>
        </w:tc>
        <w:tc>
          <w:tcPr>
            <w:tcW w:w="0" w:type="auto"/>
            <w:shd w:val="clear" w:color="auto" w:fill="auto"/>
            <w:vAlign w:val="center"/>
          </w:tcPr>
          <w:p w14:paraId="14B859D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w:t>
            </w:r>
          </w:p>
        </w:tc>
        <w:tc>
          <w:tcPr>
            <w:tcW w:w="0" w:type="auto"/>
            <w:shd w:val="clear" w:color="auto" w:fill="auto"/>
            <w:vAlign w:val="center"/>
          </w:tcPr>
          <w:p w14:paraId="2A53746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−0.012 to 0.011</w:t>
            </w:r>
          </w:p>
        </w:tc>
        <w:tc>
          <w:tcPr>
            <w:tcW w:w="0" w:type="auto"/>
            <w:shd w:val="clear" w:color="auto" w:fill="auto"/>
            <w:vAlign w:val="center"/>
          </w:tcPr>
          <w:p w14:paraId="6576A64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1,000</w:t>
            </w:r>
          </w:p>
        </w:tc>
      </w:tr>
      <w:tr w14:paraId="21F4E637">
        <w:trPr>
          <w:tblCellSpacing w:w="15" w:type="dxa"/>
        </w:trPr>
        <w:tc>
          <w:tcPr>
            <w:tcW w:w="2014" w:type="dxa"/>
            <w:shd w:val="clear" w:color="auto" w:fill="auto"/>
            <w:vAlign w:val="center"/>
          </w:tcPr>
          <w:p w14:paraId="02227CA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Calibration slope</w:t>
            </w:r>
          </w:p>
        </w:tc>
        <w:tc>
          <w:tcPr>
            <w:tcW w:w="0" w:type="auto"/>
            <w:shd w:val="clear" w:color="auto" w:fill="auto"/>
            <w:vAlign w:val="center"/>
          </w:tcPr>
          <w:p w14:paraId="3AB68F1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0" w:type="auto"/>
            <w:shd w:val="clear" w:color="auto" w:fill="auto"/>
            <w:vAlign w:val="center"/>
          </w:tcPr>
          <w:p w14:paraId="63DA408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0" w:type="auto"/>
            <w:shd w:val="clear" w:color="auto" w:fill="auto"/>
            <w:vAlign w:val="center"/>
          </w:tcPr>
          <w:p w14:paraId="61337ED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0" w:type="auto"/>
            <w:shd w:val="clear" w:color="auto" w:fill="auto"/>
            <w:vAlign w:val="center"/>
          </w:tcPr>
          <w:p w14:paraId="42E68C5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r>
      <w:tr w14:paraId="3DC9E1CF">
        <w:trPr>
          <w:tblCellSpacing w:w="15" w:type="dxa"/>
        </w:trPr>
        <w:tc>
          <w:tcPr>
            <w:tcW w:w="2014" w:type="dxa"/>
            <w:tcBorders>
              <w:bottom w:val="single" w:color="000000" w:sz="4" w:space="0"/>
            </w:tcBorders>
            <w:shd w:val="clear" w:color="auto" w:fill="auto"/>
            <w:vAlign w:val="center"/>
          </w:tcPr>
          <w:p w14:paraId="1E48601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O/E ratio</w:t>
            </w:r>
          </w:p>
        </w:tc>
        <w:tc>
          <w:tcPr>
            <w:tcW w:w="0" w:type="auto"/>
            <w:tcBorders>
              <w:bottom w:val="single" w:color="000000" w:sz="4" w:space="0"/>
            </w:tcBorders>
            <w:shd w:val="clear" w:color="auto" w:fill="auto"/>
            <w:vAlign w:val="center"/>
          </w:tcPr>
          <w:p w14:paraId="39DD7DF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w:t>
            </w:r>
          </w:p>
        </w:tc>
        <w:tc>
          <w:tcPr>
            <w:tcW w:w="0" w:type="auto"/>
            <w:tcBorders>
              <w:bottom w:val="single" w:color="000000" w:sz="4" w:space="0"/>
            </w:tcBorders>
            <w:shd w:val="clear" w:color="auto" w:fill="auto"/>
            <w:vAlign w:val="center"/>
          </w:tcPr>
          <w:p w14:paraId="33A1D71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w:t>
            </w:r>
          </w:p>
        </w:tc>
        <w:tc>
          <w:tcPr>
            <w:tcW w:w="0" w:type="auto"/>
            <w:tcBorders>
              <w:bottom w:val="single" w:color="000000" w:sz="4" w:space="0"/>
            </w:tcBorders>
            <w:shd w:val="clear" w:color="auto" w:fill="auto"/>
            <w:vAlign w:val="center"/>
          </w:tcPr>
          <w:p w14:paraId="3A07708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−0.007 to 0.007</w:t>
            </w:r>
          </w:p>
        </w:tc>
        <w:tc>
          <w:tcPr>
            <w:tcW w:w="0" w:type="auto"/>
            <w:tcBorders>
              <w:bottom w:val="single" w:color="000000" w:sz="4" w:space="0"/>
            </w:tcBorders>
            <w:shd w:val="clear" w:color="auto" w:fill="auto"/>
            <w:vAlign w:val="center"/>
          </w:tcPr>
          <w:p w14:paraId="4AE981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1,000</w:t>
            </w:r>
          </w:p>
        </w:tc>
      </w:tr>
    </w:tbl>
    <w:p w14:paraId="7B14B49D">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Positive differences favor Model 2 for AUROC and AUPRC. Negative differences favor Model 2 for Brier score and log loss. Calibration differences require reference to their ideal values.</w:t>
      </w:r>
    </w:p>
    <w:p w14:paraId="273B9ECD">
      <w:pPr>
        <w:keepNext w:val="0"/>
        <w:keepLines w:val="0"/>
        <w:widowControl/>
        <w:suppressLineNumbers w:val="0"/>
        <w:jc w:val="left"/>
        <w:rPr>
          <w:rFonts w:hint="default" w:ascii="Times New Roman Regular" w:hAnsi="Times New Roman Regular" w:cs="Times New Roman Regular"/>
          <w:sz w:val="18"/>
          <w:szCs w:val="18"/>
        </w:rPr>
      </w:pPr>
      <w:r>
        <w:rPr>
          <w:rFonts w:ascii="SimSun" w:hAnsi="SimSun" w:eastAsia="SimSun" w:cs="SimSun"/>
          <w:kern w:val="0"/>
          <w:sz w:val="24"/>
          <w:szCs w:val="24"/>
          <w:lang w:val="en-US" w:eastAsia="zh-CN" w:bidi="ar"/>
        </w:rPr>
        <w:drawing>
          <wp:inline distT="0" distB="0" distL="114300" distR="114300">
            <wp:extent cx="4801235" cy="2400935"/>
            <wp:effectExtent l="0" t="0" r="24765" b="12065"/>
            <wp:docPr id="4" name="Picture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descr="IMG_256"/>
                    <pic:cNvPicPr>
                      <a:picLocks noChangeAspect="1"/>
                    </pic:cNvPicPr>
                  </pic:nvPicPr>
                  <pic:blipFill>
                    <a:blip r:embed="rId5"/>
                    <a:stretch>
                      <a:fillRect/>
                    </a:stretch>
                  </pic:blipFill>
                  <pic:spPr>
                    <a:xfrm>
                      <a:off x="0" y="0"/>
                      <a:ext cx="4801235" cy="2400935"/>
                    </a:xfrm>
                    <a:prstGeom prst="rect">
                      <a:avLst/>
                    </a:prstGeom>
                    <a:noFill/>
                    <a:ln w="9525">
                      <a:noFill/>
                    </a:ln>
                  </pic:spPr>
                </pic:pic>
              </a:graphicData>
            </a:graphic>
          </wp:inline>
        </w:drawing>
      </w:r>
    </w:p>
    <w:p w14:paraId="2E37FC3A">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Bold" w:hAnsi="Times New Roman Bold" w:cs="Times New Roman Bold"/>
          <w:b/>
          <w:bCs/>
          <w:sz w:val="18"/>
          <w:szCs w:val="18"/>
        </w:rPr>
        <w:t xml:space="preserve">Supplementary Figure S1. Apparent and optimism-corrected calibration of the primary models in the VATS development cohort. </w:t>
      </w:r>
      <w:r>
        <w:rPr>
          <w:rFonts w:hint="default" w:ascii="Times New Roman Regular" w:hAnsi="Times New Roman Regular" w:cs="Times New Roman Regular"/>
          <w:sz w:val="18"/>
          <w:szCs w:val="18"/>
        </w:rPr>
        <w:t>Calibration performance is shown for the clinical ridge model (Model 1) and clinical-plus-mean-CT ridge model (Model 2). Optimism correction was based on 1,000 full-pipeline bootstrap repetitions. Curves are displayed only where the prespecified prediction-variation and estimability requirements were satisfied. Model 2’s calibration curve was nonestimable because its heavily regularized predictions showed insufficient variation. CT, computed tomography; VATS, video-assisted thoracoscopic surgery.</w:t>
      </w:r>
    </w:p>
    <w:p w14:paraId="15C916A4">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S4. Locked esophagectomy performance of all frozen models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90"/>
        <w:gridCol w:w="1100"/>
        <w:gridCol w:w="1101"/>
        <w:gridCol w:w="1101"/>
        <w:gridCol w:w="1101"/>
        <w:gridCol w:w="886"/>
        <w:gridCol w:w="1101"/>
        <w:gridCol w:w="1116"/>
      </w:tblGrid>
      <w:tr w14:paraId="3BF522C8">
        <w:trPr>
          <w:tblCellSpacing w:w="15" w:type="dxa"/>
        </w:trPr>
        <w:tc>
          <w:tcPr>
            <w:tcW w:w="0" w:type="auto"/>
            <w:tcBorders>
              <w:top w:val="single" w:color="000000" w:sz="4" w:space="0"/>
              <w:bottom w:val="single" w:color="000000" w:sz="4" w:space="0"/>
            </w:tcBorders>
            <w:shd w:val="clear" w:color="auto" w:fill="auto"/>
            <w:vAlign w:val="center"/>
          </w:tcPr>
          <w:p w14:paraId="3D392D8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w:t>
            </w:r>
          </w:p>
        </w:tc>
        <w:tc>
          <w:tcPr>
            <w:tcW w:w="0" w:type="auto"/>
            <w:tcBorders>
              <w:top w:val="single" w:color="000000" w:sz="4" w:space="0"/>
              <w:bottom w:val="single" w:color="000000" w:sz="4" w:space="0"/>
            </w:tcBorders>
            <w:shd w:val="clear" w:color="auto" w:fill="auto"/>
            <w:vAlign w:val="center"/>
          </w:tcPr>
          <w:p w14:paraId="6A80C4A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AUROC</w:t>
            </w:r>
          </w:p>
        </w:tc>
        <w:tc>
          <w:tcPr>
            <w:tcW w:w="0" w:type="auto"/>
            <w:tcBorders>
              <w:top w:val="single" w:color="000000" w:sz="4" w:space="0"/>
              <w:bottom w:val="single" w:color="000000" w:sz="4" w:space="0"/>
            </w:tcBorders>
            <w:shd w:val="clear" w:color="auto" w:fill="auto"/>
            <w:vAlign w:val="center"/>
          </w:tcPr>
          <w:p w14:paraId="264DC45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AUPRC</w:t>
            </w:r>
          </w:p>
        </w:tc>
        <w:tc>
          <w:tcPr>
            <w:tcW w:w="0" w:type="auto"/>
            <w:tcBorders>
              <w:top w:val="single" w:color="000000" w:sz="4" w:space="0"/>
              <w:bottom w:val="single" w:color="000000" w:sz="4" w:space="0"/>
            </w:tcBorders>
            <w:shd w:val="clear" w:color="auto" w:fill="auto"/>
            <w:vAlign w:val="center"/>
          </w:tcPr>
          <w:p w14:paraId="7955F1B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Brier score</w:t>
            </w:r>
          </w:p>
        </w:tc>
        <w:tc>
          <w:tcPr>
            <w:tcW w:w="0" w:type="auto"/>
            <w:tcBorders>
              <w:top w:val="single" w:color="000000" w:sz="4" w:space="0"/>
              <w:bottom w:val="single" w:color="000000" w:sz="4" w:space="0"/>
            </w:tcBorders>
            <w:shd w:val="clear" w:color="auto" w:fill="auto"/>
            <w:vAlign w:val="center"/>
          </w:tcPr>
          <w:p w14:paraId="00C2497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Log loss</w:t>
            </w:r>
          </w:p>
        </w:tc>
        <w:tc>
          <w:tcPr>
            <w:tcW w:w="0" w:type="auto"/>
            <w:tcBorders>
              <w:top w:val="single" w:color="000000" w:sz="4" w:space="0"/>
              <w:bottom w:val="single" w:color="000000" w:sz="4" w:space="0"/>
            </w:tcBorders>
            <w:shd w:val="clear" w:color="auto" w:fill="auto"/>
            <w:vAlign w:val="center"/>
          </w:tcPr>
          <w:p w14:paraId="77C372A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Calibration intercept</w:t>
            </w:r>
          </w:p>
        </w:tc>
        <w:tc>
          <w:tcPr>
            <w:tcW w:w="0" w:type="auto"/>
            <w:tcBorders>
              <w:top w:val="single" w:color="000000" w:sz="4" w:space="0"/>
              <w:bottom w:val="single" w:color="000000" w:sz="4" w:space="0"/>
            </w:tcBorders>
            <w:shd w:val="clear" w:color="auto" w:fill="auto"/>
            <w:vAlign w:val="center"/>
          </w:tcPr>
          <w:p w14:paraId="537EE37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Calibration slope</w:t>
            </w:r>
          </w:p>
        </w:tc>
        <w:tc>
          <w:tcPr>
            <w:tcW w:w="0" w:type="auto"/>
            <w:tcBorders>
              <w:top w:val="single" w:color="000000" w:sz="4" w:space="0"/>
              <w:bottom w:val="single" w:color="000000" w:sz="4" w:space="0"/>
            </w:tcBorders>
            <w:shd w:val="clear" w:color="auto" w:fill="auto"/>
            <w:vAlign w:val="center"/>
          </w:tcPr>
          <w:p w14:paraId="1409239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O/E ratio</w:t>
            </w:r>
          </w:p>
        </w:tc>
      </w:tr>
      <w:tr w14:paraId="697E603D">
        <w:trPr>
          <w:tblCellSpacing w:w="15" w:type="dxa"/>
        </w:trPr>
        <w:tc>
          <w:tcPr>
            <w:tcW w:w="0" w:type="auto"/>
            <w:shd w:val="clear" w:color="auto" w:fill="auto"/>
            <w:vAlign w:val="center"/>
          </w:tcPr>
          <w:p w14:paraId="51CD0F0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ridge</w:t>
            </w:r>
          </w:p>
        </w:tc>
        <w:tc>
          <w:tcPr>
            <w:tcW w:w="0" w:type="auto"/>
            <w:shd w:val="clear" w:color="auto" w:fill="auto"/>
            <w:vAlign w:val="center"/>
          </w:tcPr>
          <w:p w14:paraId="45726DE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0.530 (0.457–0.608)</w:t>
            </w:r>
          </w:p>
        </w:tc>
        <w:tc>
          <w:tcPr>
            <w:tcW w:w="0" w:type="auto"/>
            <w:shd w:val="clear" w:color="auto" w:fill="auto"/>
            <w:vAlign w:val="center"/>
          </w:tcPr>
          <w:p w14:paraId="5F923DF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0.249 (0.217–0.315)</w:t>
            </w:r>
          </w:p>
        </w:tc>
        <w:tc>
          <w:tcPr>
            <w:tcW w:w="0" w:type="auto"/>
            <w:shd w:val="clear" w:color="auto" w:fill="auto"/>
            <w:vAlign w:val="center"/>
          </w:tcPr>
          <w:p w14:paraId="05313B6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0.219 (0.217–0.220)</w:t>
            </w:r>
          </w:p>
        </w:tc>
        <w:tc>
          <w:tcPr>
            <w:tcW w:w="0" w:type="auto"/>
            <w:shd w:val="clear" w:color="auto" w:fill="auto"/>
            <w:vAlign w:val="center"/>
          </w:tcPr>
          <w:p w14:paraId="714F0FE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0.631 (0.627–0.634)</w:t>
            </w:r>
          </w:p>
        </w:tc>
        <w:tc>
          <w:tcPr>
            <w:tcW w:w="0" w:type="auto"/>
            <w:shd w:val="clear" w:color="auto" w:fill="auto"/>
            <w:vAlign w:val="center"/>
          </w:tcPr>
          <w:p w14:paraId="00A820A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−0.919 (−0.926 to −0.912)</w:t>
            </w:r>
          </w:p>
        </w:tc>
        <w:tc>
          <w:tcPr>
            <w:tcW w:w="0" w:type="auto"/>
            <w:shd w:val="clear" w:color="auto" w:fill="auto"/>
            <w:vAlign w:val="center"/>
          </w:tcPr>
          <w:p w14:paraId="31E8252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1.145 (−2.889 to 5.775)</w:t>
            </w:r>
          </w:p>
        </w:tc>
        <w:tc>
          <w:tcPr>
            <w:tcW w:w="0" w:type="auto"/>
            <w:shd w:val="clear" w:color="auto" w:fill="auto"/>
            <w:vAlign w:val="center"/>
          </w:tcPr>
          <w:p w14:paraId="3DC62B0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0.540 (0.538–0.542)</w:t>
            </w:r>
          </w:p>
        </w:tc>
      </w:tr>
      <w:tr w14:paraId="32CF50AC">
        <w:trPr>
          <w:tblCellSpacing w:w="15" w:type="dxa"/>
        </w:trPr>
        <w:tc>
          <w:tcPr>
            <w:tcW w:w="0" w:type="auto"/>
            <w:shd w:val="clear" w:color="auto" w:fill="auto"/>
            <w:vAlign w:val="center"/>
          </w:tcPr>
          <w:p w14:paraId="6B37249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ridge</w:t>
            </w:r>
          </w:p>
        </w:tc>
        <w:tc>
          <w:tcPr>
            <w:tcW w:w="0" w:type="auto"/>
            <w:shd w:val="clear" w:color="auto" w:fill="auto"/>
            <w:vAlign w:val="center"/>
          </w:tcPr>
          <w:p w14:paraId="05C5239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0.534 (0.456–0.613)</w:t>
            </w:r>
          </w:p>
        </w:tc>
        <w:tc>
          <w:tcPr>
            <w:tcW w:w="0" w:type="auto"/>
            <w:shd w:val="clear" w:color="auto" w:fill="auto"/>
            <w:vAlign w:val="center"/>
          </w:tcPr>
          <w:p w14:paraId="5B1BB9B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0.259 (0.219–0.336)</w:t>
            </w:r>
          </w:p>
        </w:tc>
        <w:tc>
          <w:tcPr>
            <w:tcW w:w="0" w:type="auto"/>
            <w:shd w:val="clear" w:color="auto" w:fill="auto"/>
            <w:vAlign w:val="center"/>
          </w:tcPr>
          <w:p w14:paraId="60C15B5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0.215 (0.215–0.215)</w:t>
            </w:r>
          </w:p>
        </w:tc>
        <w:tc>
          <w:tcPr>
            <w:tcW w:w="0" w:type="auto"/>
            <w:shd w:val="clear" w:color="auto" w:fill="auto"/>
            <w:vAlign w:val="center"/>
          </w:tcPr>
          <w:p w14:paraId="5942843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0.622 (0.622–0.622)</w:t>
            </w:r>
          </w:p>
        </w:tc>
        <w:tc>
          <w:tcPr>
            <w:tcW w:w="0" w:type="auto"/>
            <w:shd w:val="clear" w:color="auto" w:fill="auto"/>
            <w:vAlign w:val="center"/>
          </w:tcPr>
          <w:p w14:paraId="0C73278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−0.871 (−0.871 to −0.871)</w:t>
            </w:r>
          </w:p>
        </w:tc>
        <w:tc>
          <w:tcPr>
            <w:tcW w:w="0" w:type="auto"/>
            <w:shd w:val="clear" w:color="auto" w:fill="auto"/>
            <w:vAlign w:val="center"/>
          </w:tcPr>
          <w:p w14:paraId="0E1A51D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0" w:type="auto"/>
            <w:shd w:val="clear" w:color="auto" w:fill="auto"/>
            <w:vAlign w:val="center"/>
          </w:tcPr>
          <w:p w14:paraId="2AE9054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0.555 (0.555–0.555)</w:t>
            </w:r>
          </w:p>
        </w:tc>
      </w:tr>
      <w:tr w14:paraId="72B1653E">
        <w:trPr>
          <w:tblCellSpacing w:w="15" w:type="dxa"/>
        </w:trPr>
        <w:tc>
          <w:tcPr>
            <w:tcW w:w="0" w:type="auto"/>
            <w:shd w:val="clear" w:color="auto" w:fill="auto"/>
            <w:vAlign w:val="center"/>
          </w:tcPr>
          <w:p w14:paraId="756EB71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elastic net</w:t>
            </w:r>
          </w:p>
        </w:tc>
        <w:tc>
          <w:tcPr>
            <w:tcW w:w="0" w:type="auto"/>
            <w:shd w:val="clear" w:color="auto" w:fill="auto"/>
            <w:vAlign w:val="center"/>
          </w:tcPr>
          <w:p w14:paraId="2EE6DD3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0.583 (0.511–0.658)</w:t>
            </w:r>
          </w:p>
        </w:tc>
        <w:tc>
          <w:tcPr>
            <w:tcW w:w="0" w:type="auto"/>
            <w:shd w:val="clear" w:color="auto" w:fill="auto"/>
            <w:vAlign w:val="center"/>
          </w:tcPr>
          <w:p w14:paraId="2A4E28B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0.266 (0.233–0.325)</w:t>
            </w:r>
          </w:p>
        </w:tc>
        <w:tc>
          <w:tcPr>
            <w:tcW w:w="0" w:type="auto"/>
            <w:shd w:val="clear" w:color="auto" w:fill="auto"/>
            <w:vAlign w:val="center"/>
          </w:tcPr>
          <w:p w14:paraId="5A86BAA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0.219 (0.217–0.222)</w:t>
            </w:r>
          </w:p>
        </w:tc>
        <w:tc>
          <w:tcPr>
            <w:tcW w:w="0" w:type="auto"/>
            <w:shd w:val="clear" w:color="auto" w:fill="auto"/>
            <w:vAlign w:val="center"/>
          </w:tcPr>
          <w:p w14:paraId="22FA56E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0.632 (0.627–0.636)</w:t>
            </w:r>
          </w:p>
        </w:tc>
        <w:tc>
          <w:tcPr>
            <w:tcW w:w="0" w:type="auto"/>
            <w:shd w:val="clear" w:color="auto" w:fill="auto"/>
            <w:vAlign w:val="center"/>
          </w:tcPr>
          <w:p w14:paraId="0119377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−0.939 (−0.949 to −0.929)</w:t>
            </w:r>
          </w:p>
        </w:tc>
        <w:tc>
          <w:tcPr>
            <w:tcW w:w="0" w:type="auto"/>
            <w:shd w:val="clear" w:color="auto" w:fill="auto"/>
            <w:vAlign w:val="center"/>
          </w:tcPr>
          <w:p w14:paraId="576AFE7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2.938 (0.241–6.101)</w:t>
            </w:r>
          </w:p>
        </w:tc>
        <w:tc>
          <w:tcPr>
            <w:tcW w:w="0" w:type="auto"/>
            <w:shd w:val="clear" w:color="auto" w:fill="auto"/>
            <w:vAlign w:val="center"/>
          </w:tcPr>
          <w:p w14:paraId="59D4AB1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0.534 (0.531–0.537)</w:t>
            </w:r>
          </w:p>
        </w:tc>
      </w:tr>
      <w:tr w14:paraId="12A1BBB1">
        <w:trPr>
          <w:tblCellSpacing w:w="15" w:type="dxa"/>
        </w:trPr>
        <w:tc>
          <w:tcPr>
            <w:tcW w:w="0" w:type="auto"/>
            <w:shd w:val="clear" w:color="auto" w:fill="auto"/>
            <w:vAlign w:val="center"/>
          </w:tcPr>
          <w:p w14:paraId="4A00D2E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elastic net</w:t>
            </w:r>
          </w:p>
        </w:tc>
        <w:tc>
          <w:tcPr>
            <w:tcW w:w="0" w:type="auto"/>
            <w:shd w:val="clear" w:color="auto" w:fill="auto"/>
            <w:vAlign w:val="center"/>
          </w:tcPr>
          <w:p w14:paraId="5391F5B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0.584 (0.510–0.660)</w:t>
            </w:r>
          </w:p>
        </w:tc>
        <w:tc>
          <w:tcPr>
            <w:tcW w:w="0" w:type="auto"/>
            <w:shd w:val="clear" w:color="auto" w:fill="auto"/>
            <w:vAlign w:val="center"/>
          </w:tcPr>
          <w:p w14:paraId="53A87C1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0.282 (0.240–0.361)</w:t>
            </w:r>
          </w:p>
        </w:tc>
        <w:tc>
          <w:tcPr>
            <w:tcW w:w="0" w:type="auto"/>
            <w:shd w:val="clear" w:color="auto" w:fill="auto"/>
            <w:vAlign w:val="center"/>
          </w:tcPr>
          <w:p w14:paraId="338E0D8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0.216 (0.212–0.220)</w:t>
            </w:r>
          </w:p>
        </w:tc>
        <w:tc>
          <w:tcPr>
            <w:tcW w:w="0" w:type="auto"/>
            <w:shd w:val="clear" w:color="auto" w:fill="auto"/>
            <w:vAlign w:val="center"/>
          </w:tcPr>
          <w:p w14:paraId="340A96D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0.624 (0.616–0.632)</w:t>
            </w:r>
          </w:p>
        </w:tc>
        <w:tc>
          <w:tcPr>
            <w:tcW w:w="0" w:type="auto"/>
            <w:shd w:val="clear" w:color="auto" w:fill="auto"/>
            <w:vAlign w:val="center"/>
          </w:tcPr>
          <w:p w14:paraId="667F94B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−0.912 (−0.929 to −0.895)</w:t>
            </w:r>
          </w:p>
        </w:tc>
        <w:tc>
          <w:tcPr>
            <w:tcW w:w="0" w:type="auto"/>
            <w:shd w:val="clear" w:color="auto" w:fill="auto"/>
            <w:vAlign w:val="center"/>
          </w:tcPr>
          <w:p w14:paraId="58BC217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1.727 (0.151–3.609)</w:t>
            </w:r>
          </w:p>
        </w:tc>
        <w:tc>
          <w:tcPr>
            <w:tcW w:w="0" w:type="auto"/>
            <w:shd w:val="clear" w:color="auto" w:fill="auto"/>
            <w:vAlign w:val="center"/>
          </w:tcPr>
          <w:p w14:paraId="479A6CC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0.543 (0.538–0.548)</w:t>
            </w:r>
          </w:p>
        </w:tc>
      </w:tr>
      <w:tr w14:paraId="6A7FD2D8">
        <w:trPr>
          <w:tblCellSpacing w:w="15" w:type="dxa"/>
        </w:trPr>
        <w:tc>
          <w:tcPr>
            <w:tcW w:w="0" w:type="auto"/>
            <w:shd w:val="clear" w:color="auto" w:fill="auto"/>
            <w:vAlign w:val="center"/>
          </w:tcPr>
          <w:p w14:paraId="307E97E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Clinical-plus-muscle ridge</w:t>
            </w:r>
          </w:p>
        </w:tc>
        <w:tc>
          <w:tcPr>
            <w:tcW w:w="0" w:type="auto"/>
            <w:shd w:val="clear" w:color="auto" w:fill="auto"/>
            <w:vAlign w:val="center"/>
          </w:tcPr>
          <w:p w14:paraId="1160ADC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0.539 (0.461–0.618)</w:t>
            </w:r>
          </w:p>
        </w:tc>
        <w:tc>
          <w:tcPr>
            <w:tcW w:w="0" w:type="auto"/>
            <w:shd w:val="clear" w:color="auto" w:fill="auto"/>
            <w:vAlign w:val="center"/>
          </w:tcPr>
          <w:p w14:paraId="16567CE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0.262 (0.223–0.340)</w:t>
            </w:r>
          </w:p>
        </w:tc>
        <w:tc>
          <w:tcPr>
            <w:tcW w:w="0" w:type="auto"/>
            <w:shd w:val="clear" w:color="auto" w:fill="auto"/>
            <w:vAlign w:val="center"/>
          </w:tcPr>
          <w:p w14:paraId="6AADD30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0.215 (0.214–0.215)</w:t>
            </w:r>
          </w:p>
        </w:tc>
        <w:tc>
          <w:tcPr>
            <w:tcW w:w="0" w:type="auto"/>
            <w:shd w:val="clear" w:color="auto" w:fill="auto"/>
            <w:vAlign w:val="center"/>
          </w:tcPr>
          <w:p w14:paraId="4E0085E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0.622 (0.622–0.623)</w:t>
            </w:r>
          </w:p>
        </w:tc>
        <w:tc>
          <w:tcPr>
            <w:tcW w:w="0" w:type="auto"/>
            <w:shd w:val="clear" w:color="auto" w:fill="auto"/>
            <w:vAlign w:val="center"/>
          </w:tcPr>
          <w:p w14:paraId="53643F3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−0.874 (−0.876 to −0.873)</w:t>
            </w:r>
          </w:p>
        </w:tc>
        <w:tc>
          <w:tcPr>
            <w:tcW w:w="0" w:type="auto"/>
            <w:shd w:val="clear" w:color="auto" w:fill="auto"/>
            <w:vAlign w:val="center"/>
          </w:tcPr>
          <w:p w14:paraId="5E35661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10.961 (−10.116 to 34.233)</w:t>
            </w:r>
          </w:p>
        </w:tc>
        <w:tc>
          <w:tcPr>
            <w:tcW w:w="0" w:type="auto"/>
            <w:shd w:val="clear" w:color="auto" w:fill="auto"/>
            <w:vAlign w:val="center"/>
          </w:tcPr>
          <w:p w14:paraId="7B48259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0.554 (0.553–0.554)</w:t>
            </w:r>
          </w:p>
        </w:tc>
      </w:tr>
      <w:tr w14:paraId="504CBD13">
        <w:trPr>
          <w:tblCellSpacing w:w="15" w:type="dxa"/>
        </w:trPr>
        <w:tc>
          <w:tcPr>
            <w:tcW w:w="0" w:type="auto"/>
            <w:shd w:val="clear" w:color="auto" w:fill="auto"/>
            <w:vAlign w:val="center"/>
          </w:tcPr>
          <w:p w14:paraId="2BD0882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Clinical-plus-fat ridge</w:t>
            </w:r>
          </w:p>
        </w:tc>
        <w:tc>
          <w:tcPr>
            <w:tcW w:w="0" w:type="auto"/>
            <w:shd w:val="clear" w:color="auto" w:fill="auto"/>
            <w:vAlign w:val="center"/>
          </w:tcPr>
          <w:p w14:paraId="5C1669D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0.523 (0.450–0.601)</w:t>
            </w:r>
          </w:p>
        </w:tc>
        <w:tc>
          <w:tcPr>
            <w:tcW w:w="0" w:type="auto"/>
            <w:shd w:val="clear" w:color="auto" w:fill="auto"/>
            <w:vAlign w:val="center"/>
          </w:tcPr>
          <w:p w14:paraId="6DAE849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0.243 (0.213–0.305)</w:t>
            </w:r>
          </w:p>
        </w:tc>
        <w:tc>
          <w:tcPr>
            <w:tcW w:w="0" w:type="auto"/>
            <w:shd w:val="clear" w:color="auto" w:fill="auto"/>
            <w:vAlign w:val="center"/>
          </w:tcPr>
          <w:p w14:paraId="0DA864C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0.215 (0.215–0.215)</w:t>
            </w:r>
          </w:p>
        </w:tc>
        <w:tc>
          <w:tcPr>
            <w:tcW w:w="0" w:type="auto"/>
            <w:shd w:val="clear" w:color="auto" w:fill="auto"/>
            <w:vAlign w:val="center"/>
          </w:tcPr>
          <w:p w14:paraId="2D2B2E4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0.622 (0.622–0.622)</w:t>
            </w:r>
          </w:p>
        </w:tc>
        <w:tc>
          <w:tcPr>
            <w:tcW w:w="0" w:type="auto"/>
            <w:shd w:val="clear" w:color="auto" w:fill="auto"/>
            <w:vAlign w:val="center"/>
          </w:tcPr>
          <w:p w14:paraId="0DCA6DF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−0.871 (−0.871 to −0.871)</w:t>
            </w:r>
          </w:p>
        </w:tc>
        <w:tc>
          <w:tcPr>
            <w:tcW w:w="0" w:type="auto"/>
            <w:shd w:val="clear" w:color="auto" w:fill="auto"/>
            <w:vAlign w:val="center"/>
          </w:tcPr>
          <w:p w14:paraId="0D924CE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0" w:type="auto"/>
            <w:shd w:val="clear" w:color="auto" w:fill="auto"/>
            <w:vAlign w:val="center"/>
          </w:tcPr>
          <w:p w14:paraId="2B76C75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0.555 (0.555–0.555)</w:t>
            </w:r>
          </w:p>
        </w:tc>
      </w:tr>
      <w:tr w14:paraId="10F91B56">
        <w:trPr>
          <w:tblCellSpacing w:w="15" w:type="dxa"/>
        </w:trPr>
        <w:tc>
          <w:tcPr>
            <w:tcW w:w="0" w:type="auto"/>
            <w:tcBorders>
              <w:bottom w:val="single" w:color="000000" w:sz="4" w:space="0"/>
            </w:tcBorders>
            <w:shd w:val="clear" w:color="auto" w:fill="auto"/>
            <w:vAlign w:val="center"/>
          </w:tcPr>
          <w:p w14:paraId="54994CB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Individual-CT ridge</w:t>
            </w:r>
          </w:p>
        </w:tc>
        <w:tc>
          <w:tcPr>
            <w:tcW w:w="0" w:type="auto"/>
            <w:tcBorders>
              <w:bottom w:val="single" w:color="000000" w:sz="4" w:space="0"/>
            </w:tcBorders>
            <w:shd w:val="clear" w:color="auto" w:fill="auto"/>
            <w:vAlign w:val="center"/>
          </w:tcPr>
          <w:p w14:paraId="4A623D0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0.550 (0.469–0.625)</w:t>
            </w:r>
          </w:p>
        </w:tc>
        <w:tc>
          <w:tcPr>
            <w:tcW w:w="0" w:type="auto"/>
            <w:tcBorders>
              <w:bottom w:val="single" w:color="000000" w:sz="4" w:space="0"/>
            </w:tcBorders>
            <w:shd w:val="clear" w:color="auto" w:fill="auto"/>
            <w:vAlign w:val="center"/>
          </w:tcPr>
          <w:p w14:paraId="16D07E3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0.273 (0.228–0.361)</w:t>
            </w:r>
          </w:p>
        </w:tc>
        <w:tc>
          <w:tcPr>
            <w:tcW w:w="0" w:type="auto"/>
            <w:tcBorders>
              <w:bottom w:val="single" w:color="000000" w:sz="4" w:space="0"/>
            </w:tcBorders>
            <w:shd w:val="clear" w:color="auto" w:fill="auto"/>
            <w:vAlign w:val="center"/>
          </w:tcPr>
          <w:p w14:paraId="57C50E1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0.214 (0.213–0.216)</w:t>
            </w:r>
          </w:p>
        </w:tc>
        <w:tc>
          <w:tcPr>
            <w:tcW w:w="0" w:type="auto"/>
            <w:tcBorders>
              <w:bottom w:val="single" w:color="000000" w:sz="4" w:space="0"/>
            </w:tcBorders>
            <w:shd w:val="clear" w:color="auto" w:fill="auto"/>
            <w:vAlign w:val="center"/>
          </w:tcPr>
          <w:p w14:paraId="6CCA717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0.621 (0.618–0.624)</w:t>
            </w:r>
          </w:p>
        </w:tc>
        <w:tc>
          <w:tcPr>
            <w:tcW w:w="0" w:type="auto"/>
            <w:tcBorders>
              <w:bottom w:val="single" w:color="000000" w:sz="4" w:space="0"/>
            </w:tcBorders>
            <w:shd w:val="clear" w:color="auto" w:fill="auto"/>
            <w:vAlign w:val="center"/>
          </w:tcPr>
          <w:p w14:paraId="0E7925F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−0.875 (−0.881 to −0.868)</w:t>
            </w:r>
          </w:p>
        </w:tc>
        <w:tc>
          <w:tcPr>
            <w:tcW w:w="0" w:type="auto"/>
            <w:tcBorders>
              <w:bottom w:val="single" w:color="000000" w:sz="4" w:space="0"/>
            </w:tcBorders>
            <w:shd w:val="clear" w:color="auto" w:fill="auto"/>
            <w:vAlign w:val="center"/>
          </w:tcPr>
          <w:p w14:paraId="7627552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2.615 (−1.903 to 7.560)</w:t>
            </w:r>
          </w:p>
        </w:tc>
        <w:tc>
          <w:tcPr>
            <w:tcW w:w="0" w:type="auto"/>
            <w:tcBorders>
              <w:bottom w:val="single" w:color="000000" w:sz="4" w:space="0"/>
            </w:tcBorders>
            <w:shd w:val="clear" w:color="auto" w:fill="auto"/>
            <w:vAlign w:val="center"/>
          </w:tcPr>
          <w:p w14:paraId="2243948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0.554 (0.552–0.556)</w:t>
            </w:r>
          </w:p>
        </w:tc>
      </w:tr>
    </w:tbl>
    <w:p w14:paraId="0E995CC7">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Values are estimates with 95% stratified bootstrap CIs. Calibration and prediction-error measures compare procedure-specific LOS constructs. NE, nonestimable; O/E, observed-to-expected.</w:t>
      </w:r>
    </w:p>
    <w:p w14:paraId="24866C1F">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S5. Locked bootstrap completion and estimability</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838"/>
        <w:gridCol w:w="1060"/>
        <w:gridCol w:w="1087"/>
        <w:gridCol w:w="660"/>
        <w:gridCol w:w="2106"/>
        <w:gridCol w:w="1645"/>
      </w:tblGrid>
      <w:tr w14:paraId="3C8DBA02">
        <w:trPr>
          <w:tblCellSpacing w:w="15" w:type="dxa"/>
        </w:trPr>
        <w:tc>
          <w:tcPr>
            <w:tcW w:w="0" w:type="auto"/>
            <w:tcBorders>
              <w:top w:val="single" w:color="000000" w:sz="4" w:space="0"/>
              <w:bottom w:val="single" w:color="000000" w:sz="4" w:space="0"/>
            </w:tcBorders>
            <w:shd w:val="clear" w:color="auto" w:fill="auto"/>
            <w:vAlign w:val="center"/>
          </w:tcPr>
          <w:p w14:paraId="3C550DD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w:t>
            </w:r>
          </w:p>
        </w:tc>
        <w:tc>
          <w:tcPr>
            <w:tcW w:w="0" w:type="auto"/>
            <w:tcBorders>
              <w:top w:val="single" w:color="000000" w:sz="4" w:space="0"/>
              <w:bottom w:val="single" w:color="000000" w:sz="4" w:space="0"/>
            </w:tcBorders>
            <w:shd w:val="clear" w:color="auto" w:fill="auto"/>
            <w:vAlign w:val="center"/>
          </w:tcPr>
          <w:p w14:paraId="0AE7C10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Requested</w:t>
            </w:r>
          </w:p>
        </w:tc>
        <w:tc>
          <w:tcPr>
            <w:tcW w:w="0" w:type="auto"/>
            <w:tcBorders>
              <w:top w:val="single" w:color="000000" w:sz="4" w:space="0"/>
              <w:bottom w:val="single" w:color="000000" w:sz="4" w:space="0"/>
            </w:tcBorders>
            <w:shd w:val="clear" w:color="auto" w:fill="auto"/>
            <w:vAlign w:val="center"/>
          </w:tcPr>
          <w:p w14:paraId="51CB287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Successful</w:t>
            </w:r>
          </w:p>
        </w:tc>
        <w:tc>
          <w:tcPr>
            <w:tcW w:w="0" w:type="auto"/>
            <w:tcBorders>
              <w:top w:val="single" w:color="000000" w:sz="4" w:space="0"/>
              <w:bottom w:val="single" w:color="000000" w:sz="4" w:space="0"/>
            </w:tcBorders>
            <w:shd w:val="clear" w:color="auto" w:fill="auto"/>
            <w:vAlign w:val="center"/>
          </w:tcPr>
          <w:p w14:paraId="723A3CB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Failed</w:t>
            </w:r>
          </w:p>
        </w:tc>
        <w:tc>
          <w:tcPr>
            <w:tcW w:w="0" w:type="auto"/>
            <w:tcBorders>
              <w:top w:val="single" w:color="000000" w:sz="4" w:space="0"/>
              <w:bottom w:val="single" w:color="000000" w:sz="4" w:space="0"/>
            </w:tcBorders>
            <w:shd w:val="clear" w:color="auto" w:fill="auto"/>
            <w:vAlign w:val="center"/>
          </w:tcPr>
          <w:p w14:paraId="77AE18C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Repetitions with nonestimable metrics</w:t>
            </w:r>
          </w:p>
        </w:tc>
        <w:tc>
          <w:tcPr>
            <w:tcW w:w="0" w:type="auto"/>
            <w:tcBorders>
              <w:top w:val="single" w:color="000000" w:sz="4" w:space="0"/>
              <w:bottom w:val="single" w:color="000000" w:sz="4" w:space="0"/>
            </w:tcBorders>
            <w:shd w:val="clear" w:color="auto" w:fill="auto"/>
            <w:vAlign w:val="center"/>
          </w:tcPr>
          <w:p w14:paraId="197EB9B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Estimable calibration curves</w:t>
            </w:r>
          </w:p>
        </w:tc>
      </w:tr>
      <w:tr w14:paraId="212559BD">
        <w:trPr>
          <w:tblCellSpacing w:w="15" w:type="dxa"/>
        </w:trPr>
        <w:tc>
          <w:tcPr>
            <w:tcW w:w="0" w:type="auto"/>
            <w:shd w:val="clear" w:color="auto" w:fill="auto"/>
            <w:vAlign w:val="center"/>
          </w:tcPr>
          <w:p w14:paraId="2D1B657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ridge</w:t>
            </w:r>
          </w:p>
        </w:tc>
        <w:tc>
          <w:tcPr>
            <w:tcW w:w="0" w:type="auto"/>
            <w:shd w:val="clear" w:color="auto" w:fill="auto"/>
            <w:vAlign w:val="center"/>
          </w:tcPr>
          <w:p w14:paraId="2C271CC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740EF11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260F09E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5B3D784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3D00BC1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r>
      <w:tr w14:paraId="3DCE43EA">
        <w:trPr>
          <w:tblCellSpacing w:w="15" w:type="dxa"/>
        </w:trPr>
        <w:tc>
          <w:tcPr>
            <w:tcW w:w="0" w:type="auto"/>
            <w:shd w:val="clear" w:color="auto" w:fill="auto"/>
            <w:vAlign w:val="center"/>
          </w:tcPr>
          <w:p w14:paraId="7BE562B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ridge</w:t>
            </w:r>
          </w:p>
        </w:tc>
        <w:tc>
          <w:tcPr>
            <w:tcW w:w="0" w:type="auto"/>
            <w:shd w:val="clear" w:color="auto" w:fill="auto"/>
            <w:vAlign w:val="center"/>
          </w:tcPr>
          <w:p w14:paraId="064F4AF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49306D4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65BDB85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6EBEB3A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03A46C0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r>
      <w:tr w14:paraId="74E285A4">
        <w:trPr>
          <w:tblCellSpacing w:w="15" w:type="dxa"/>
        </w:trPr>
        <w:tc>
          <w:tcPr>
            <w:tcW w:w="0" w:type="auto"/>
            <w:shd w:val="clear" w:color="auto" w:fill="auto"/>
            <w:vAlign w:val="center"/>
          </w:tcPr>
          <w:p w14:paraId="64B5109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elastic net</w:t>
            </w:r>
          </w:p>
        </w:tc>
        <w:tc>
          <w:tcPr>
            <w:tcW w:w="0" w:type="auto"/>
            <w:shd w:val="clear" w:color="auto" w:fill="auto"/>
            <w:vAlign w:val="center"/>
          </w:tcPr>
          <w:p w14:paraId="6201285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6030C93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1E6A0DB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6924151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032F240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Not requested</w:t>
            </w:r>
          </w:p>
        </w:tc>
      </w:tr>
      <w:tr w14:paraId="3569A7E2">
        <w:trPr>
          <w:tblCellSpacing w:w="15" w:type="dxa"/>
        </w:trPr>
        <w:tc>
          <w:tcPr>
            <w:tcW w:w="0" w:type="auto"/>
            <w:shd w:val="clear" w:color="auto" w:fill="auto"/>
            <w:vAlign w:val="center"/>
          </w:tcPr>
          <w:p w14:paraId="6EF76E7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elastic net</w:t>
            </w:r>
          </w:p>
        </w:tc>
        <w:tc>
          <w:tcPr>
            <w:tcW w:w="0" w:type="auto"/>
            <w:shd w:val="clear" w:color="auto" w:fill="auto"/>
            <w:vAlign w:val="center"/>
          </w:tcPr>
          <w:p w14:paraId="7C224D2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2674B28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29E0D66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7BA339F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26EC528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Not requested</w:t>
            </w:r>
          </w:p>
        </w:tc>
      </w:tr>
      <w:tr w14:paraId="47F0E23E">
        <w:trPr>
          <w:tblCellSpacing w:w="15" w:type="dxa"/>
        </w:trPr>
        <w:tc>
          <w:tcPr>
            <w:tcW w:w="0" w:type="auto"/>
            <w:shd w:val="clear" w:color="auto" w:fill="auto"/>
            <w:vAlign w:val="center"/>
          </w:tcPr>
          <w:p w14:paraId="2A15DDF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Clinical-plus-muscle ridge</w:t>
            </w:r>
          </w:p>
        </w:tc>
        <w:tc>
          <w:tcPr>
            <w:tcW w:w="0" w:type="auto"/>
            <w:shd w:val="clear" w:color="auto" w:fill="auto"/>
            <w:vAlign w:val="center"/>
          </w:tcPr>
          <w:p w14:paraId="7B169CF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26D66E0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375352C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3E3F25A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1F16419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Not requested</w:t>
            </w:r>
          </w:p>
        </w:tc>
      </w:tr>
      <w:tr w14:paraId="7E7510AF">
        <w:trPr>
          <w:tblCellSpacing w:w="15" w:type="dxa"/>
        </w:trPr>
        <w:tc>
          <w:tcPr>
            <w:tcW w:w="0" w:type="auto"/>
            <w:shd w:val="clear" w:color="auto" w:fill="auto"/>
            <w:vAlign w:val="center"/>
          </w:tcPr>
          <w:p w14:paraId="1B865D1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Clinical-plus-fat ridge</w:t>
            </w:r>
          </w:p>
        </w:tc>
        <w:tc>
          <w:tcPr>
            <w:tcW w:w="0" w:type="auto"/>
            <w:shd w:val="clear" w:color="auto" w:fill="auto"/>
            <w:vAlign w:val="center"/>
          </w:tcPr>
          <w:p w14:paraId="408C494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35E9EAC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27A36A8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shd w:val="clear" w:color="auto" w:fill="auto"/>
            <w:vAlign w:val="center"/>
          </w:tcPr>
          <w:p w14:paraId="7AC8E1A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052A089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Not requested</w:t>
            </w:r>
          </w:p>
        </w:tc>
      </w:tr>
      <w:tr w14:paraId="5FCC1477">
        <w:trPr>
          <w:tblCellSpacing w:w="15" w:type="dxa"/>
        </w:trPr>
        <w:tc>
          <w:tcPr>
            <w:tcW w:w="0" w:type="auto"/>
            <w:tcBorders>
              <w:bottom w:val="single" w:color="000000" w:sz="4" w:space="0"/>
            </w:tcBorders>
            <w:shd w:val="clear" w:color="auto" w:fill="auto"/>
            <w:vAlign w:val="center"/>
          </w:tcPr>
          <w:p w14:paraId="7712A12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Individual-CT ridge</w:t>
            </w:r>
          </w:p>
        </w:tc>
        <w:tc>
          <w:tcPr>
            <w:tcW w:w="0" w:type="auto"/>
            <w:tcBorders>
              <w:bottom w:val="single" w:color="000000" w:sz="4" w:space="0"/>
            </w:tcBorders>
            <w:shd w:val="clear" w:color="auto" w:fill="auto"/>
            <w:vAlign w:val="center"/>
          </w:tcPr>
          <w:p w14:paraId="39B6E57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tcBorders>
              <w:bottom w:val="single" w:color="000000" w:sz="4" w:space="0"/>
            </w:tcBorders>
            <w:shd w:val="clear" w:color="auto" w:fill="auto"/>
            <w:vAlign w:val="center"/>
          </w:tcPr>
          <w:p w14:paraId="3B58B86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tcBorders>
              <w:bottom w:val="single" w:color="000000" w:sz="4" w:space="0"/>
            </w:tcBorders>
            <w:shd w:val="clear" w:color="auto" w:fill="auto"/>
            <w:vAlign w:val="center"/>
          </w:tcPr>
          <w:p w14:paraId="2F8EC15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tcBorders>
              <w:bottom w:val="single" w:color="000000" w:sz="4" w:space="0"/>
            </w:tcBorders>
            <w:shd w:val="clear" w:color="auto" w:fill="auto"/>
            <w:vAlign w:val="center"/>
          </w:tcPr>
          <w:p w14:paraId="4F05777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tcBorders>
              <w:bottom w:val="single" w:color="000000" w:sz="4" w:space="0"/>
            </w:tcBorders>
            <w:shd w:val="clear" w:color="auto" w:fill="auto"/>
            <w:vAlign w:val="center"/>
          </w:tcPr>
          <w:p w14:paraId="7EA0320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Not requested</w:t>
            </w:r>
          </w:p>
        </w:tc>
      </w:tr>
    </w:tbl>
    <w:p w14:paraId="7CA10266">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Metric-specific nonestimability was not counted as execution failure.</w:t>
      </w:r>
    </w:p>
    <w:p w14:paraId="26E68DA4">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S6. Frozen target-cohort prediction distributions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650"/>
        <w:gridCol w:w="720"/>
        <w:gridCol w:w="840"/>
        <w:gridCol w:w="1021"/>
        <w:gridCol w:w="1134"/>
        <w:gridCol w:w="794"/>
        <w:gridCol w:w="1162"/>
        <w:gridCol w:w="1075"/>
      </w:tblGrid>
      <w:tr w14:paraId="5AE88C8E">
        <w:trPr>
          <w:tblCellSpacing w:w="15" w:type="dxa"/>
        </w:trPr>
        <w:tc>
          <w:tcPr>
            <w:tcW w:w="0" w:type="auto"/>
            <w:tcBorders>
              <w:top w:val="single" w:color="000000" w:sz="4" w:space="0"/>
              <w:bottom w:val="single" w:color="000000" w:sz="4" w:space="0"/>
            </w:tcBorders>
            <w:shd w:val="clear" w:color="auto" w:fill="auto"/>
            <w:vAlign w:val="center"/>
          </w:tcPr>
          <w:p w14:paraId="0ADBD81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w:t>
            </w:r>
          </w:p>
        </w:tc>
        <w:tc>
          <w:tcPr>
            <w:tcW w:w="0" w:type="auto"/>
            <w:tcBorders>
              <w:top w:val="single" w:color="000000" w:sz="4" w:space="0"/>
              <w:bottom w:val="single" w:color="000000" w:sz="4" w:space="0"/>
            </w:tcBorders>
            <w:shd w:val="clear" w:color="auto" w:fill="auto"/>
            <w:vAlign w:val="center"/>
          </w:tcPr>
          <w:p w14:paraId="53CF371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w:t>
            </w:r>
          </w:p>
        </w:tc>
        <w:tc>
          <w:tcPr>
            <w:tcW w:w="0" w:type="auto"/>
            <w:tcBorders>
              <w:top w:val="single" w:color="000000" w:sz="4" w:space="0"/>
              <w:bottom w:val="single" w:color="000000" w:sz="4" w:space="0"/>
            </w:tcBorders>
            <w:shd w:val="clear" w:color="auto" w:fill="auto"/>
            <w:vAlign w:val="center"/>
          </w:tcPr>
          <w:p w14:paraId="59F7E45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SD</w:t>
            </w:r>
          </w:p>
        </w:tc>
        <w:tc>
          <w:tcPr>
            <w:tcW w:w="0" w:type="auto"/>
            <w:tcBorders>
              <w:top w:val="single" w:color="000000" w:sz="4" w:space="0"/>
              <w:bottom w:val="single" w:color="000000" w:sz="4" w:space="0"/>
            </w:tcBorders>
            <w:shd w:val="clear" w:color="auto" w:fill="auto"/>
            <w:vAlign w:val="center"/>
          </w:tcPr>
          <w:p w14:paraId="1D79027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Minimum</w:t>
            </w:r>
          </w:p>
        </w:tc>
        <w:tc>
          <w:tcPr>
            <w:tcW w:w="0" w:type="auto"/>
            <w:tcBorders>
              <w:top w:val="single" w:color="000000" w:sz="4" w:space="0"/>
              <w:bottom w:val="single" w:color="000000" w:sz="4" w:space="0"/>
            </w:tcBorders>
            <w:shd w:val="clear" w:color="auto" w:fill="auto"/>
            <w:vAlign w:val="center"/>
          </w:tcPr>
          <w:p w14:paraId="54A8816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2.5th percentile</w:t>
            </w:r>
          </w:p>
        </w:tc>
        <w:tc>
          <w:tcPr>
            <w:tcW w:w="0" w:type="auto"/>
            <w:tcBorders>
              <w:top w:val="single" w:color="000000" w:sz="4" w:space="0"/>
              <w:bottom w:val="single" w:color="000000" w:sz="4" w:space="0"/>
            </w:tcBorders>
            <w:shd w:val="clear" w:color="auto" w:fill="auto"/>
            <w:vAlign w:val="center"/>
          </w:tcPr>
          <w:p w14:paraId="420EF5F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Median</w:t>
            </w:r>
          </w:p>
        </w:tc>
        <w:tc>
          <w:tcPr>
            <w:tcW w:w="0" w:type="auto"/>
            <w:tcBorders>
              <w:top w:val="single" w:color="000000" w:sz="4" w:space="0"/>
              <w:bottom w:val="single" w:color="000000" w:sz="4" w:space="0"/>
            </w:tcBorders>
            <w:shd w:val="clear" w:color="auto" w:fill="auto"/>
            <w:vAlign w:val="center"/>
          </w:tcPr>
          <w:p w14:paraId="6FEB5AC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97.5th percentile</w:t>
            </w:r>
          </w:p>
        </w:tc>
        <w:tc>
          <w:tcPr>
            <w:tcW w:w="0" w:type="auto"/>
            <w:tcBorders>
              <w:top w:val="single" w:color="000000" w:sz="4" w:space="0"/>
              <w:bottom w:val="single" w:color="000000" w:sz="4" w:space="0"/>
            </w:tcBorders>
            <w:shd w:val="clear" w:color="auto" w:fill="auto"/>
            <w:vAlign w:val="center"/>
          </w:tcPr>
          <w:p w14:paraId="42F8872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Maximum</w:t>
            </w:r>
          </w:p>
        </w:tc>
      </w:tr>
      <w:tr w14:paraId="366C0BAB">
        <w:trPr>
          <w:tblCellSpacing w:w="15" w:type="dxa"/>
        </w:trPr>
        <w:tc>
          <w:tcPr>
            <w:tcW w:w="0" w:type="auto"/>
            <w:shd w:val="clear" w:color="auto" w:fill="auto"/>
            <w:vAlign w:val="center"/>
          </w:tcPr>
          <w:p w14:paraId="0696AF1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ridge</w:t>
            </w:r>
          </w:p>
        </w:tc>
        <w:tc>
          <w:tcPr>
            <w:tcW w:w="0" w:type="auto"/>
            <w:shd w:val="clear" w:color="auto" w:fill="auto"/>
            <w:vAlign w:val="center"/>
          </w:tcPr>
          <w:p w14:paraId="60A8A59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0.4337</w:t>
            </w:r>
          </w:p>
        </w:tc>
        <w:tc>
          <w:tcPr>
            <w:tcW w:w="0" w:type="auto"/>
            <w:shd w:val="clear" w:color="auto" w:fill="auto"/>
            <w:vAlign w:val="center"/>
          </w:tcPr>
          <w:p w14:paraId="1038A3A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0.01504</w:t>
            </w:r>
          </w:p>
        </w:tc>
        <w:tc>
          <w:tcPr>
            <w:tcW w:w="0" w:type="auto"/>
            <w:shd w:val="clear" w:color="auto" w:fill="auto"/>
            <w:vAlign w:val="center"/>
          </w:tcPr>
          <w:p w14:paraId="4CDAFE4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0.3921</w:t>
            </w:r>
          </w:p>
        </w:tc>
        <w:tc>
          <w:tcPr>
            <w:tcW w:w="0" w:type="auto"/>
            <w:shd w:val="clear" w:color="auto" w:fill="auto"/>
            <w:vAlign w:val="center"/>
          </w:tcPr>
          <w:p w14:paraId="69C8CD7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0.4037</w:t>
            </w:r>
          </w:p>
        </w:tc>
        <w:tc>
          <w:tcPr>
            <w:tcW w:w="0" w:type="auto"/>
            <w:shd w:val="clear" w:color="auto" w:fill="auto"/>
            <w:vAlign w:val="center"/>
          </w:tcPr>
          <w:p w14:paraId="381B0EC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0.4342</w:t>
            </w:r>
          </w:p>
        </w:tc>
        <w:tc>
          <w:tcPr>
            <w:tcW w:w="0" w:type="auto"/>
            <w:shd w:val="clear" w:color="auto" w:fill="auto"/>
            <w:vAlign w:val="center"/>
          </w:tcPr>
          <w:p w14:paraId="49F9100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0.4601</w:t>
            </w:r>
          </w:p>
        </w:tc>
        <w:tc>
          <w:tcPr>
            <w:tcW w:w="0" w:type="auto"/>
            <w:shd w:val="clear" w:color="auto" w:fill="auto"/>
            <w:vAlign w:val="center"/>
          </w:tcPr>
          <w:p w14:paraId="689B41F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0.4806</w:t>
            </w:r>
          </w:p>
        </w:tc>
      </w:tr>
      <w:tr w14:paraId="025569B4">
        <w:trPr>
          <w:tblCellSpacing w:w="15" w:type="dxa"/>
        </w:trPr>
        <w:tc>
          <w:tcPr>
            <w:tcW w:w="0" w:type="auto"/>
            <w:shd w:val="clear" w:color="auto" w:fill="auto"/>
            <w:vAlign w:val="center"/>
          </w:tcPr>
          <w:p w14:paraId="4D10EF2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ridge</w:t>
            </w:r>
          </w:p>
        </w:tc>
        <w:tc>
          <w:tcPr>
            <w:tcW w:w="0" w:type="auto"/>
            <w:shd w:val="clear" w:color="auto" w:fill="auto"/>
            <w:vAlign w:val="center"/>
          </w:tcPr>
          <w:p w14:paraId="7A14099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0.4221</w:t>
            </w:r>
          </w:p>
        </w:tc>
        <w:tc>
          <w:tcPr>
            <w:tcW w:w="0" w:type="auto"/>
            <w:shd w:val="clear" w:color="auto" w:fill="auto"/>
            <w:vAlign w:val="center"/>
          </w:tcPr>
          <w:p w14:paraId="0E5DC4D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0.00036</w:t>
            </w:r>
          </w:p>
        </w:tc>
        <w:tc>
          <w:tcPr>
            <w:tcW w:w="0" w:type="auto"/>
            <w:shd w:val="clear" w:color="auto" w:fill="auto"/>
            <w:vAlign w:val="center"/>
          </w:tcPr>
          <w:p w14:paraId="3778FFE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0.4210</w:t>
            </w:r>
          </w:p>
        </w:tc>
        <w:tc>
          <w:tcPr>
            <w:tcW w:w="0" w:type="auto"/>
            <w:shd w:val="clear" w:color="auto" w:fill="auto"/>
            <w:vAlign w:val="center"/>
          </w:tcPr>
          <w:p w14:paraId="3A3F61F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0.4213</w:t>
            </w:r>
          </w:p>
        </w:tc>
        <w:tc>
          <w:tcPr>
            <w:tcW w:w="0" w:type="auto"/>
            <w:shd w:val="clear" w:color="auto" w:fill="auto"/>
            <w:vAlign w:val="center"/>
          </w:tcPr>
          <w:p w14:paraId="487AD9C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0.4221</w:t>
            </w:r>
          </w:p>
        </w:tc>
        <w:tc>
          <w:tcPr>
            <w:tcW w:w="0" w:type="auto"/>
            <w:shd w:val="clear" w:color="auto" w:fill="auto"/>
            <w:vAlign w:val="center"/>
          </w:tcPr>
          <w:p w14:paraId="3DEECD5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0.4227</w:t>
            </w:r>
          </w:p>
        </w:tc>
        <w:tc>
          <w:tcPr>
            <w:tcW w:w="0" w:type="auto"/>
            <w:shd w:val="clear" w:color="auto" w:fill="auto"/>
            <w:vAlign w:val="center"/>
          </w:tcPr>
          <w:p w14:paraId="4BCA627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0.4232</w:t>
            </w:r>
          </w:p>
        </w:tc>
      </w:tr>
      <w:tr w14:paraId="1D895DC9">
        <w:trPr>
          <w:tblCellSpacing w:w="15" w:type="dxa"/>
        </w:trPr>
        <w:tc>
          <w:tcPr>
            <w:tcW w:w="0" w:type="auto"/>
            <w:shd w:val="clear" w:color="auto" w:fill="auto"/>
            <w:vAlign w:val="center"/>
          </w:tcPr>
          <w:p w14:paraId="7BF88BD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elastic net</w:t>
            </w:r>
          </w:p>
        </w:tc>
        <w:tc>
          <w:tcPr>
            <w:tcW w:w="0" w:type="auto"/>
            <w:shd w:val="clear" w:color="auto" w:fill="auto"/>
            <w:vAlign w:val="center"/>
          </w:tcPr>
          <w:p w14:paraId="312F69F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0.4383</w:t>
            </w:r>
          </w:p>
        </w:tc>
        <w:tc>
          <w:tcPr>
            <w:tcW w:w="0" w:type="auto"/>
            <w:shd w:val="clear" w:color="auto" w:fill="auto"/>
            <w:vAlign w:val="center"/>
          </w:tcPr>
          <w:p w14:paraId="042AFFE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0.02214</w:t>
            </w:r>
          </w:p>
        </w:tc>
        <w:tc>
          <w:tcPr>
            <w:tcW w:w="0" w:type="auto"/>
            <w:shd w:val="clear" w:color="auto" w:fill="auto"/>
            <w:vAlign w:val="center"/>
          </w:tcPr>
          <w:p w14:paraId="1BBBC3B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0.3800</w:t>
            </w:r>
          </w:p>
        </w:tc>
        <w:tc>
          <w:tcPr>
            <w:tcW w:w="0" w:type="auto"/>
            <w:shd w:val="clear" w:color="auto" w:fill="auto"/>
            <w:vAlign w:val="center"/>
          </w:tcPr>
          <w:p w14:paraId="3F3CA46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0.3953</w:t>
            </w:r>
          </w:p>
        </w:tc>
        <w:tc>
          <w:tcPr>
            <w:tcW w:w="0" w:type="auto"/>
            <w:shd w:val="clear" w:color="auto" w:fill="auto"/>
            <w:vAlign w:val="center"/>
          </w:tcPr>
          <w:p w14:paraId="34BD2C7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0.4399</w:t>
            </w:r>
          </w:p>
        </w:tc>
        <w:tc>
          <w:tcPr>
            <w:tcW w:w="0" w:type="auto"/>
            <w:shd w:val="clear" w:color="auto" w:fill="auto"/>
            <w:vAlign w:val="center"/>
          </w:tcPr>
          <w:p w14:paraId="7D8C3D3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0.4781</w:t>
            </w:r>
          </w:p>
        </w:tc>
        <w:tc>
          <w:tcPr>
            <w:tcW w:w="0" w:type="auto"/>
            <w:shd w:val="clear" w:color="auto" w:fill="auto"/>
            <w:vAlign w:val="center"/>
          </w:tcPr>
          <w:p w14:paraId="3DCF056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0.4987</w:t>
            </w:r>
          </w:p>
        </w:tc>
      </w:tr>
      <w:tr w14:paraId="7872A720">
        <w:trPr>
          <w:tblCellSpacing w:w="15" w:type="dxa"/>
        </w:trPr>
        <w:tc>
          <w:tcPr>
            <w:tcW w:w="0" w:type="auto"/>
            <w:shd w:val="clear" w:color="auto" w:fill="auto"/>
            <w:vAlign w:val="center"/>
          </w:tcPr>
          <w:p w14:paraId="36F2490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elastic net</w:t>
            </w:r>
          </w:p>
        </w:tc>
        <w:tc>
          <w:tcPr>
            <w:tcW w:w="0" w:type="auto"/>
            <w:shd w:val="clear" w:color="auto" w:fill="auto"/>
            <w:vAlign w:val="center"/>
          </w:tcPr>
          <w:p w14:paraId="47400EE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0.4309</w:t>
            </w:r>
          </w:p>
        </w:tc>
        <w:tc>
          <w:tcPr>
            <w:tcW w:w="0" w:type="auto"/>
            <w:shd w:val="clear" w:color="auto" w:fill="auto"/>
            <w:vAlign w:val="center"/>
          </w:tcPr>
          <w:p w14:paraId="0A94227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0.03836</w:t>
            </w:r>
          </w:p>
        </w:tc>
        <w:tc>
          <w:tcPr>
            <w:tcW w:w="0" w:type="auto"/>
            <w:shd w:val="clear" w:color="auto" w:fill="auto"/>
            <w:vAlign w:val="center"/>
          </w:tcPr>
          <w:p w14:paraId="6A4D37D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0.3315</w:t>
            </w:r>
          </w:p>
        </w:tc>
        <w:tc>
          <w:tcPr>
            <w:tcW w:w="0" w:type="auto"/>
            <w:shd w:val="clear" w:color="auto" w:fill="auto"/>
            <w:vAlign w:val="center"/>
          </w:tcPr>
          <w:p w14:paraId="647132F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0.3552</w:t>
            </w:r>
          </w:p>
        </w:tc>
        <w:tc>
          <w:tcPr>
            <w:tcW w:w="0" w:type="auto"/>
            <w:shd w:val="clear" w:color="auto" w:fill="auto"/>
            <w:vAlign w:val="center"/>
          </w:tcPr>
          <w:p w14:paraId="1657E7C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0.4342</w:t>
            </w:r>
          </w:p>
        </w:tc>
        <w:tc>
          <w:tcPr>
            <w:tcW w:w="0" w:type="auto"/>
            <w:shd w:val="clear" w:color="auto" w:fill="auto"/>
            <w:vAlign w:val="center"/>
          </w:tcPr>
          <w:p w14:paraId="0C66B93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0.4987</w:t>
            </w:r>
          </w:p>
        </w:tc>
        <w:tc>
          <w:tcPr>
            <w:tcW w:w="0" w:type="auto"/>
            <w:shd w:val="clear" w:color="auto" w:fill="auto"/>
            <w:vAlign w:val="center"/>
          </w:tcPr>
          <w:p w14:paraId="03DDCFB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0.5390</w:t>
            </w:r>
          </w:p>
        </w:tc>
      </w:tr>
      <w:tr w14:paraId="1AFC17CA">
        <w:trPr>
          <w:tblCellSpacing w:w="15" w:type="dxa"/>
        </w:trPr>
        <w:tc>
          <w:tcPr>
            <w:tcW w:w="0" w:type="auto"/>
            <w:shd w:val="clear" w:color="auto" w:fill="auto"/>
            <w:vAlign w:val="center"/>
          </w:tcPr>
          <w:p w14:paraId="642DF7D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Clinical-plus-muscle ridge</w:t>
            </w:r>
          </w:p>
        </w:tc>
        <w:tc>
          <w:tcPr>
            <w:tcW w:w="0" w:type="auto"/>
            <w:shd w:val="clear" w:color="auto" w:fill="auto"/>
            <w:vAlign w:val="center"/>
          </w:tcPr>
          <w:p w14:paraId="5A5C0BE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0.4229</w:t>
            </w:r>
          </w:p>
        </w:tc>
        <w:tc>
          <w:tcPr>
            <w:tcW w:w="0" w:type="auto"/>
            <w:shd w:val="clear" w:color="auto" w:fill="auto"/>
            <w:vAlign w:val="center"/>
          </w:tcPr>
          <w:p w14:paraId="2616D38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0.00309</w:t>
            </w:r>
          </w:p>
        </w:tc>
        <w:tc>
          <w:tcPr>
            <w:tcW w:w="0" w:type="auto"/>
            <w:shd w:val="clear" w:color="auto" w:fill="auto"/>
            <w:vAlign w:val="center"/>
          </w:tcPr>
          <w:p w14:paraId="2E75F10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0.4137</w:t>
            </w:r>
          </w:p>
        </w:tc>
        <w:tc>
          <w:tcPr>
            <w:tcW w:w="0" w:type="auto"/>
            <w:shd w:val="clear" w:color="auto" w:fill="auto"/>
            <w:vAlign w:val="center"/>
          </w:tcPr>
          <w:p w14:paraId="17D7E79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0.4168</w:t>
            </w:r>
          </w:p>
        </w:tc>
        <w:tc>
          <w:tcPr>
            <w:tcW w:w="0" w:type="auto"/>
            <w:shd w:val="clear" w:color="auto" w:fill="auto"/>
            <w:vAlign w:val="center"/>
          </w:tcPr>
          <w:p w14:paraId="54D05B0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0.4231</w:t>
            </w:r>
          </w:p>
        </w:tc>
        <w:tc>
          <w:tcPr>
            <w:tcW w:w="0" w:type="auto"/>
            <w:shd w:val="clear" w:color="auto" w:fill="auto"/>
            <w:vAlign w:val="center"/>
          </w:tcPr>
          <w:p w14:paraId="7AD2FDA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0.4284</w:t>
            </w:r>
          </w:p>
        </w:tc>
        <w:tc>
          <w:tcPr>
            <w:tcW w:w="0" w:type="auto"/>
            <w:shd w:val="clear" w:color="auto" w:fill="auto"/>
            <w:vAlign w:val="center"/>
          </w:tcPr>
          <w:p w14:paraId="19023B5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0.4328</w:t>
            </w:r>
          </w:p>
        </w:tc>
      </w:tr>
      <w:tr w14:paraId="5A05F4C1">
        <w:trPr>
          <w:tblCellSpacing w:w="15" w:type="dxa"/>
        </w:trPr>
        <w:tc>
          <w:tcPr>
            <w:tcW w:w="0" w:type="auto"/>
            <w:shd w:val="clear" w:color="auto" w:fill="auto"/>
            <w:vAlign w:val="center"/>
          </w:tcPr>
          <w:p w14:paraId="3D09272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Clinical-plus-fat ridge</w:t>
            </w:r>
          </w:p>
        </w:tc>
        <w:tc>
          <w:tcPr>
            <w:tcW w:w="0" w:type="auto"/>
            <w:shd w:val="clear" w:color="auto" w:fill="auto"/>
            <w:vAlign w:val="center"/>
          </w:tcPr>
          <w:p w14:paraId="343F26E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0.4222</w:t>
            </w:r>
          </w:p>
        </w:tc>
        <w:tc>
          <w:tcPr>
            <w:tcW w:w="0" w:type="auto"/>
            <w:shd w:val="clear" w:color="auto" w:fill="auto"/>
            <w:vAlign w:val="center"/>
          </w:tcPr>
          <w:p w14:paraId="5FB1DF2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0.00023</w:t>
            </w:r>
          </w:p>
        </w:tc>
        <w:tc>
          <w:tcPr>
            <w:tcW w:w="0" w:type="auto"/>
            <w:shd w:val="clear" w:color="auto" w:fill="auto"/>
            <w:vAlign w:val="center"/>
          </w:tcPr>
          <w:p w14:paraId="44B5C3B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0.4215</w:t>
            </w:r>
          </w:p>
        </w:tc>
        <w:tc>
          <w:tcPr>
            <w:tcW w:w="0" w:type="auto"/>
            <w:shd w:val="clear" w:color="auto" w:fill="auto"/>
            <w:vAlign w:val="center"/>
          </w:tcPr>
          <w:p w14:paraId="5005877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0.4217</w:t>
            </w:r>
          </w:p>
        </w:tc>
        <w:tc>
          <w:tcPr>
            <w:tcW w:w="0" w:type="auto"/>
            <w:shd w:val="clear" w:color="auto" w:fill="auto"/>
            <w:vAlign w:val="center"/>
          </w:tcPr>
          <w:p w14:paraId="4D0C023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0.4222</w:t>
            </w:r>
          </w:p>
        </w:tc>
        <w:tc>
          <w:tcPr>
            <w:tcW w:w="0" w:type="auto"/>
            <w:shd w:val="clear" w:color="auto" w:fill="auto"/>
            <w:vAlign w:val="center"/>
          </w:tcPr>
          <w:p w14:paraId="580066C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0.4226</w:t>
            </w:r>
          </w:p>
        </w:tc>
        <w:tc>
          <w:tcPr>
            <w:tcW w:w="0" w:type="auto"/>
            <w:shd w:val="clear" w:color="auto" w:fill="auto"/>
            <w:vAlign w:val="center"/>
          </w:tcPr>
          <w:p w14:paraId="6A3334B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0.4229</w:t>
            </w:r>
          </w:p>
        </w:tc>
      </w:tr>
      <w:tr w14:paraId="6FA0AEF2">
        <w:trPr>
          <w:tblCellSpacing w:w="15" w:type="dxa"/>
        </w:trPr>
        <w:tc>
          <w:tcPr>
            <w:tcW w:w="0" w:type="auto"/>
            <w:tcBorders>
              <w:bottom w:val="single" w:color="000000" w:sz="4" w:space="0"/>
            </w:tcBorders>
            <w:shd w:val="clear" w:color="auto" w:fill="auto"/>
            <w:vAlign w:val="center"/>
          </w:tcPr>
          <w:p w14:paraId="0720326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Individual-CT ridge</w:t>
            </w:r>
          </w:p>
        </w:tc>
        <w:tc>
          <w:tcPr>
            <w:tcW w:w="0" w:type="auto"/>
            <w:tcBorders>
              <w:bottom w:val="single" w:color="000000" w:sz="4" w:space="0"/>
            </w:tcBorders>
            <w:shd w:val="clear" w:color="auto" w:fill="auto"/>
            <w:vAlign w:val="center"/>
          </w:tcPr>
          <w:p w14:paraId="1C92910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0.4228</w:t>
            </w:r>
          </w:p>
        </w:tc>
        <w:tc>
          <w:tcPr>
            <w:tcW w:w="0" w:type="auto"/>
            <w:tcBorders>
              <w:bottom w:val="single" w:color="000000" w:sz="4" w:space="0"/>
            </w:tcBorders>
            <w:shd w:val="clear" w:color="auto" w:fill="auto"/>
            <w:vAlign w:val="center"/>
          </w:tcPr>
          <w:p w14:paraId="3BFCEFA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0.01482</w:t>
            </w:r>
          </w:p>
        </w:tc>
        <w:tc>
          <w:tcPr>
            <w:tcW w:w="0" w:type="auto"/>
            <w:tcBorders>
              <w:bottom w:val="single" w:color="000000" w:sz="4" w:space="0"/>
            </w:tcBorders>
            <w:shd w:val="clear" w:color="auto" w:fill="auto"/>
            <w:vAlign w:val="center"/>
          </w:tcPr>
          <w:p w14:paraId="6F3585B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0.3769</w:t>
            </w:r>
          </w:p>
        </w:tc>
        <w:tc>
          <w:tcPr>
            <w:tcW w:w="0" w:type="auto"/>
            <w:tcBorders>
              <w:bottom w:val="single" w:color="000000" w:sz="4" w:space="0"/>
            </w:tcBorders>
            <w:shd w:val="clear" w:color="auto" w:fill="auto"/>
            <w:vAlign w:val="center"/>
          </w:tcPr>
          <w:p w14:paraId="2ACF046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0.3923</w:t>
            </w:r>
          </w:p>
        </w:tc>
        <w:tc>
          <w:tcPr>
            <w:tcW w:w="0" w:type="auto"/>
            <w:tcBorders>
              <w:bottom w:val="single" w:color="000000" w:sz="4" w:space="0"/>
            </w:tcBorders>
            <w:shd w:val="clear" w:color="auto" w:fill="auto"/>
            <w:vAlign w:val="center"/>
          </w:tcPr>
          <w:p w14:paraId="35EFFE7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0.4241</w:t>
            </w:r>
          </w:p>
        </w:tc>
        <w:tc>
          <w:tcPr>
            <w:tcW w:w="0" w:type="auto"/>
            <w:tcBorders>
              <w:bottom w:val="single" w:color="000000" w:sz="4" w:space="0"/>
            </w:tcBorders>
            <w:shd w:val="clear" w:color="auto" w:fill="auto"/>
            <w:vAlign w:val="center"/>
          </w:tcPr>
          <w:p w14:paraId="16F5BC4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0.4493</w:t>
            </w:r>
          </w:p>
        </w:tc>
        <w:tc>
          <w:tcPr>
            <w:tcW w:w="0" w:type="auto"/>
            <w:tcBorders>
              <w:bottom w:val="single" w:color="000000" w:sz="4" w:space="0"/>
            </w:tcBorders>
            <w:shd w:val="clear" w:color="auto" w:fill="auto"/>
            <w:vAlign w:val="center"/>
          </w:tcPr>
          <w:p w14:paraId="348CF92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0.4699</w:t>
            </w:r>
          </w:p>
        </w:tc>
      </w:tr>
    </w:tbl>
    <w:p w14:paraId="0F1AE9B6">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Each model was applied to 299 patients; observed event prevalence was 0.2341. SD, standard deviation.</w:t>
      </w:r>
    </w:p>
    <w:p w14:paraId="29C9E14B">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drawing>
          <wp:inline distT="0" distB="0" distL="114300" distR="114300">
            <wp:extent cx="5269230" cy="4391025"/>
            <wp:effectExtent l="0" t="0" r="1397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5269230" cy="4391025"/>
                    </a:xfrm>
                    <a:prstGeom prst="rect">
                      <a:avLst/>
                    </a:prstGeom>
                    <a:noFill/>
                    <a:ln>
                      <a:noFill/>
                    </a:ln>
                  </pic:spPr>
                </pic:pic>
              </a:graphicData>
            </a:graphic>
          </wp:inline>
        </w:drawing>
      </w:r>
      <w:r>
        <w:rPr>
          <w:rFonts w:hint="default" w:ascii="Times New Roman Bold" w:hAnsi="Times New Roman Bold" w:cs="Times New Roman Bold"/>
          <w:b/>
          <w:bCs/>
          <w:sz w:val="18"/>
          <w:szCs w:val="18"/>
        </w:rPr>
        <w:t>Supplementary Figure S2. Locked esophagectomy evaluation of all frozen VATS models.</w:t>
      </w:r>
      <w:r>
        <w:rPr>
          <w:rFonts w:hint="default" w:ascii="Times New Roman Regular" w:hAnsi="Times New Roman Regular" w:cs="Times New Roman Regular"/>
          <w:sz w:val="18"/>
          <w:szCs w:val="18"/>
        </w:rPr>
        <w:t xml:space="preserve"> Performance estimates are shown for the primary, secondary, and sensitivity models applied without modification to the esophagectomy cohort. Results represent the archived locked evaluation before recalibration or target-cohort adaptation. The VATS and esophagectomy cohorts used procedure-specific definitions of prolonged postoperative length of stay.</w:t>
      </w:r>
    </w:p>
    <w:p w14:paraId="68799C87">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S7. Full-cohort post-evaluation recalibration parameters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68"/>
        <w:gridCol w:w="1241"/>
        <w:gridCol w:w="1485"/>
        <w:gridCol w:w="1330"/>
        <w:gridCol w:w="1363"/>
        <w:gridCol w:w="1409"/>
      </w:tblGrid>
      <w:tr w14:paraId="361C6517">
        <w:trPr>
          <w:tblCellSpacing w:w="15" w:type="dxa"/>
        </w:trPr>
        <w:tc>
          <w:tcPr>
            <w:tcW w:w="0" w:type="auto"/>
            <w:tcBorders>
              <w:top w:val="single" w:color="000000" w:sz="4" w:space="0"/>
              <w:bottom w:val="single" w:color="000000" w:sz="4" w:space="0"/>
            </w:tcBorders>
            <w:shd w:val="clear" w:color="auto" w:fill="auto"/>
            <w:vAlign w:val="center"/>
          </w:tcPr>
          <w:p w14:paraId="5D03C3E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w:t>
            </w:r>
          </w:p>
        </w:tc>
        <w:tc>
          <w:tcPr>
            <w:tcW w:w="0" w:type="auto"/>
            <w:tcBorders>
              <w:top w:val="single" w:color="000000" w:sz="4" w:space="0"/>
              <w:bottom w:val="single" w:color="000000" w:sz="4" w:space="0"/>
            </w:tcBorders>
            <w:shd w:val="clear" w:color="auto" w:fill="auto"/>
            <w:vAlign w:val="center"/>
          </w:tcPr>
          <w:p w14:paraId="6ABD4A0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Method</w:t>
            </w:r>
          </w:p>
        </w:tc>
        <w:tc>
          <w:tcPr>
            <w:tcW w:w="0" w:type="auto"/>
            <w:tcBorders>
              <w:top w:val="single" w:color="000000" w:sz="4" w:space="0"/>
              <w:bottom w:val="single" w:color="000000" w:sz="4" w:space="0"/>
            </w:tcBorders>
            <w:shd w:val="clear" w:color="auto" w:fill="auto"/>
            <w:vAlign w:val="center"/>
          </w:tcPr>
          <w:p w14:paraId="59AB9D8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(95% CI)</w:t>
            </w:r>
          </w:p>
        </w:tc>
        <w:tc>
          <w:tcPr>
            <w:tcW w:w="0" w:type="auto"/>
            <w:tcBorders>
              <w:top w:val="single" w:color="000000" w:sz="4" w:space="0"/>
              <w:bottom w:val="single" w:color="000000" w:sz="4" w:space="0"/>
            </w:tcBorders>
            <w:shd w:val="clear" w:color="auto" w:fill="auto"/>
            <w:vAlign w:val="center"/>
          </w:tcPr>
          <w:p w14:paraId="7B98261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Slope (95% CI)</w:t>
            </w:r>
          </w:p>
        </w:tc>
        <w:tc>
          <w:tcPr>
            <w:tcW w:w="0" w:type="auto"/>
            <w:tcBorders>
              <w:top w:val="single" w:color="000000" w:sz="4" w:space="0"/>
              <w:bottom w:val="single" w:color="000000" w:sz="4" w:space="0"/>
            </w:tcBorders>
            <w:shd w:val="clear" w:color="auto" w:fill="auto"/>
            <w:vAlign w:val="center"/>
          </w:tcPr>
          <w:p w14:paraId="112A45E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Effective bootstraps</w:t>
            </w:r>
          </w:p>
        </w:tc>
        <w:tc>
          <w:tcPr>
            <w:tcW w:w="0" w:type="auto"/>
            <w:tcBorders>
              <w:top w:val="single" w:color="000000" w:sz="4" w:space="0"/>
              <w:bottom w:val="single" w:color="000000" w:sz="4" w:space="0"/>
            </w:tcBorders>
            <w:shd w:val="clear" w:color="auto" w:fill="auto"/>
            <w:vAlign w:val="center"/>
          </w:tcPr>
          <w:p w14:paraId="7748A5D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Status</w:t>
            </w:r>
          </w:p>
        </w:tc>
      </w:tr>
      <w:tr w14:paraId="18342894">
        <w:trPr>
          <w:tblCellSpacing w:w="15" w:type="dxa"/>
        </w:trPr>
        <w:tc>
          <w:tcPr>
            <w:tcW w:w="0" w:type="auto"/>
            <w:shd w:val="clear" w:color="auto" w:fill="auto"/>
            <w:vAlign w:val="center"/>
          </w:tcPr>
          <w:p w14:paraId="5F770A6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ridge</w:t>
            </w:r>
          </w:p>
        </w:tc>
        <w:tc>
          <w:tcPr>
            <w:tcW w:w="0" w:type="auto"/>
            <w:shd w:val="clear" w:color="auto" w:fill="auto"/>
            <w:vAlign w:val="center"/>
          </w:tcPr>
          <w:p w14:paraId="670AD07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0" w:type="auto"/>
            <w:shd w:val="clear" w:color="auto" w:fill="auto"/>
            <w:vAlign w:val="center"/>
          </w:tcPr>
          <w:p w14:paraId="617F028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−0.919 (−0.926 to −0.912)</w:t>
            </w:r>
          </w:p>
        </w:tc>
        <w:tc>
          <w:tcPr>
            <w:tcW w:w="0" w:type="auto"/>
            <w:shd w:val="clear" w:color="auto" w:fill="auto"/>
            <w:vAlign w:val="center"/>
          </w:tcPr>
          <w:p w14:paraId="7117829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1.000, fixed</w:t>
            </w:r>
          </w:p>
        </w:tc>
        <w:tc>
          <w:tcPr>
            <w:tcW w:w="0" w:type="auto"/>
            <w:shd w:val="clear" w:color="auto" w:fill="auto"/>
            <w:vAlign w:val="center"/>
          </w:tcPr>
          <w:p w14:paraId="66FD53C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0015871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Completed</w:t>
            </w:r>
          </w:p>
        </w:tc>
      </w:tr>
      <w:tr w14:paraId="227504B9">
        <w:trPr>
          <w:tblCellSpacing w:w="15" w:type="dxa"/>
        </w:trPr>
        <w:tc>
          <w:tcPr>
            <w:tcW w:w="0" w:type="auto"/>
            <w:shd w:val="clear" w:color="auto" w:fill="auto"/>
            <w:vAlign w:val="center"/>
          </w:tcPr>
          <w:p w14:paraId="3F5D1DB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 ridge</w:t>
            </w:r>
          </w:p>
        </w:tc>
        <w:tc>
          <w:tcPr>
            <w:tcW w:w="0" w:type="auto"/>
            <w:shd w:val="clear" w:color="auto" w:fill="auto"/>
            <w:vAlign w:val="center"/>
          </w:tcPr>
          <w:p w14:paraId="2E9716B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0" w:type="auto"/>
            <w:shd w:val="clear" w:color="auto" w:fill="auto"/>
            <w:vAlign w:val="center"/>
          </w:tcPr>
          <w:p w14:paraId="7C59898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−0.881 (−1.966 to 0.334)</w:t>
            </w:r>
          </w:p>
        </w:tc>
        <w:tc>
          <w:tcPr>
            <w:tcW w:w="0" w:type="auto"/>
            <w:shd w:val="clear" w:color="auto" w:fill="auto"/>
            <w:vAlign w:val="center"/>
          </w:tcPr>
          <w:p w14:paraId="0394AB4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1.145 (−2.889 to 5.775)</w:t>
            </w:r>
          </w:p>
        </w:tc>
        <w:tc>
          <w:tcPr>
            <w:tcW w:w="0" w:type="auto"/>
            <w:shd w:val="clear" w:color="auto" w:fill="auto"/>
            <w:vAlign w:val="center"/>
          </w:tcPr>
          <w:p w14:paraId="2BB7410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12F28E5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Completed</w:t>
            </w:r>
          </w:p>
        </w:tc>
      </w:tr>
      <w:tr w14:paraId="47FB7D83">
        <w:trPr>
          <w:tblCellSpacing w:w="15" w:type="dxa"/>
        </w:trPr>
        <w:tc>
          <w:tcPr>
            <w:tcW w:w="0" w:type="auto"/>
            <w:shd w:val="clear" w:color="auto" w:fill="auto"/>
            <w:vAlign w:val="center"/>
          </w:tcPr>
          <w:p w14:paraId="3658F3B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ridge</w:t>
            </w:r>
          </w:p>
        </w:tc>
        <w:tc>
          <w:tcPr>
            <w:tcW w:w="0" w:type="auto"/>
            <w:shd w:val="clear" w:color="auto" w:fill="auto"/>
            <w:vAlign w:val="center"/>
          </w:tcPr>
          <w:p w14:paraId="22BBA95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0" w:type="auto"/>
            <w:shd w:val="clear" w:color="auto" w:fill="auto"/>
            <w:vAlign w:val="center"/>
          </w:tcPr>
          <w:p w14:paraId="56CB8E5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−0.871 (−0.871 to −0.871)</w:t>
            </w:r>
          </w:p>
        </w:tc>
        <w:tc>
          <w:tcPr>
            <w:tcW w:w="0" w:type="auto"/>
            <w:shd w:val="clear" w:color="auto" w:fill="auto"/>
            <w:vAlign w:val="center"/>
          </w:tcPr>
          <w:p w14:paraId="16320C0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1.000, fixed</w:t>
            </w:r>
          </w:p>
        </w:tc>
        <w:tc>
          <w:tcPr>
            <w:tcW w:w="0" w:type="auto"/>
            <w:shd w:val="clear" w:color="auto" w:fill="auto"/>
            <w:vAlign w:val="center"/>
          </w:tcPr>
          <w:p w14:paraId="2430EFE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2,000</w:t>
            </w:r>
          </w:p>
        </w:tc>
        <w:tc>
          <w:tcPr>
            <w:tcW w:w="0" w:type="auto"/>
            <w:shd w:val="clear" w:color="auto" w:fill="auto"/>
            <w:vAlign w:val="center"/>
          </w:tcPr>
          <w:p w14:paraId="5E57A5C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Completed</w:t>
            </w:r>
          </w:p>
        </w:tc>
      </w:tr>
      <w:tr w14:paraId="0A8812C6">
        <w:trPr>
          <w:tblCellSpacing w:w="15" w:type="dxa"/>
        </w:trPr>
        <w:tc>
          <w:tcPr>
            <w:tcW w:w="0" w:type="auto"/>
            <w:tcBorders>
              <w:bottom w:val="single" w:color="000000" w:sz="4" w:space="0"/>
            </w:tcBorders>
            <w:shd w:val="clear" w:color="auto" w:fill="auto"/>
            <w:vAlign w:val="center"/>
          </w:tcPr>
          <w:p w14:paraId="6D47756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Clinical-plus-mean-CT ridge</w:t>
            </w:r>
          </w:p>
        </w:tc>
        <w:tc>
          <w:tcPr>
            <w:tcW w:w="0" w:type="auto"/>
            <w:tcBorders>
              <w:bottom w:val="single" w:color="000000" w:sz="4" w:space="0"/>
            </w:tcBorders>
            <w:shd w:val="clear" w:color="auto" w:fill="auto"/>
            <w:vAlign w:val="center"/>
          </w:tcPr>
          <w:p w14:paraId="1E82F0F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0" w:type="auto"/>
            <w:tcBorders>
              <w:bottom w:val="single" w:color="000000" w:sz="4" w:space="0"/>
            </w:tcBorders>
            <w:shd w:val="clear" w:color="auto" w:fill="auto"/>
            <w:vAlign w:val="center"/>
          </w:tcPr>
          <w:p w14:paraId="7550772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0" w:type="auto"/>
            <w:tcBorders>
              <w:bottom w:val="single" w:color="000000" w:sz="4" w:space="0"/>
            </w:tcBorders>
            <w:shd w:val="clear" w:color="auto" w:fill="auto"/>
            <w:vAlign w:val="center"/>
          </w:tcPr>
          <w:p w14:paraId="647FC4D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0" w:type="auto"/>
            <w:tcBorders>
              <w:bottom w:val="single" w:color="000000" w:sz="4" w:space="0"/>
            </w:tcBorders>
            <w:shd w:val="clear" w:color="auto" w:fill="auto"/>
            <w:vAlign w:val="center"/>
          </w:tcPr>
          <w:p w14:paraId="3B4D8EE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w:t>
            </w:r>
          </w:p>
        </w:tc>
        <w:tc>
          <w:tcPr>
            <w:tcW w:w="0" w:type="auto"/>
            <w:tcBorders>
              <w:bottom w:val="single" w:color="000000" w:sz="4" w:space="0"/>
            </w:tcBorders>
            <w:shd w:val="clear" w:color="auto" w:fill="auto"/>
            <w:vAlign w:val="center"/>
          </w:tcPr>
          <w:p w14:paraId="09E536E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Nonestimable</w:t>
            </w:r>
          </w:p>
        </w:tc>
      </w:tr>
    </w:tbl>
    <w:p w14:paraId="0CA05ABC">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Full-cohort recalibration results are descriptive because recalibration and assessment used the same patients.</w:t>
      </w:r>
    </w:p>
    <w:p w14:paraId="28215609">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drawing>
          <wp:inline distT="0" distB="0" distL="114300" distR="114300">
            <wp:extent cx="5269230" cy="2634615"/>
            <wp:effectExtent l="0" t="0" r="139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5269230" cy="2634615"/>
                    </a:xfrm>
                    <a:prstGeom prst="rect">
                      <a:avLst/>
                    </a:prstGeom>
                    <a:noFill/>
                    <a:ln>
                      <a:noFill/>
                    </a:ln>
                  </pic:spPr>
                </pic:pic>
              </a:graphicData>
            </a:graphic>
          </wp:inline>
        </w:drawing>
      </w:r>
      <w:r>
        <w:rPr>
          <w:rFonts w:hint="default" w:ascii="Times New Roman Bold" w:hAnsi="Times New Roman Bold" w:cs="Times New Roman Bold"/>
          <w:b/>
          <w:bCs/>
          <w:sz w:val="18"/>
          <w:szCs w:val="18"/>
        </w:rPr>
        <w:t xml:space="preserve">Supplementary Figure S3. Post-evaluation recalibration and updating parameters. </w:t>
      </w:r>
      <w:r>
        <w:rPr>
          <w:rFonts w:hint="default" w:ascii="Times New Roman Regular" w:hAnsi="Times New Roman Regular" w:cs="Times New Roman Regular"/>
          <w:sz w:val="18"/>
          <w:szCs w:val="18"/>
        </w:rPr>
        <w:t>Parameter estimates were obtained only after the locked esophagectomy evaluation had been completed and archived. These exploratory analyses did not modify the frozen VATS models or replace the primary transportability results.</w:t>
      </w:r>
    </w:p>
    <w:p w14:paraId="024DBA2C">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S8. Complete exploratory learning-curve performance</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58"/>
        <w:gridCol w:w="733"/>
        <w:gridCol w:w="942"/>
        <w:gridCol w:w="1229"/>
        <w:gridCol w:w="1229"/>
        <w:gridCol w:w="1229"/>
        <w:gridCol w:w="1229"/>
        <w:gridCol w:w="947"/>
      </w:tblGrid>
      <w:tr w14:paraId="4A90BFA4">
        <w:trPr>
          <w:tblCellSpacing w:w="15" w:type="dxa"/>
        </w:trPr>
        <w:tc>
          <w:tcPr>
            <w:tcW w:w="813" w:type="dxa"/>
            <w:tcBorders>
              <w:top w:val="single" w:color="000000" w:sz="4" w:space="0"/>
              <w:bottom w:val="single" w:color="000000" w:sz="4" w:space="0"/>
            </w:tcBorders>
            <w:shd w:val="clear" w:color="auto" w:fill="auto"/>
            <w:vAlign w:val="center"/>
          </w:tcPr>
          <w:p w14:paraId="0839399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w:t>
            </w:r>
          </w:p>
        </w:tc>
        <w:tc>
          <w:tcPr>
            <w:tcW w:w="703" w:type="dxa"/>
            <w:tcBorders>
              <w:top w:val="single" w:color="000000" w:sz="4" w:space="0"/>
              <w:bottom w:val="single" w:color="000000" w:sz="4" w:space="0"/>
            </w:tcBorders>
            <w:shd w:val="clear" w:color="auto" w:fill="auto"/>
            <w:vAlign w:val="center"/>
          </w:tcPr>
          <w:p w14:paraId="05AFA2E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Adaptation n</w:t>
            </w:r>
          </w:p>
        </w:tc>
        <w:tc>
          <w:tcPr>
            <w:tcW w:w="912" w:type="dxa"/>
            <w:tcBorders>
              <w:top w:val="single" w:color="000000" w:sz="4" w:space="0"/>
              <w:bottom w:val="single" w:color="000000" w:sz="4" w:space="0"/>
            </w:tcBorders>
            <w:shd w:val="clear" w:color="auto" w:fill="auto"/>
            <w:vAlign w:val="center"/>
          </w:tcPr>
          <w:p w14:paraId="128F133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Method</w:t>
            </w:r>
          </w:p>
        </w:tc>
        <w:tc>
          <w:tcPr>
            <w:tcW w:w="1199" w:type="dxa"/>
            <w:tcBorders>
              <w:top w:val="single" w:color="000000" w:sz="4" w:space="0"/>
              <w:bottom w:val="single" w:color="000000" w:sz="4" w:space="0"/>
            </w:tcBorders>
            <w:shd w:val="clear" w:color="auto" w:fill="auto"/>
            <w:vAlign w:val="center"/>
          </w:tcPr>
          <w:p w14:paraId="46E982E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AUROC</w:t>
            </w:r>
          </w:p>
        </w:tc>
        <w:tc>
          <w:tcPr>
            <w:tcW w:w="1199" w:type="dxa"/>
            <w:tcBorders>
              <w:top w:val="single" w:color="000000" w:sz="4" w:space="0"/>
              <w:bottom w:val="single" w:color="000000" w:sz="4" w:space="0"/>
            </w:tcBorders>
            <w:shd w:val="clear" w:color="auto" w:fill="auto"/>
            <w:vAlign w:val="center"/>
          </w:tcPr>
          <w:p w14:paraId="2BB6A03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AUPRC</w:t>
            </w:r>
          </w:p>
        </w:tc>
        <w:tc>
          <w:tcPr>
            <w:tcW w:w="1199" w:type="dxa"/>
            <w:tcBorders>
              <w:top w:val="single" w:color="000000" w:sz="4" w:space="0"/>
              <w:bottom w:val="single" w:color="000000" w:sz="4" w:space="0"/>
            </w:tcBorders>
            <w:shd w:val="clear" w:color="auto" w:fill="auto"/>
            <w:vAlign w:val="center"/>
          </w:tcPr>
          <w:p w14:paraId="579CC1E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Brier score</w:t>
            </w:r>
          </w:p>
        </w:tc>
        <w:tc>
          <w:tcPr>
            <w:tcW w:w="1199" w:type="dxa"/>
            <w:tcBorders>
              <w:top w:val="single" w:color="000000" w:sz="4" w:space="0"/>
              <w:bottom w:val="single" w:color="000000" w:sz="4" w:space="0"/>
            </w:tcBorders>
            <w:shd w:val="clear" w:color="auto" w:fill="auto"/>
            <w:vAlign w:val="center"/>
          </w:tcPr>
          <w:p w14:paraId="0EB67F1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Log loss</w:t>
            </w:r>
          </w:p>
        </w:tc>
        <w:tc>
          <w:tcPr>
            <w:tcW w:w="902" w:type="dxa"/>
            <w:tcBorders>
              <w:top w:val="single" w:color="000000" w:sz="4" w:space="0"/>
              <w:bottom w:val="single" w:color="000000" w:sz="4" w:space="0"/>
            </w:tcBorders>
            <w:shd w:val="clear" w:color="auto" w:fill="auto"/>
            <w:vAlign w:val="center"/>
          </w:tcPr>
          <w:p w14:paraId="54E5F3E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Usable repetitions</w:t>
            </w:r>
          </w:p>
        </w:tc>
      </w:tr>
      <w:tr w14:paraId="598EDDB7">
        <w:trPr>
          <w:tblCellSpacing w:w="15" w:type="dxa"/>
        </w:trPr>
        <w:tc>
          <w:tcPr>
            <w:tcW w:w="813" w:type="dxa"/>
            <w:shd w:val="clear" w:color="auto" w:fill="auto"/>
            <w:vAlign w:val="center"/>
          </w:tcPr>
          <w:p w14:paraId="623224C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7D7AA35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w:t>
            </w:r>
          </w:p>
        </w:tc>
        <w:tc>
          <w:tcPr>
            <w:tcW w:w="912" w:type="dxa"/>
            <w:shd w:val="clear" w:color="auto" w:fill="auto"/>
            <w:vAlign w:val="center"/>
          </w:tcPr>
          <w:p w14:paraId="4D1DC44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199" w:type="dxa"/>
            <w:shd w:val="clear" w:color="auto" w:fill="auto"/>
            <w:vAlign w:val="center"/>
          </w:tcPr>
          <w:p w14:paraId="0FAD1CF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0.528 (0.525–0.531)</w:t>
            </w:r>
          </w:p>
        </w:tc>
        <w:tc>
          <w:tcPr>
            <w:tcW w:w="1199" w:type="dxa"/>
            <w:shd w:val="clear" w:color="auto" w:fill="auto"/>
            <w:vAlign w:val="center"/>
          </w:tcPr>
          <w:p w14:paraId="24BC80D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0.248 (0.243–0.252)</w:t>
            </w:r>
          </w:p>
        </w:tc>
        <w:tc>
          <w:tcPr>
            <w:tcW w:w="1199" w:type="dxa"/>
            <w:shd w:val="clear" w:color="auto" w:fill="auto"/>
            <w:vAlign w:val="center"/>
          </w:tcPr>
          <w:p w14:paraId="78EBEF3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(0.179–0.179)</w:t>
            </w:r>
          </w:p>
        </w:tc>
        <w:tc>
          <w:tcPr>
            <w:tcW w:w="1199" w:type="dxa"/>
            <w:shd w:val="clear" w:color="auto" w:fill="auto"/>
            <w:vAlign w:val="center"/>
          </w:tcPr>
          <w:p w14:paraId="20F97A6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(0.544–0.544)</w:t>
            </w:r>
          </w:p>
        </w:tc>
        <w:tc>
          <w:tcPr>
            <w:tcW w:w="902" w:type="dxa"/>
            <w:shd w:val="clear" w:color="auto" w:fill="auto"/>
            <w:vAlign w:val="center"/>
          </w:tcPr>
          <w:p w14:paraId="68AA16F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06620541">
        <w:trPr>
          <w:tblCellSpacing w:w="15" w:type="dxa"/>
        </w:trPr>
        <w:tc>
          <w:tcPr>
            <w:tcW w:w="813" w:type="dxa"/>
            <w:shd w:val="clear" w:color="auto" w:fill="auto"/>
            <w:vAlign w:val="center"/>
          </w:tcPr>
          <w:p w14:paraId="4684C97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7A58E31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w:t>
            </w:r>
          </w:p>
        </w:tc>
        <w:tc>
          <w:tcPr>
            <w:tcW w:w="912" w:type="dxa"/>
            <w:shd w:val="clear" w:color="auto" w:fill="auto"/>
            <w:vAlign w:val="center"/>
          </w:tcPr>
          <w:p w14:paraId="4C633FF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199" w:type="dxa"/>
            <w:shd w:val="clear" w:color="auto" w:fill="auto"/>
            <w:vAlign w:val="center"/>
          </w:tcPr>
          <w:p w14:paraId="5DF811E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0.529 (0.525–0.531)</w:t>
            </w:r>
          </w:p>
        </w:tc>
        <w:tc>
          <w:tcPr>
            <w:tcW w:w="1199" w:type="dxa"/>
            <w:shd w:val="clear" w:color="auto" w:fill="auto"/>
            <w:vAlign w:val="center"/>
          </w:tcPr>
          <w:p w14:paraId="224CDF4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0.249 (0.245–0.252)</w:t>
            </w:r>
          </w:p>
        </w:tc>
        <w:tc>
          <w:tcPr>
            <w:tcW w:w="1199" w:type="dxa"/>
            <w:shd w:val="clear" w:color="auto" w:fill="auto"/>
            <w:vAlign w:val="center"/>
          </w:tcPr>
          <w:p w14:paraId="740C837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(0.179–0.179)</w:t>
            </w:r>
          </w:p>
        </w:tc>
        <w:tc>
          <w:tcPr>
            <w:tcW w:w="1199" w:type="dxa"/>
            <w:shd w:val="clear" w:color="auto" w:fill="auto"/>
            <w:vAlign w:val="center"/>
          </w:tcPr>
          <w:p w14:paraId="0566ADE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(0.544–0.544)</w:t>
            </w:r>
          </w:p>
        </w:tc>
        <w:tc>
          <w:tcPr>
            <w:tcW w:w="902" w:type="dxa"/>
            <w:shd w:val="clear" w:color="auto" w:fill="auto"/>
            <w:vAlign w:val="center"/>
          </w:tcPr>
          <w:p w14:paraId="0A29D1B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2DB173E6">
        <w:trPr>
          <w:tblCellSpacing w:w="15" w:type="dxa"/>
        </w:trPr>
        <w:tc>
          <w:tcPr>
            <w:tcW w:w="813" w:type="dxa"/>
            <w:shd w:val="clear" w:color="auto" w:fill="auto"/>
            <w:vAlign w:val="center"/>
          </w:tcPr>
          <w:p w14:paraId="60C97BB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474BC95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w:t>
            </w:r>
          </w:p>
        </w:tc>
        <w:tc>
          <w:tcPr>
            <w:tcW w:w="912" w:type="dxa"/>
            <w:shd w:val="clear" w:color="auto" w:fill="auto"/>
            <w:vAlign w:val="center"/>
          </w:tcPr>
          <w:p w14:paraId="5253298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199" w:type="dxa"/>
            <w:shd w:val="clear" w:color="auto" w:fill="auto"/>
            <w:vAlign w:val="center"/>
          </w:tcPr>
          <w:p w14:paraId="34FF292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0.486 (0.407–0.547)</w:t>
            </w:r>
          </w:p>
        </w:tc>
        <w:tc>
          <w:tcPr>
            <w:tcW w:w="1199" w:type="dxa"/>
            <w:shd w:val="clear" w:color="auto" w:fill="auto"/>
            <w:vAlign w:val="center"/>
          </w:tcPr>
          <w:p w14:paraId="72C26E7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0.232 (0.198–0.262)</w:t>
            </w:r>
          </w:p>
        </w:tc>
        <w:tc>
          <w:tcPr>
            <w:tcW w:w="1199" w:type="dxa"/>
            <w:shd w:val="clear" w:color="auto" w:fill="auto"/>
            <w:vAlign w:val="center"/>
          </w:tcPr>
          <w:p w14:paraId="6DB078F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0.182 (0.179–0.186)</w:t>
            </w:r>
          </w:p>
        </w:tc>
        <w:tc>
          <w:tcPr>
            <w:tcW w:w="1199" w:type="dxa"/>
            <w:shd w:val="clear" w:color="auto" w:fill="auto"/>
            <w:vAlign w:val="center"/>
          </w:tcPr>
          <w:p w14:paraId="61A8D6C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0.551 (0.542–0.562)</w:t>
            </w:r>
          </w:p>
        </w:tc>
        <w:tc>
          <w:tcPr>
            <w:tcW w:w="902" w:type="dxa"/>
            <w:shd w:val="clear" w:color="auto" w:fill="auto"/>
            <w:vAlign w:val="center"/>
          </w:tcPr>
          <w:p w14:paraId="684A426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69974F3A">
        <w:trPr>
          <w:tblCellSpacing w:w="15" w:type="dxa"/>
        </w:trPr>
        <w:tc>
          <w:tcPr>
            <w:tcW w:w="813" w:type="dxa"/>
            <w:shd w:val="clear" w:color="auto" w:fill="auto"/>
            <w:vAlign w:val="center"/>
          </w:tcPr>
          <w:p w14:paraId="7821ECD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24C2DF5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150</w:t>
            </w:r>
          </w:p>
        </w:tc>
        <w:tc>
          <w:tcPr>
            <w:tcW w:w="912" w:type="dxa"/>
            <w:shd w:val="clear" w:color="auto" w:fill="auto"/>
            <w:vAlign w:val="center"/>
          </w:tcPr>
          <w:p w14:paraId="12EC089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199" w:type="dxa"/>
            <w:shd w:val="clear" w:color="auto" w:fill="auto"/>
            <w:vAlign w:val="center"/>
          </w:tcPr>
          <w:p w14:paraId="2050172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0.529 (0.526–0.531)</w:t>
            </w:r>
          </w:p>
        </w:tc>
        <w:tc>
          <w:tcPr>
            <w:tcW w:w="1199" w:type="dxa"/>
            <w:shd w:val="clear" w:color="auto" w:fill="auto"/>
            <w:vAlign w:val="center"/>
          </w:tcPr>
          <w:p w14:paraId="3901E15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0.249 (0.246–0.251)</w:t>
            </w:r>
          </w:p>
        </w:tc>
        <w:tc>
          <w:tcPr>
            <w:tcW w:w="1199" w:type="dxa"/>
            <w:shd w:val="clear" w:color="auto" w:fill="auto"/>
            <w:vAlign w:val="center"/>
          </w:tcPr>
          <w:p w14:paraId="5472B48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(0.179–0.179)</w:t>
            </w:r>
          </w:p>
        </w:tc>
        <w:tc>
          <w:tcPr>
            <w:tcW w:w="1199" w:type="dxa"/>
            <w:shd w:val="clear" w:color="auto" w:fill="auto"/>
            <w:vAlign w:val="center"/>
          </w:tcPr>
          <w:p w14:paraId="53D2FD8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(0.544–0.544)</w:t>
            </w:r>
          </w:p>
        </w:tc>
        <w:tc>
          <w:tcPr>
            <w:tcW w:w="902" w:type="dxa"/>
            <w:shd w:val="clear" w:color="auto" w:fill="auto"/>
            <w:vAlign w:val="center"/>
          </w:tcPr>
          <w:p w14:paraId="4DB91C3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021C18BE">
        <w:trPr>
          <w:tblCellSpacing w:w="15" w:type="dxa"/>
        </w:trPr>
        <w:tc>
          <w:tcPr>
            <w:tcW w:w="813" w:type="dxa"/>
            <w:shd w:val="clear" w:color="auto" w:fill="auto"/>
            <w:vAlign w:val="center"/>
          </w:tcPr>
          <w:p w14:paraId="45CEB0D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5B2B44D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150</w:t>
            </w:r>
          </w:p>
        </w:tc>
        <w:tc>
          <w:tcPr>
            <w:tcW w:w="912" w:type="dxa"/>
            <w:shd w:val="clear" w:color="auto" w:fill="auto"/>
            <w:vAlign w:val="center"/>
          </w:tcPr>
          <w:p w14:paraId="5B5A5F5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199" w:type="dxa"/>
            <w:shd w:val="clear" w:color="auto" w:fill="auto"/>
            <w:vAlign w:val="center"/>
          </w:tcPr>
          <w:p w14:paraId="0325851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0.480 (0.406–0.528)</w:t>
            </w:r>
          </w:p>
        </w:tc>
        <w:tc>
          <w:tcPr>
            <w:tcW w:w="1199" w:type="dxa"/>
            <w:shd w:val="clear" w:color="auto" w:fill="auto"/>
            <w:vAlign w:val="center"/>
          </w:tcPr>
          <w:p w14:paraId="24F552F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0.227 (0.197–0.253)</w:t>
            </w:r>
          </w:p>
        </w:tc>
        <w:tc>
          <w:tcPr>
            <w:tcW w:w="1199" w:type="dxa"/>
            <w:shd w:val="clear" w:color="auto" w:fill="auto"/>
            <w:vAlign w:val="center"/>
          </w:tcPr>
          <w:p w14:paraId="627EE39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0.181 (0.179–0.185)</w:t>
            </w:r>
          </w:p>
        </w:tc>
        <w:tc>
          <w:tcPr>
            <w:tcW w:w="1199" w:type="dxa"/>
            <w:shd w:val="clear" w:color="auto" w:fill="auto"/>
            <w:vAlign w:val="center"/>
          </w:tcPr>
          <w:p w14:paraId="4EF84AE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0.549 (0.544–0.561)</w:t>
            </w:r>
          </w:p>
        </w:tc>
        <w:tc>
          <w:tcPr>
            <w:tcW w:w="902" w:type="dxa"/>
            <w:shd w:val="clear" w:color="auto" w:fill="auto"/>
            <w:vAlign w:val="center"/>
          </w:tcPr>
          <w:p w14:paraId="4829F85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738B62AB">
        <w:trPr>
          <w:tblCellSpacing w:w="15" w:type="dxa"/>
        </w:trPr>
        <w:tc>
          <w:tcPr>
            <w:tcW w:w="813" w:type="dxa"/>
            <w:shd w:val="clear" w:color="auto" w:fill="auto"/>
            <w:vAlign w:val="center"/>
          </w:tcPr>
          <w:p w14:paraId="092B8FB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638F34E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912" w:type="dxa"/>
            <w:shd w:val="clear" w:color="auto" w:fill="auto"/>
            <w:vAlign w:val="center"/>
          </w:tcPr>
          <w:p w14:paraId="7C815B6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199" w:type="dxa"/>
            <w:shd w:val="clear" w:color="auto" w:fill="auto"/>
            <w:vAlign w:val="center"/>
          </w:tcPr>
          <w:p w14:paraId="5A427BD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0.529 (0.527–0.531)</w:t>
            </w:r>
          </w:p>
        </w:tc>
        <w:tc>
          <w:tcPr>
            <w:tcW w:w="1199" w:type="dxa"/>
            <w:shd w:val="clear" w:color="auto" w:fill="auto"/>
            <w:vAlign w:val="center"/>
          </w:tcPr>
          <w:p w14:paraId="51403B8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0.249 (0.247–0.250)</w:t>
            </w:r>
          </w:p>
        </w:tc>
        <w:tc>
          <w:tcPr>
            <w:tcW w:w="1199" w:type="dxa"/>
            <w:shd w:val="clear" w:color="auto" w:fill="auto"/>
            <w:vAlign w:val="center"/>
          </w:tcPr>
          <w:p w14:paraId="17C2824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(0.179–0.179)</w:t>
            </w:r>
          </w:p>
        </w:tc>
        <w:tc>
          <w:tcPr>
            <w:tcW w:w="1199" w:type="dxa"/>
            <w:shd w:val="clear" w:color="auto" w:fill="auto"/>
            <w:vAlign w:val="center"/>
          </w:tcPr>
          <w:p w14:paraId="4F9EB84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(0.544–0.544)</w:t>
            </w:r>
          </w:p>
        </w:tc>
        <w:tc>
          <w:tcPr>
            <w:tcW w:w="902" w:type="dxa"/>
            <w:shd w:val="clear" w:color="auto" w:fill="auto"/>
            <w:vAlign w:val="center"/>
          </w:tcPr>
          <w:p w14:paraId="57B4FEE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74BC082E">
        <w:trPr>
          <w:tblCellSpacing w:w="15" w:type="dxa"/>
        </w:trPr>
        <w:tc>
          <w:tcPr>
            <w:tcW w:w="813" w:type="dxa"/>
            <w:shd w:val="clear" w:color="auto" w:fill="auto"/>
            <w:vAlign w:val="center"/>
          </w:tcPr>
          <w:p w14:paraId="6A038FC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7C4C77B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912" w:type="dxa"/>
            <w:shd w:val="clear" w:color="auto" w:fill="auto"/>
            <w:vAlign w:val="center"/>
          </w:tcPr>
          <w:p w14:paraId="02FC507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199" w:type="dxa"/>
            <w:shd w:val="clear" w:color="auto" w:fill="auto"/>
            <w:vAlign w:val="center"/>
          </w:tcPr>
          <w:p w14:paraId="508FB6A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0.473 (0.408–0.526)</w:t>
            </w:r>
          </w:p>
        </w:tc>
        <w:tc>
          <w:tcPr>
            <w:tcW w:w="1199" w:type="dxa"/>
            <w:shd w:val="clear" w:color="auto" w:fill="auto"/>
            <w:vAlign w:val="center"/>
          </w:tcPr>
          <w:p w14:paraId="0658893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0.225 (0.195–0.249)</w:t>
            </w:r>
          </w:p>
        </w:tc>
        <w:tc>
          <w:tcPr>
            <w:tcW w:w="1199" w:type="dxa"/>
            <w:shd w:val="clear" w:color="auto" w:fill="auto"/>
            <w:vAlign w:val="center"/>
          </w:tcPr>
          <w:p w14:paraId="09D7813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0.181 (0.179–0.183)</w:t>
            </w:r>
          </w:p>
        </w:tc>
        <w:tc>
          <w:tcPr>
            <w:tcW w:w="1199" w:type="dxa"/>
            <w:shd w:val="clear" w:color="auto" w:fill="auto"/>
            <w:vAlign w:val="center"/>
          </w:tcPr>
          <w:p w14:paraId="14789BC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0.548 (0.544–0.555)</w:t>
            </w:r>
          </w:p>
        </w:tc>
        <w:tc>
          <w:tcPr>
            <w:tcW w:w="902" w:type="dxa"/>
            <w:shd w:val="clear" w:color="auto" w:fill="auto"/>
            <w:vAlign w:val="center"/>
          </w:tcPr>
          <w:p w14:paraId="20EA25A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7C3F75E2">
        <w:trPr>
          <w:tblCellSpacing w:w="15" w:type="dxa"/>
        </w:trPr>
        <w:tc>
          <w:tcPr>
            <w:tcW w:w="813" w:type="dxa"/>
            <w:shd w:val="clear" w:color="auto" w:fill="auto"/>
            <w:vAlign w:val="center"/>
          </w:tcPr>
          <w:p w14:paraId="5D209EF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556ADE7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912" w:type="dxa"/>
            <w:shd w:val="clear" w:color="auto" w:fill="auto"/>
            <w:vAlign w:val="center"/>
          </w:tcPr>
          <w:p w14:paraId="29D20C8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199" w:type="dxa"/>
            <w:shd w:val="clear" w:color="auto" w:fill="auto"/>
            <w:vAlign w:val="center"/>
          </w:tcPr>
          <w:p w14:paraId="778C97A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0.536 (0.519–0.567)</w:t>
            </w:r>
          </w:p>
        </w:tc>
        <w:tc>
          <w:tcPr>
            <w:tcW w:w="1199" w:type="dxa"/>
            <w:shd w:val="clear" w:color="auto" w:fill="auto"/>
            <w:vAlign w:val="center"/>
          </w:tcPr>
          <w:p w14:paraId="61A9016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0.251 (0.236–0.277)</w:t>
            </w:r>
          </w:p>
        </w:tc>
        <w:tc>
          <w:tcPr>
            <w:tcW w:w="1199" w:type="dxa"/>
            <w:shd w:val="clear" w:color="auto" w:fill="auto"/>
            <w:vAlign w:val="center"/>
          </w:tcPr>
          <w:p w14:paraId="6AC8780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(0.179–0.180)</w:t>
            </w:r>
          </w:p>
        </w:tc>
        <w:tc>
          <w:tcPr>
            <w:tcW w:w="1199" w:type="dxa"/>
            <w:shd w:val="clear" w:color="auto" w:fill="auto"/>
            <w:vAlign w:val="center"/>
          </w:tcPr>
          <w:p w14:paraId="12D03A2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(0.542–0.546)</w:t>
            </w:r>
          </w:p>
        </w:tc>
        <w:tc>
          <w:tcPr>
            <w:tcW w:w="902" w:type="dxa"/>
            <w:shd w:val="clear" w:color="auto" w:fill="auto"/>
            <w:vAlign w:val="center"/>
          </w:tcPr>
          <w:p w14:paraId="6F5642C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2D9D9571">
        <w:trPr>
          <w:tblCellSpacing w:w="15" w:type="dxa"/>
        </w:trPr>
        <w:tc>
          <w:tcPr>
            <w:tcW w:w="813" w:type="dxa"/>
            <w:shd w:val="clear" w:color="auto" w:fill="auto"/>
            <w:vAlign w:val="center"/>
          </w:tcPr>
          <w:p w14:paraId="5205F03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2622BD1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912" w:type="dxa"/>
            <w:shd w:val="clear" w:color="auto" w:fill="auto"/>
            <w:vAlign w:val="center"/>
          </w:tcPr>
          <w:p w14:paraId="351AD81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199" w:type="dxa"/>
            <w:shd w:val="clear" w:color="auto" w:fill="auto"/>
            <w:vAlign w:val="center"/>
          </w:tcPr>
          <w:p w14:paraId="65E677F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0.529 (0.528–0.531)</w:t>
            </w:r>
          </w:p>
        </w:tc>
        <w:tc>
          <w:tcPr>
            <w:tcW w:w="1199" w:type="dxa"/>
            <w:shd w:val="clear" w:color="auto" w:fill="auto"/>
            <w:vAlign w:val="center"/>
          </w:tcPr>
          <w:p w14:paraId="112C35C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0.249 (0.247–0.250)</w:t>
            </w:r>
          </w:p>
        </w:tc>
        <w:tc>
          <w:tcPr>
            <w:tcW w:w="1199" w:type="dxa"/>
            <w:shd w:val="clear" w:color="auto" w:fill="auto"/>
            <w:vAlign w:val="center"/>
          </w:tcPr>
          <w:p w14:paraId="36B23BD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(0.179–0.179)</w:t>
            </w:r>
          </w:p>
        </w:tc>
        <w:tc>
          <w:tcPr>
            <w:tcW w:w="1199" w:type="dxa"/>
            <w:shd w:val="clear" w:color="auto" w:fill="auto"/>
            <w:vAlign w:val="center"/>
          </w:tcPr>
          <w:p w14:paraId="4F88907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(0.544–0.544)</w:t>
            </w:r>
          </w:p>
        </w:tc>
        <w:tc>
          <w:tcPr>
            <w:tcW w:w="902" w:type="dxa"/>
            <w:shd w:val="clear" w:color="auto" w:fill="auto"/>
            <w:vAlign w:val="center"/>
          </w:tcPr>
          <w:p w14:paraId="786ED67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71D80EA1">
        <w:trPr>
          <w:tblCellSpacing w:w="15" w:type="dxa"/>
        </w:trPr>
        <w:tc>
          <w:tcPr>
            <w:tcW w:w="813" w:type="dxa"/>
            <w:shd w:val="clear" w:color="auto" w:fill="auto"/>
            <w:vAlign w:val="center"/>
          </w:tcPr>
          <w:p w14:paraId="2F35FCD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6AADEB5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912" w:type="dxa"/>
            <w:shd w:val="clear" w:color="auto" w:fill="auto"/>
            <w:vAlign w:val="center"/>
          </w:tcPr>
          <w:p w14:paraId="4EB0A55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199" w:type="dxa"/>
            <w:shd w:val="clear" w:color="auto" w:fill="auto"/>
            <w:vAlign w:val="center"/>
          </w:tcPr>
          <w:p w14:paraId="42F2C3E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0.471 (0.400–0.519)</w:t>
            </w:r>
          </w:p>
        </w:tc>
        <w:tc>
          <w:tcPr>
            <w:tcW w:w="1199" w:type="dxa"/>
            <w:shd w:val="clear" w:color="auto" w:fill="auto"/>
            <w:vAlign w:val="center"/>
          </w:tcPr>
          <w:p w14:paraId="2F20BF4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0.223 (0.197–0.248)</w:t>
            </w:r>
          </w:p>
        </w:tc>
        <w:tc>
          <w:tcPr>
            <w:tcW w:w="1199" w:type="dxa"/>
            <w:shd w:val="clear" w:color="auto" w:fill="auto"/>
            <w:vAlign w:val="center"/>
          </w:tcPr>
          <w:p w14:paraId="601A6BA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0.180 (0.179–0.182)</w:t>
            </w:r>
          </w:p>
        </w:tc>
        <w:tc>
          <w:tcPr>
            <w:tcW w:w="1199" w:type="dxa"/>
            <w:shd w:val="clear" w:color="auto" w:fill="auto"/>
            <w:vAlign w:val="center"/>
          </w:tcPr>
          <w:p w14:paraId="767D72E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0.547 (0.544–0.553)</w:t>
            </w:r>
          </w:p>
        </w:tc>
        <w:tc>
          <w:tcPr>
            <w:tcW w:w="902" w:type="dxa"/>
            <w:shd w:val="clear" w:color="auto" w:fill="auto"/>
            <w:vAlign w:val="center"/>
          </w:tcPr>
          <w:p w14:paraId="0B2DCC0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5BD093BA">
        <w:trPr>
          <w:tblCellSpacing w:w="15" w:type="dxa"/>
        </w:trPr>
        <w:tc>
          <w:tcPr>
            <w:tcW w:w="813" w:type="dxa"/>
            <w:shd w:val="clear" w:color="auto" w:fill="auto"/>
            <w:vAlign w:val="center"/>
          </w:tcPr>
          <w:p w14:paraId="16C6E22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703" w:type="dxa"/>
            <w:shd w:val="clear" w:color="auto" w:fill="auto"/>
            <w:vAlign w:val="center"/>
          </w:tcPr>
          <w:p w14:paraId="2460BE2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912" w:type="dxa"/>
            <w:shd w:val="clear" w:color="auto" w:fill="auto"/>
            <w:vAlign w:val="center"/>
          </w:tcPr>
          <w:p w14:paraId="6C54A7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199" w:type="dxa"/>
            <w:shd w:val="clear" w:color="auto" w:fill="auto"/>
            <w:vAlign w:val="center"/>
          </w:tcPr>
          <w:p w14:paraId="0D863B7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0.538 (0.513–0.569)</w:t>
            </w:r>
          </w:p>
        </w:tc>
        <w:tc>
          <w:tcPr>
            <w:tcW w:w="1199" w:type="dxa"/>
            <w:shd w:val="clear" w:color="auto" w:fill="auto"/>
            <w:vAlign w:val="center"/>
          </w:tcPr>
          <w:p w14:paraId="622AE61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0.249 (0.232–0.270)</w:t>
            </w:r>
          </w:p>
        </w:tc>
        <w:tc>
          <w:tcPr>
            <w:tcW w:w="1199" w:type="dxa"/>
            <w:shd w:val="clear" w:color="auto" w:fill="auto"/>
            <w:vAlign w:val="center"/>
          </w:tcPr>
          <w:p w14:paraId="70773D6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(0.179–0.180)</w:t>
            </w:r>
          </w:p>
        </w:tc>
        <w:tc>
          <w:tcPr>
            <w:tcW w:w="1199" w:type="dxa"/>
            <w:shd w:val="clear" w:color="auto" w:fill="auto"/>
            <w:vAlign w:val="center"/>
          </w:tcPr>
          <w:p w14:paraId="3CA2A1E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(0.542–0.545)</w:t>
            </w:r>
          </w:p>
        </w:tc>
        <w:tc>
          <w:tcPr>
            <w:tcW w:w="902" w:type="dxa"/>
            <w:shd w:val="clear" w:color="auto" w:fill="auto"/>
            <w:vAlign w:val="center"/>
          </w:tcPr>
          <w:p w14:paraId="3E83597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7B929F8D">
        <w:trPr>
          <w:tblCellSpacing w:w="15" w:type="dxa"/>
        </w:trPr>
        <w:tc>
          <w:tcPr>
            <w:tcW w:w="813" w:type="dxa"/>
            <w:shd w:val="clear" w:color="auto" w:fill="auto"/>
            <w:vAlign w:val="center"/>
          </w:tcPr>
          <w:p w14:paraId="6E85DC3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shd w:val="clear" w:color="auto" w:fill="auto"/>
            <w:vAlign w:val="center"/>
          </w:tcPr>
          <w:p w14:paraId="737C010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w:t>
            </w:r>
          </w:p>
        </w:tc>
        <w:tc>
          <w:tcPr>
            <w:tcW w:w="912" w:type="dxa"/>
            <w:shd w:val="clear" w:color="auto" w:fill="auto"/>
            <w:vAlign w:val="center"/>
          </w:tcPr>
          <w:p w14:paraId="44B5484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199" w:type="dxa"/>
            <w:shd w:val="clear" w:color="auto" w:fill="auto"/>
            <w:vAlign w:val="center"/>
          </w:tcPr>
          <w:p w14:paraId="1C88B63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0.535 (0.531–0.539)</w:t>
            </w:r>
          </w:p>
        </w:tc>
        <w:tc>
          <w:tcPr>
            <w:tcW w:w="1199" w:type="dxa"/>
            <w:shd w:val="clear" w:color="auto" w:fill="auto"/>
            <w:vAlign w:val="center"/>
          </w:tcPr>
          <w:p w14:paraId="1072747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0.259 (0.255–0.264)</w:t>
            </w:r>
          </w:p>
        </w:tc>
        <w:tc>
          <w:tcPr>
            <w:tcW w:w="1199" w:type="dxa"/>
            <w:shd w:val="clear" w:color="auto" w:fill="auto"/>
            <w:vAlign w:val="center"/>
          </w:tcPr>
          <w:p w14:paraId="6DD7A00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(0.179–0.179)</w:t>
            </w:r>
          </w:p>
        </w:tc>
        <w:tc>
          <w:tcPr>
            <w:tcW w:w="1199" w:type="dxa"/>
            <w:shd w:val="clear" w:color="auto" w:fill="auto"/>
            <w:vAlign w:val="center"/>
          </w:tcPr>
          <w:p w14:paraId="70DF148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(0.544–0.544)</w:t>
            </w:r>
          </w:p>
        </w:tc>
        <w:tc>
          <w:tcPr>
            <w:tcW w:w="902" w:type="dxa"/>
            <w:shd w:val="clear" w:color="auto" w:fill="auto"/>
            <w:vAlign w:val="center"/>
          </w:tcPr>
          <w:p w14:paraId="476DE34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50E6ADD7">
        <w:trPr>
          <w:tblCellSpacing w:w="15" w:type="dxa"/>
        </w:trPr>
        <w:tc>
          <w:tcPr>
            <w:tcW w:w="813" w:type="dxa"/>
            <w:shd w:val="clear" w:color="auto" w:fill="auto"/>
            <w:vAlign w:val="center"/>
          </w:tcPr>
          <w:p w14:paraId="7A6A220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shd w:val="clear" w:color="auto" w:fill="auto"/>
            <w:vAlign w:val="center"/>
          </w:tcPr>
          <w:p w14:paraId="7705825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w:t>
            </w:r>
          </w:p>
        </w:tc>
        <w:tc>
          <w:tcPr>
            <w:tcW w:w="912" w:type="dxa"/>
            <w:shd w:val="clear" w:color="auto" w:fill="auto"/>
            <w:vAlign w:val="center"/>
          </w:tcPr>
          <w:p w14:paraId="62B61A2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199" w:type="dxa"/>
            <w:shd w:val="clear" w:color="auto" w:fill="auto"/>
            <w:vAlign w:val="center"/>
          </w:tcPr>
          <w:p w14:paraId="742247F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0.535 (0.531–0.537)</w:t>
            </w:r>
          </w:p>
        </w:tc>
        <w:tc>
          <w:tcPr>
            <w:tcW w:w="1199" w:type="dxa"/>
            <w:shd w:val="clear" w:color="auto" w:fill="auto"/>
            <w:vAlign w:val="center"/>
          </w:tcPr>
          <w:p w14:paraId="246C11E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0.259 (0.256–0.262)</w:t>
            </w:r>
          </w:p>
        </w:tc>
        <w:tc>
          <w:tcPr>
            <w:tcW w:w="1199" w:type="dxa"/>
            <w:shd w:val="clear" w:color="auto" w:fill="auto"/>
            <w:vAlign w:val="center"/>
          </w:tcPr>
          <w:p w14:paraId="4ED81ED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(0.179–0.179)</w:t>
            </w:r>
          </w:p>
        </w:tc>
        <w:tc>
          <w:tcPr>
            <w:tcW w:w="1199" w:type="dxa"/>
            <w:shd w:val="clear" w:color="auto" w:fill="auto"/>
            <w:vAlign w:val="center"/>
          </w:tcPr>
          <w:p w14:paraId="6F7B630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(0.544–0.544)</w:t>
            </w:r>
          </w:p>
        </w:tc>
        <w:tc>
          <w:tcPr>
            <w:tcW w:w="902" w:type="dxa"/>
            <w:shd w:val="clear" w:color="auto" w:fill="auto"/>
            <w:vAlign w:val="center"/>
          </w:tcPr>
          <w:p w14:paraId="089E259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040B9602">
        <w:trPr>
          <w:tblCellSpacing w:w="15" w:type="dxa"/>
        </w:trPr>
        <w:tc>
          <w:tcPr>
            <w:tcW w:w="813" w:type="dxa"/>
            <w:shd w:val="clear" w:color="auto" w:fill="auto"/>
            <w:vAlign w:val="center"/>
          </w:tcPr>
          <w:p w14:paraId="3733A89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shd w:val="clear" w:color="auto" w:fill="auto"/>
            <w:vAlign w:val="center"/>
          </w:tcPr>
          <w:p w14:paraId="2A6DB9B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w:t>
            </w:r>
          </w:p>
        </w:tc>
        <w:tc>
          <w:tcPr>
            <w:tcW w:w="912" w:type="dxa"/>
            <w:shd w:val="clear" w:color="auto" w:fill="auto"/>
            <w:vAlign w:val="center"/>
          </w:tcPr>
          <w:p w14:paraId="2919760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199" w:type="dxa"/>
            <w:shd w:val="clear" w:color="auto" w:fill="auto"/>
            <w:vAlign w:val="center"/>
          </w:tcPr>
          <w:p w14:paraId="1434D9D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464203F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16307BE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412413C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902" w:type="dxa"/>
            <w:shd w:val="clear" w:color="auto" w:fill="auto"/>
            <w:vAlign w:val="center"/>
          </w:tcPr>
          <w:p w14:paraId="311EE90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0/50</w:t>
            </w:r>
          </w:p>
        </w:tc>
      </w:tr>
      <w:tr w14:paraId="2371070D">
        <w:trPr>
          <w:tblCellSpacing w:w="15" w:type="dxa"/>
        </w:trPr>
        <w:tc>
          <w:tcPr>
            <w:tcW w:w="813" w:type="dxa"/>
            <w:shd w:val="clear" w:color="auto" w:fill="auto"/>
            <w:vAlign w:val="center"/>
          </w:tcPr>
          <w:p w14:paraId="00D30BD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shd w:val="clear" w:color="auto" w:fill="auto"/>
            <w:vAlign w:val="center"/>
          </w:tcPr>
          <w:p w14:paraId="04840A6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150</w:t>
            </w:r>
          </w:p>
        </w:tc>
        <w:tc>
          <w:tcPr>
            <w:tcW w:w="912" w:type="dxa"/>
            <w:shd w:val="clear" w:color="auto" w:fill="auto"/>
            <w:vAlign w:val="center"/>
          </w:tcPr>
          <w:p w14:paraId="14755C6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199" w:type="dxa"/>
            <w:shd w:val="clear" w:color="auto" w:fill="auto"/>
            <w:vAlign w:val="center"/>
          </w:tcPr>
          <w:p w14:paraId="51AB805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0.534 (0.532–0.537)</w:t>
            </w:r>
          </w:p>
        </w:tc>
        <w:tc>
          <w:tcPr>
            <w:tcW w:w="1199" w:type="dxa"/>
            <w:shd w:val="clear" w:color="auto" w:fill="auto"/>
            <w:vAlign w:val="center"/>
          </w:tcPr>
          <w:p w14:paraId="22D21BF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0.259 (0.256–0.261)</w:t>
            </w:r>
          </w:p>
        </w:tc>
        <w:tc>
          <w:tcPr>
            <w:tcW w:w="1199" w:type="dxa"/>
            <w:shd w:val="clear" w:color="auto" w:fill="auto"/>
            <w:vAlign w:val="center"/>
          </w:tcPr>
          <w:p w14:paraId="7922B40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(0.179–0.179)</w:t>
            </w:r>
          </w:p>
        </w:tc>
        <w:tc>
          <w:tcPr>
            <w:tcW w:w="1199" w:type="dxa"/>
            <w:shd w:val="clear" w:color="auto" w:fill="auto"/>
            <w:vAlign w:val="center"/>
          </w:tcPr>
          <w:p w14:paraId="5F7724F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(0.544–0.544)</w:t>
            </w:r>
          </w:p>
        </w:tc>
        <w:tc>
          <w:tcPr>
            <w:tcW w:w="902" w:type="dxa"/>
            <w:shd w:val="clear" w:color="auto" w:fill="auto"/>
            <w:vAlign w:val="center"/>
          </w:tcPr>
          <w:p w14:paraId="18CB41C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04766861">
        <w:trPr>
          <w:tblCellSpacing w:w="15" w:type="dxa"/>
        </w:trPr>
        <w:tc>
          <w:tcPr>
            <w:tcW w:w="813" w:type="dxa"/>
            <w:shd w:val="clear" w:color="auto" w:fill="auto"/>
            <w:vAlign w:val="center"/>
          </w:tcPr>
          <w:p w14:paraId="1F13A35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shd w:val="clear" w:color="auto" w:fill="auto"/>
            <w:vAlign w:val="center"/>
          </w:tcPr>
          <w:p w14:paraId="4A6AB8C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150</w:t>
            </w:r>
          </w:p>
        </w:tc>
        <w:tc>
          <w:tcPr>
            <w:tcW w:w="912" w:type="dxa"/>
            <w:shd w:val="clear" w:color="auto" w:fill="auto"/>
            <w:vAlign w:val="center"/>
          </w:tcPr>
          <w:p w14:paraId="108B0AC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199" w:type="dxa"/>
            <w:shd w:val="clear" w:color="auto" w:fill="auto"/>
            <w:vAlign w:val="center"/>
          </w:tcPr>
          <w:p w14:paraId="6E6C4C0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16D1960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21776D3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6A3841D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902" w:type="dxa"/>
            <w:shd w:val="clear" w:color="auto" w:fill="auto"/>
            <w:vAlign w:val="center"/>
          </w:tcPr>
          <w:p w14:paraId="69505CD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0/50</w:t>
            </w:r>
          </w:p>
        </w:tc>
      </w:tr>
      <w:tr w14:paraId="79FA6D8A">
        <w:trPr>
          <w:tblCellSpacing w:w="15" w:type="dxa"/>
        </w:trPr>
        <w:tc>
          <w:tcPr>
            <w:tcW w:w="813" w:type="dxa"/>
            <w:shd w:val="clear" w:color="auto" w:fill="auto"/>
            <w:vAlign w:val="center"/>
          </w:tcPr>
          <w:p w14:paraId="2B98EE1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shd w:val="clear" w:color="auto" w:fill="auto"/>
            <w:vAlign w:val="center"/>
          </w:tcPr>
          <w:p w14:paraId="16429B9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912" w:type="dxa"/>
            <w:shd w:val="clear" w:color="auto" w:fill="auto"/>
            <w:vAlign w:val="center"/>
          </w:tcPr>
          <w:p w14:paraId="0B8C015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199" w:type="dxa"/>
            <w:shd w:val="clear" w:color="auto" w:fill="auto"/>
            <w:vAlign w:val="center"/>
          </w:tcPr>
          <w:p w14:paraId="2D619F5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0.534 (0.533–0.536)</w:t>
            </w:r>
          </w:p>
        </w:tc>
        <w:tc>
          <w:tcPr>
            <w:tcW w:w="1199" w:type="dxa"/>
            <w:shd w:val="clear" w:color="auto" w:fill="auto"/>
            <w:vAlign w:val="center"/>
          </w:tcPr>
          <w:p w14:paraId="3786D36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0.259 (0.257–0.261)</w:t>
            </w:r>
          </w:p>
        </w:tc>
        <w:tc>
          <w:tcPr>
            <w:tcW w:w="1199" w:type="dxa"/>
            <w:shd w:val="clear" w:color="auto" w:fill="auto"/>
            <w:vAlign w:val="center"/>
          </w:tcPr>
          <w:p w14:paraId="7C9AA6B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(0.179–0.179)</w:t>
            </w:r>
          </w:p>
        </w:tc>
        <w:tc>
          <w:tcPr>
            <w:tcW w:w="1199" w:type="dxa"/>
            <w:shd w:val="clear" w:color="auto" w:fill="auto"/>
            <w:vAlign w:val="center"/>
          </w:tcPr>
          <w:p w14:paraId="779121F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(0.544–0.544)</w:t>
            </w:r>
          </w:p>
        </w:tc>
        <w:tc>
          <w:tcPr>
            <w:tcW w:w="902" w:type="dxa"/>
            <w:shd w:val="clear" w:color="auto" w:fill="auto"/>
            <w:vAlign w:val="center"/>
          </w:tcPr>
          <w:p w14:paraId="298B3E5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1233EB44">
        <w:trPr>
          <w:tblCellSpacing w:w="15" w:type="dxa"/>
        </w:trPr>
        <w:tc>
          <w:tcPr>
            <w:tcW w:w="813" w:type="dxa"/>
            <w:shd w:val="clear" w:color="auto" w:fill="auto"/>
            <w:vAlign w:val="center"/>
          </w:tcPr>
          <w:p w14:paraId="1788F30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shd w:val="clear" w:color="auto" w:fill="auto"/>
            <w:vAlign w:val="center"/>
          </w:tcPr>
          <w:p w14:paraId="0D5481F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912" w:type="dxa"/>
            <w:shd w:val="clear" w:color="auto" w:fill="auto"/>
            <w:vAlign w:val="center"/>
          </w:tcPr>
          <w:p w14:paraId="2EF869C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199" w:type="dxa"/>
            <w:shd w:val="clear" w:color="auto" w:fill="auto"/>
            <w:vAlign w:val="center"/>
          </w:tcPr>
          <w:p w14:paraId="5ADA479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0417219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753A6FD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345A44E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902" w:type="dxa"/>
            <w:shd w:val="clear" w:color="auto" w:fill="auto"/>
            <w:vAlign w:val="center"/>
          </w:tcPr>
          <w:p w14:paraId="4A3B6B6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0/50</w:t>
            </w:r>
          </w:p>
        </w:tc>
      </w:tr>
      <w:tr w14:paraId="461877B4">
        <w:trPr>
          <w:tblCellSpacing w:w="15" w:type="dxa"/>
        </w:trPr>
        <w:tc>
          <w:tcPr>
            <w:tcW w:w="813" w:type="dxa"/>
            <w:shd w:val="clear" w:color="auto" w:fill="auto"/>
            <w:vAlign w:val="center"/>
          </w:tcPr>
          <w:p w14:paraId="6A87047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shd w:val="clear" w:color="auto" w:fill="auto"/>
            <w:vAlign w:val="center"/>
          </w:tcPr>
          <w:p w14:paraId="5BB2744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912" w:type="dxa"/>
            <w:shd w:val="clear" w:color="auto" w:fill="auto"/>
            <w:vAlign w:val="center"/>
          </w:tcPr>
          <w:p w14:paraId="666A6AA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199" w:type="dxa"/>
            <w:shd w:val="clear" w:color="auto" w:fill="auto"/>
            <w:vAlign w:val="center"/>
          </w:tcPr>
          <w:p w14:paraId="64153A0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0.570 (0.514–0.610)</w:t>
            </w:r>
          </w:p>
        </w:tc>
        <w:tc>
          <w:tcPr>
            <w:tcW w:w="1199" w:type="dxa"/>
            <w:shd w:val="clear" w:color="auto" w:fill="auto"/>
            <w:vAlign w:val="center"/>
          </w:tcPr>
          <w:p w14:paraId="446278B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0.275 (0.245–0.312)</w:t>
            </w:r>
          </w:p>
        </w:tc>
        <w:tc>
          <w:tcPr>
            <w:tcW w:w="1199" w:type="dxa"/>
            <w:shd w:val="clear" w:color="auto" w:fill="auto"/>
            <w:vAlign w:val="center"/>
          </w:tcPr>
          <w:p w14:paraId="78409F9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(0.179–0.180)</w:t>
            </w:r>
          </w:p>
        </w:tc>
        <w:tc>
          <w:tcPr>
            <w:tcW w:w="1199" w:type="dxa"/>
            <w:shd w:val="clear" w:color="auto" w:fill="auto"/>
            <w:vAlign w:val="center"/>
          </w:tcPr>
          <w:p w14:paraId="67A5E9C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(0.542–0.546)</w:t>
            </w:r>
          </w:p>
        </w:tc>
        <w:tc>
          <w:tcPr>
            <w:tcW w:w="902" w:type="dxa"/>
            <w:shd w:val="clear" w:color="auto" w:fill="auto"/>
            <w:vAlign w:val="center"/>
          </w:tcPr>
          <w:p w14:paraId="3D28159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56B11CC1">
        <w:trPr>
          <w:tblCellSpacing w:w="15" w:type="dxa"/>
        </w:trPr>
        <w:tc>
          <w:tcPr>
            <w:tcW w:w="813" w:type="dxa"/>
            <w:shd w:val="clear" w:color="auto" w:fill="auto"/>
            <w:vAlign w:val="center"/>
          </w:tcPr>
          <w:p w14:paraId="33DEAA3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shd w:val="clear" w:color="auto" w:fill="auto"/>
            <w:vAlign w:val="center"/>
          </w:tcPr>
          <w:p w14:paraId="4E19F38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912" w:type="dxa"/>
            <w:shd w:val="clear" w:color="auto" w:fill="auto"/>
            <w:vAlign w:val="center"/>
          </w:tcPr>
          <w:p w14:paraId="4EF7F35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199" w:type="dxa"/>
            <w:shd w:val="clear" w:color="auto" w:fill="auto"/>
            <w:vAlign w:val="center"/>
          </w:tcPr>
          <w:p w14:paraId="4210960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0.534 (0.532–0.536)</w:t>
            </w:r>
          </w:p>
        </w:tc>
        <w:tc>
          <w:tcPr>
            <w:tcW w:w="1199" w:type="dxa"/>
            <w:shd w:val="clear" w:color="auto" w:fill="auto"/>
            <w:vAlign w:val="center"/>
          </w:tcPr>
          <w:p w14:paraId="77C4BF2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0.259 (0.257–0.261)</w:t>
            </w:r>
          </w:p>
        </w:tc>
        <w:tc>
          <w:tcPr>
            <w:tcW w:w="1199" w:type="dxa"/>
            <w:shd w:val="clear" w:color="auto" w:fill="auto"/>
            <w:vAlign w:val="center"/>
          </w:tcPr>
          <w:p w14:paraId="563DA8C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(0.179–0.179)</w:t>
            </w:r>
          </w:p>
        </w:tc>
        <w:tc>
          <w:tcPr>
            <w:tcW w:w="1199" w:type="dxa"/>
            <w:shd w:val="clear" w:color="auto" w:fill="auto"/>
            <w:vAlign w:val="center"/>
          </w:tcPr>
          <w:p w14:paraId="7F4C4CF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(0.544–0.544)</w:t>
            </w:r>
          </w:p>
        </w:tc>
        <w:tc>
          <w:tcPr>
            <w:tcW w:w="902" w:type="dxa"/>
            <w:shd w:val="clear" w:color="auto" w:fill="auto"/>
            <w:vAlign w:val="center"/>
          </w:tcPr>
          <w:p w14:paraId="36BF9E8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r w14:paraId="5323F555">
        <w:trPr>
          <w:tblCellSpacing w:w="15" w:type="dxa"/>
        </w:trPr>
        <w:tc>
          <w:tcPr>
            <w:tcW w:w="813" w:type="dxa"/>
            <w:shd w:val="clear" w:color="auto" w:fill="auto"/>
            <w:vAlign w:val="center"/>
          </w:tcPr>
          <w:p w14:paraId="5501699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shd w:val="clear" w:color="auto" w:fill="auto"/>
            <w:vAlign w:val="center"/>
          </w:tcPr>
          <w:p w14:paraId="59E7E4E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912" w:type="dxa"/>
            <w:shd w:val="clear" w:color="auto" w:fill="auto"/>
            <w:vAlign w:val="center"/>
          </w:tcPr>
          <w:p w14:paraId="1D463AC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199" w:type="dxa"/>
            <w:shd w:val="clear" w:color="auto" w:fill="auto"/>
            <w:vAlign w:val="center"/>
          </w:tcPr>
          <w:p w14:paraId="736CB15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4F52D45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1459035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1199" w:type="dxa"/>
            <w:shd w:val="clear" w:color="auto" w:fill="auto"/>
            <w:vAlign w:val="center"/>
          </w:tcPr>
          <w:p w14:paraId="5FEBDDB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c>
          <w:tcPr>
            <w:tcW w:w="902" w:type="dxa"/>
            <w:shd w:val="clear" w:color="auto" w:fill="auto"/>
            <w:vAlign w:val="center"/>
          </w:tcPr>
          <w:p w14:paraId="290BF42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0/50</w:t>
            </w:r>
          </w:p>
        </w:tc>
      </w:tr>
      <w:tr w14:paraId="41E5B9F1">
        <w:trPr>
          <w:tblCellSpacing w:w="15" w:type="dxa"/>
        </w:trPr>
        <w:tc>
          <w:tcPr>
            <w:tcW w:w="813" w:type="dxa"/>
            <w:tcBorders>
              <w:bottom w:val="single" w:color="000000" w:sz="4" w:space="0"/>
            </w:tcBorders>
            <w:shd w:val="clear" w:color="auto" w:fill="auto"/>
            <w:vAlign w:val="center"/>
          </w:tcPr>
          <w:p w14:paraId="76AD710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703" w:type="dxa"/>
            <w:tcBorders>
              <w:bottom w:val="single" w:color="000000" w:sz="4" w:space="0"/>
            </w:tcBorders>
            <w:shd w:val="clear" w:color="auto" w:fill="auto"/>
            <w:vAlign w:val="center"/>
          </w:tcPr>
          <w:p w14:paraId="65F1DAD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912" w:type="dxa"/>
            <w:tcBorders>
              <w:bottom w:val="single" w:color="000000" w:sz="4" w:space="0"/>
            </w:tcBorders>
            <w:shd w:val="clear" w:color="auto" w:fill="auto"/>
            <w:vAlign w:val="center"/>
          </w:tcPr>
          <w:p w14:paraId="2392413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199" w:type="dxa"/>
            <w:tcBorders>
              <w:bottom w:val="single" w:color="000000" w:sz="4" w:space="0"/>
            </w:tcBorders>
            <w:shd w:val="clear" w:color="auto" w:fill="auto"/>
            <w:vAlign w:val="center"/>
          </w:tcPr>
          <w:p w14:paraId="6294E47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0.575 (0.524–0.617)</w:t>
            </w:r>
          </w:p>
        </w:tc>
        <w:tc>
          <w:tcPr>
            <w:tcW w:w="1199" w:type="dxa"/>
            <w:tcBorders>
              <w:bottom w:val="single" w:color="000000" w:sz="4" w:space="0"/>
            </w:tcBorders>
            <w:shd w:val="clear" w:color="auto" w:fill="auto"/>
            <w:vAlign w:val="center"/>
          </w:tcPr>
          <w:p w14:paraId="1893E51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0.274 (0.242–0.309)</w:t>
            </w:r>
          </w:p>
        </w:tc>
        <w:tc>
          <w:tcPr>
            <w:tcW w:w="1199" w:type="dxa"/>
            <w:tcBorders>
              <w:bottom w:val="single" w:color="000000" w:sz="4" w:space="0"/>
            </w:tcBorders>
            <w:shd w:val="clear" w:color="auto" w:fill="auto"/>
            <w:vAlign w:val="center"/>
          </w:tcPr>
          <w:p w14:paraId="3D02ADF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0.179 (0.179–0.180)</w:t>
            </w:r>
          </w:p>
        </w:tc>
        <w:tc>
          <w:tcPr>
            <w:tcW w:w="1199" w:type="dxa"/>
            <w:tcBorders>
              <w:bottom w:val="single" w:color="000000" w:sz="4" w:space="0"/>
            </w:tcBorders>
            <w:shd w:val="clear" w:color="auto" w:fill="auto"/>
            <w:vAlign w:val="center"/>
          </w:tcPr>
          <w:p w14:paraId="3A57CCA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0.544 (0.542–0.546)</w:t>
            </w:r>
          </w:p>
        </w:tc>
        <w:tc>
          <w:tcPr>
            <w:tcW w:w="902" w:type="dxa"/>
            <w:tcBorders>
              <w:bottom w:val="single" w:color="000000" w:sz="4" w:space="0"/>
            </w:tcBorders>
            <w:shd w:val="clear" w:color="auto" w:fill="auto"/>
            <w:vAlign w:val="center"/>
          </w:tcPr>
          <w:p w14:paraId="7C637F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r>
    </w:tbl>
    <w:p w14:paraId="42963141">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Values are means with empirical 2.5th–97.5th percentile stability intervals. These are not independent-cohort CIs.</w:t>
      </w:r>
    </w:p>
    <w:p w14:paraId="3C919313">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S9. Learning-curve failures and nonestimability</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615"/>
        <w:gridCol w:w="1153"/>
        <w:gridCol w:w="1298"/>
        <w:gridCol w:w="1220"/>
        <w:gridCol w:w="1179"/>
        <w:gridCol w:w="1931"/>
      </w:tblGrid>
      <w:tr w14:paraId="026C6E6E">
        <w:trPr>
          <w:tblCellSpacing w:w="15" w:type="dxa"/>
        </w:trPr>
        <w:tc>
          <w:tcPr>
            <w:tcW w:w="0" w:type="auto"/>
            <w:tcBorders>
              <w:top w:val="single" w:color="000000" w:sz="4" w:space="0"/>
              <w:bottom w:val="single" w:color="000000" w:sz="4" w:space="0"/>
            </w:tcBorders>
            <w:shd w:val="clear" w:color="auto" w:fill="auto"/>
            <w:vAlign w:val="center"/>
          </w:tcPr>
          <w:p w14:paraId="32BA61C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w:t>
            </w:r>
          </w:p>
        </w:tc>
        <w:tc>
          <w:tcPr>
            <w:tcW w:w="0" w:type="auto"/>
            <w:tcBorders>
              <w:top w:val="single" w:color="000000" w:sz="4" w:space="0"/>
              <w:bottom w:val="single" w:color="000000" w:sz="4" w:space="0"/>
            </w:tcBorders>
            <w:shd w:val="clear" w:color="auto" w:fill="auto"/>
            <w:vAlign w:val="center"/>
          </w:tcPr>
          <w:p w14:paraId="7B8DF0F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Adaptation n</w:t>
            </w:r>
          </w:p>
        </w:tc>
        <w:tc>
          <w:tcPr>
            <w:tcW w:w="0" w:type="auto"/>
            <w:tcBorders>
              <w:top w:val="single" w:color="000000" w:sz="4" w:space="0"/>
              <w:bottom w:val="single" w:color="000000" w:sz="4" w:space="0"/>
            </w:tcBorders>
            <w:shd w:val="clear" w:color="auto" w:fill="auto"/>
            <w:vAlign w:val="center"/>
          </w:tcPr>
          <w:p w14:paraId="6753FBE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Method</w:t>
            </w:r>
          </w:p>
        </w:tc>
        <w:tc>
          <w:tcPr>
            <w:tcW w:w="0" w:type="auto"/>
            <w:tcBorders>
              <w:top w:val="single" w:color="000000" w:sz="4" w:space="0"/>
              <w:bottom w:val="single" w:color="000000" w:sz="4" w:space="0"/>
            </w:tcBorders>
            <w:shd w:val="clear" w:color="auto" w:fill="auto"/>
            <w:vAlign w:val="center"/>
          </w:tcPr>
          <w:p w14:paraId="6A75454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Successful outer fits</w:t>
            </w:r>
          </w:p>
        </w:tc>
        <w:tc>
          <w:tcPr>
            <w:tcW w:w="0" w:type="auto"/>
            <w:tcBorders>
              <w:top w:val="single" w:color="000000" w:sz="4" w:space="0"/>
              <w:bottom w:val="single" w:color="000000" w:sz="4" w:space="0"/>
            </w:tcBorders>
            <w:shd w:val="clear" w:color="auto" w:fill="auto"/>
            <w:vAlign w:val="center"/>
          </w:tcPr>
          <w:p w14:paraId="13E9A32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Usable repetitions</w:t>
            </w:r>
          </w:p>
        </w:tc>
        <w:tc>
          <w:tcPr>
            <w:tcW w:w="0" w:type="auto"/>
            <w:tcBorders>
              <w:top w:val="single" w:color="000000" w:sz="4" w:space="0"/>
              <w:bottom w:val="single" w:color="000000" w:sz="4" w:space="0"/>
            </w:tcBorders>
            <w:shd w:val="clear" w:color="auto" w:fill="auto"/>
            <w:vAlign w:val="center"/>
          </w:tcPr>
          <w:p w14:paraId="7CF1BF0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Interpretation</w:t>
            </w:r>
          </w:p>
        </w:tc>
      </w:tr>
      <w:tr w14:paraId="6144C2CE">
        <w:trPr>
          <w:tblCellSpacing w:w="15" w:type="dxa"/>
        </w:trPr>
        <w:tc>
          <w:tcPr>
            <w:tcW w:w="0" w:type="auto"/>
            <w:shd w:val="clear" w:color="auto" w:fill="auto"/>
            <w:vAlign w:val="center"/>
          </w:tcPr>
          <w:p w14:paraId="29AD3DD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0" w:type="auto"/>
            <w:shd w:val="clear" w:color="auto" w:fill="auto"/>
            <w:vAlign w:val="center"/>
          </w:tcPr>
          <w:p w14:paraId="1564E06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w:t>
            </w:r>
          </w:p>
        </w:tc>
        <w:tc>
          <w:tcPr>
            <w:tcW w:w="0" w:type="auto"/>
            <w:shd w:val="clear" w:color="auto" w:fill="auto"/>
            <w:vAlign w:val="center"/>
          </w:tcPr>
          <w:p w14:paraId="314719D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0" w:type="auto"/>
            <w:shd w:val="clear" w:color="auto" w:fill="auto"/>
            <w:vAlign w:val="center"/>
          </w:tcPr>
          <w:p w14:paraId="52D64D2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0/250</w:t>
            </w:r>
          </w:p>
        </w:tc>
        <w:tc>
          <w:tcPr>
            <w:tcW w:w="0" w:type="auto"/>
            <w:shd w:val="clear" w:color="auto" w:fill="auto"/>
            <w:vAlign w:val="center"/>
          </w:tcPr>
          <w:p w14:paraId="168C83C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0/50</w:t>
            </w:r>
          </w:p>
        </w:tc>
        <w:tc>
          <w:tcPr>
            <w:tcW w:w="0" w:type="auto"/>
            <w:shd w:val="clear" w:color="auto" w:fill="auto"/>
            <w:vAlign w:val="center"/>
          </w:tcPr>
          <w:p w14:paraId="79716DD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Nonestimable under the practical-null rule</w:t>
            </w:r>
          </w:p>
        </w:tc>
      </w:tr>
      <w:tr w14:paraId="68BFA555">
        <w:trPr>
          <w:tblCellSpacing w:w="15" w:type="dxa"/>
        </w:trPr>
        <w:tc>
          <w:tcPr>
            <w:tcW w:w="0" w:type="auto"/>
            <w:shd w:val="clear" w:color="auto" w:fill="auto"/>
            <w:vAlign w:val="center"/>
          </w:tcPr>
          <w:p w14:paraId="3F6F6BF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0" w:type="auto"/>
            <w:shd w:val="clear" w:color="auto" w:fill="auto"/>
            <w:vAlign w:val="center"/>
          </w:tcPr>
          <w:p w14:paraId="5FFE59E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150</w:t>
            </w:r>
          </w:p>
        </w:tc>
        <w:tc>
          <w:tcPr>
            <w:tcW w:w="0" w:type="auto"/>
            <w:shd w:val="clear" w:color="auto" w:fill="auto"/>
            <w:vAlign w:val="center"/>
          </w:tcPr>
          <w:p w14:paraId="41B7341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0" w:type="auto"/>
            <w:shd w:val="clear" w:color="auto" w:fill="auto"/>
            <w:vAlign w:val="center"/>
          </w:tcPr>
          <w:p w14:paraId="2ACEF93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0/250</w:t>
            </w:r>
          </w:p>
        </w:tc>
        <w:tc>
          <w:tcPr>
            <w:tcW w:w="0" w:type="auto"/>
            <w:shd w:val="clear" w:color="auto" w:fill="auto"/>
            <w:vAlign w:val="center"/>
          </w:tcPr>
          <w:p w14:paraId="2771314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0/50</w:t>
            </w:r>
          </w:p>
        </w:tc>
        <w:tc>
          <w:tcPr>
            <w:tcW w:w="0" w:type="auto"/>
            <w:shd w:val="clear" w:color="auto" w:fill="auto"/>
            <w:vAlign w:val="center"/>
          </w:tcPr>
          <w:p w14:paraId="13FD8D6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Nonestimable under the practical-null rule</w:t>
            </w:r>
          </w:p>
        </w:tc>
      </w:tr>
      <w:tr w14:paraId="26BFD41B">
        <w:trPr>
          <w:tblCellSpacing w:w="15" w:type="dxa"/>
        </w:trPr>
        <w:tc>
          <w:tcPr>
            <w:tcW w:w="0" w:type="auto"/>
            <w:shd w:val="clear" w:color="auto" w:fill="auto"/>
            <w:vAlign w:val="center"/>
          </w:tcPr>
          <w:p w14:paraId="6815F33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0" w:type="auto"/>
            <w:shd w:val="clear" w:color="auto" w:fill="auto"/>
            <w:vAlign w:val="center"/>
          </w:tcPr>
          <w:p w14:paraId="469F35C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0" w:type="auto"/>
            <w:shd w:val="clear" w:color="auto" w:fill="auto"/>
            <w:vAlign w:val="center"/>
          </w:tcPr>
          <w:p w14:paraId="2E700E5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0" w:type="auto"/>
            <w:shd w:val="clear" w:color="auto" w:fill="auto"/>
            <w:vAlign w:val="center"/>
          </w:tcPr>
          <w:p w14:paraId="7BC7174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0/250</w:t>
            </w:r>
          </w:p>
        </w:tc>
        <w:tc>
          <w:tcPr>
            <w:tcW w:w="0" w:type="auto"/>
            <w:shd w:val="clear" w:color="auto" w:fill="auto"/>
            <w:vAlign w:val="center"/>
          </w:tcPr>
          <w:p w14:paraId="18237FD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0/50</w:t>
            </w:r>
          </w:p>
        </w:tc>
        <w:tc>
          <w:tcPr>
            <w:tcW w:w="0" w:type="auto"/>
            <w:shd w:val="clear" w:color="auto" w:fill="auto"/>
            <w:vAlign w:val="center"/>
          </w:tcPr>
          <w:p w14:paraId="1678C12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Nonestimable under the practical-null rule</w:t>
            </w:r>
          </w:p>
        </w:tc>
      </w:tr>
      <w:tr w14:paraId="6CC602C6">
        <w:trPr>
          <w:tblCellSpacing w:w="15" w:type="dxa"/>
        </w:trPr>
        <w:tc>
          <w:tcPr>
            <w:tcW w:w="0" w:type="auto"/>
            <w:shd w:val="clear" w:color="auto" w:fill="auto"/>
            <w:vAlign w:val="center"/>
          </w:tcPr>
          <w:p w14:paraId="4F73F00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0" w:type="auto"/>
            <w:shd w:val="clear" w:color="auto" w:fill="auto"/>
            <w:vAlign w:val="center"/>
          </w:tcPr>
          <w:p w14:paraId="407DE97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0" w:type="auto"/>
            <w:shd w:val="clear" w:color="auto" w:fill="auto"/>
            <w:vAlign w:val="center"/>
          </w:tcPr>
          <w:p w14:paraId="15B5A6C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0" w:type="auto"/>
            <w:shd w:val="clear" w:color="auto" w:fill="auto"/>
            <w:vAlign w:val="center"/>
          </w:tcPr>
          <w:p w14:paraId="1D21DAC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0/250</w:t>
            </w:r>
          </w:p>
        </w:tc>
        <w:tc>
          <w:tcPr>
            <w:tcW w:w="0" w:type="auto"/>
            <w:shd w:val="clear" w:color="auto" w:fill="auto"/>
            <w:vAlign w:val="center"/>
          </w:tcPr>
          <w:p w14:paraId="13C79AC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0/50</w:t>
            </w:r>
          </w:p>
        </w:tc>
        <w:tc>
          <w:tcPr>
            <w:tcW w:w="0" w:type="auto"/>
            <w:shd w:val="clear" w:color="auto" w:fill="auto"/>
            <w:vAlign w:val="center"/>
          </w:tcPr>
          <w:p w14:paraId="6CD464F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Nonestimable under the practical-null rule</w:t>
            </w:r>
          </w:p>
        </w:tc>
      </w:tr>
      <w:tr w14:paraId="2BB4F87B">
        <w:trPr>
          <w:tblCellSpacing w:w="15" w:type="dxa"/>
        </w:trPr>
        <w:tc>
          <w:tcPr>
            <w:tcW w:w="0" w:type="auto"/>
            <w:shd w:val="clear" w:color="auto" w:fill="auto"/>
            <w:vAlign w:val="center"/>
          </w:tcPr>
          <w:p w14:paraId="2F5D2CC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0" w:type="auto"/>
            <w:shd w:val="clear" w:color="auto" w:fill="auto"/>
            <w:vAlign w:val="center"/>
          </w:tcPr>
          <w:p w14:paraId="5B0709C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0" w:type="auto"/>
            <w:shd w:val="clear" w:color="auto" w:fill="auto"/>
            <w:vAlign w:val="center"/>
          </w:tcPr>
          <w:p w14:paraId="2A5DF4D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0" w:type="auto"/>
            <w:shd w:val="clear" w:color="auto" w:fill="auto"/>
            <w:vAlign w:val="center"/>
          </w:tcPr>
          <w:p w14:paraId="30C8740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0" w:type="auto"/>
            <w:shd w:val="clear" w:color="auto" w:fill="auto"/>
            <w:vAlign w:val="center"/>
          </w:tcPr>
          <w:p w14:paraId="1D13DC6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c>
          <w:tcPr>
            <w:tcW w:w="0" w:type="auto"/>
            <w:shd w:val="clear" w:color="auto" w:fill="auto"/>
            <w:vAlign w:val="center"/>
          </w:tcPr>
          <w:p w14:paraId="7C77DA9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Completed; 10 metric-specific nonestimable values</w:t>
            </w:r>
          </w:p>
        </w:tc>
      </w:tr>
      <w:tr w14:paraId="37E34E05">
        <w:trPr>
          <w:tblCellSpacing w:w="15" w:type="dxa"/>
        </w:trPr>
        <w:tc>
          <w:tcPr>
            <w:tcW w:w="0" w:type="auto"/>
            <w:shd w:val="clear" w:color="auto" w:fill="auto"/>
            <w:vAlign w:val="center"/>
          </w:tcPr>
          <w:p w14:paraId="0E96F08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0" w:type="auto"/>
            <w:shd w:val="clear" w:color="auto" w:fill="auto"/>
            <w:vAlign w:val="center"/>
          </w:tcPr>
          <w:p w14:paraId="40056DD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0" w:type="auto"/>
            <w:shd w:val="clear" w:color="auto" w:fill="auto"/>
            <w:vAlign w:val="center"/>
          </w:tcPr>
          <w:p w14:paraId="2186034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0" w:type="auto"/>
            <w:shd w:val="clear" w:color="auto" w:fill="auto"/>
            <w:vAlign w:val="center"/>
          </w:tcPr>
          <w:p w14:paraId="737F0E0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0" w:type="auto"/>
            <w:shd w:val="clear" w:color="auto" w:fill="auto"/>
            <w:vAlign w:val="center"/>
          </w:tcPr>
          <w:p w14:paraId="307B4A8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c>
          <w:tcPr>
            <w:tcW w:w="0" w:type="auto"/>
            <w:shd w:val="clear" w:color="auto" w:fill="auto"/>
            <w:vAlign w:val="center"/>
          </w:tcPr>
          <w:p w14:paraId="783726D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Completed; 3 metric-specific nonestimable values</w:t>
            </w:r>
          </w:p>
        </w:tc>
      </w:tr>
      <w:tr w14:paraId="16508E98">
        <w:trPr>
          <w:tblCellSpacing w:w="15" w:type="dxa"/>
        </w:trPr>
        <w:tc>
          <w:tcPr>
            <w:tcW w:w="0" w:type="auto"/>
            <w:tcBorders>
              <w:bottom w:val="single" w:color="000000" w:sz="4" w:space="0"/>
            </w:tcBorders>
            <w:shd w:val="clear" w:color="auto" w:fill="auto"/>
            <w:vAlign w:val="center"/>
          </w:tcPr>
          <w:p w14:paraId="56B7934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All other eligible combinations</w:t>
            </w:r>
          </w:p>
        </w:tc>
        <w:tc>
          <w:tcPr>
            <w:tcW w:w="0" w:type="auto"/>
            <w:tcBorders>
              <w:bottom w:val="single" w:color="000000" w:sz="4" w:space="0"/>
            </w:tcBorders>
            <w:shd w:val="clear" w:color="auto" w:fill="auto"/>
            <w:vAlign w:val="center"/>
          </w:tcPr>
          <w:p w14:paraId="468EFCF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All</w:t>
            </w:r>
          </w:p>
        </w:tc>
        <w:tc>
          <w:tcPr>
            <w:tcW w:w="0" w:type="auto"/>
            <w:tcBorders>
              <w:bottom w:val="single" w:color="000000" w:sz="4" w:space="0"/>
            </w:tcBorders>
            <w:shd w:val="clear" w:color="auto" w:fill="auto"/>
            <w:vAlign w:val="center"/>
          </w:tcPr>
          <w:p w14:paraId="7F7E364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As specified</w:t>
            </w:r>
          </w:p>
        </w:tc>
        <w:tc>
          <w:tcPr>
            <w:tcW w:w="0" w:type="auto"/>
            <w:tcBorders>
              <w:bottom w:val="single" w:color="000000" w:sz="4" w:space="0"/>
            </w:tcBorders>
            <w:shd w:val="clear" w:color="auto" w:fill="auto"/>
            <w:vAlign w:val="center"/>
          </w:tcPr>
          <w:p w14:paraId="0893584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All completed</w:t>
            </w:r>
          </w:p>
        </w:tc>
        <w:tc>
          <w:tcPr>
            <w:tcW w:w="0" w:type="auto"/>
            <w:tcBorders>
              <w:bottom w:val="single" w:color="000000" w:sz="4" w:space="0"/>
            </w:tcBorders>
            <w:shd w:val="clear" w:color="auto" w:fill="auto"/>
            <w:vAlign w:val="center"/>
          </w:tcPr>
          <w:p w14:paraId="3679C8C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50/50</w:t>
            </w:r>
          </w:p>
        </w:tc>
        <w:tc>
          <w:tcPr>
            <w:tcW w:w="0" w:type="auto"/>
            <w:tcBorders>
              <w:bottom w:val="single" w:color="000000" w:sz="4" w:space="0"/>
            </w:tcBorders>
            <w:shd w:val="clear" w:color="auto" w:fill="auto"/>
            <w:vAlign w:val="center"/>
          </w:tcPr>
          <w:p w14:paraId="5FFA5CC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 model-fitting failure</w:t>
            </w:r>
          </w:p>
        </w:tc>
      </w:tr>
    </w:tbl>
    <w:p w14:paraId="5B62ADF0">
      <w:pPr>
        <w:pStyle w:val="9"/>
        <w:keepNext w:val="0"/>
        <w:keepLines w:val="0"/>
        <w:widowControl/>
        <w:suppressLineNumbers w:val="0"/>
        <w:rPr>
          <w:rFonts w:hint="default" w:ascii="Times New Roman Regular" w:hAnsi="Times New Roman Regular" w:cs="Times New Roman Regular"/>
          <w:sz w:val="24"/>
          <w:szCs w:val="24"/>
        </w:rPr>
      </w:pPr>
      <w:r>
        <w:rPr>
          <w:rStyle w:val="7"/>
          <w:rFonts w:hint="default" w:ascii="Times New Roman Regular" w:hAnsi="Times New Roman Regular" w:cs="Times New Roman Regular"/>
          <w:sz w:val="24"/>
          <w:szCs w:val="24"/>
        </w:rPr>
        <w:t>Notes:</w:t>
      </w:r>
      <w:r>
        <w:rPr>
          <w:rFonts w:hint="default" w:ascii="Times New Roman Regular" w:hAnsi="Times New Roman Regular" w:cs="Times New Roman Regular"/>
          <w:sz w:val="24"/>
          <w:szCs w:val="24"/>
        </w:rPr>
        <w:t xml:space="preserve"> Metric-specific nonestimability was retained and was not treated as model-execution failure.</w:t>
      </w:r>
    </w:p>
    <w:p w14:paraId="6ED57646">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Table S10. Selected learning-curve updating-parameter distributions</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9"/>
        <w:gridCol w:w="926"/>
        <w:gridCol w:w="1395"/>
        <w:gridCol w:w="1075"/>
        <w:gridCol w:w="1043"/>
        <w:gridCol w:w="2767"/>
      </w:tblGrid>
      <w:tr w14:paraId="0C31E23A">
        <w:trPr>
          <w:tblCellSpacing w:w="15" w:type="dxa"/>
        </w:trPr>
        <w:tc>
          <w:tcPr>
            <w:tcW w:w="944" w:type="dxa"/>
            <w:tcBorders>
              <w:top w:val="single" w:color="000000" w:sz="4" w:space="0"/>
              <w:bottom w:val="single" w:color="000000" w:sz="4" w:space="0"/>
            </w:tcBorders>
            <w:shd w:val="clear" w:color="auto" w:fill="auto"/>
            <w:vAlign w:val="center"/>
          </w:tcPr>
          <w:p w14:paraId="3053C28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w:t>
            </w:r>
          </w:p>
        </w:tc>
        <w:tc>
          <w:tcPr>
            <w:tcW w:w="896" w:type="dxa"/>
            <w:tcBorders>
              <w:top w:val="single" w:color="000000" w:sz="4" w:space="0"/>
              <w:bottom w:val="single" w:color="000000" w:sz="4" w:space="0"/>
            </w:tcBorders>
            <w:shd w:val="clear" w:color="auto" w:fill="auto"/>
            <w:vAlign w:val="center"/>
          </w:tcPr>
          <w:p w14:paraId="43581B1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Adaptation n</w:t>
            </w:r>
          </w:p>
        </w:tc>
        <w:tc>
          <w:tcPr>
            <w:tcW w:w="1365" w:type="dxa"/>
            <w:tcBorders>
              <w:top w:val="single" w:color="000000" w:sz="4" w:space="0"/>
              <w:bottom w:val="single" w:color="000000" w:sz="4" w:space="0"/>
            </w:tcBorders>
            <w:shd w:val="clear" w:color="auto" w:fill="auto"/>
            <w:vAlign w:val="center"/>
          </w:tcPr>
          <w:p w14:paraId="47D1F1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Method</w:t>
            </w:r>
          </w:p>
        </w:tc>
        <w:tc>
          <w:tcPr>
            <w:tcW w:w="1045" w:type="dxa"/>
            <w:tcBorders>
              <w:top w:val="single" w:color="000000" w:sz="4" w:space="0"/>
              <w:bottom w:val="single" w:color="000000" w:sz="4" w:space="0"/>
            </w:tcBorders>
            <w:shd w:val="clear" w:color="auto" w:fill="auto"/>
            <w:vAlign w:val="center"/>
          </w:tcPr>
          <w:p w14:paraId="5D6DE99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Parameter</w:t>
            </w:r>
          </w:p>
        </w:tc>
        <w:tc>
          <w:tcPr>
            <w:tcW w:w="1013" w:type="dxa"/>
            <w:tcBorders>
              <w:top w:val="single" w:color="000000" w:sz="4" w:space="0"/>
              <w:bottom w:val="single" w:color="000000" w:sz="4" w:space="0"/>
            </w:tcBorders>
            <w:shd w:val="clear" w:color="auto" w:fill="auto"/>
            <w:vAlign w:val="center"/>
          </w:tcPr>
          <w:p w14:paraId="58622EB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Successful fits</w:t>
            </w:r>
          </w:p>
        </w:tc>
        <w:tc>
          <w:tcPr>
            <w:tcW w:w="2722" w:type="dxa"/>
            <w:tcBorders>
              <w:top w:val="single" w:color="000000" w:sz="4" w:space="0"/>
              <w:bottom w:val="single" w:color="000000" w:sz="4" w:space="0"/>
            </w:tcBorders>
            <w:shd w:val="clear" w:color="auto" w:fill="auto"/>
            <w:vAlign w:val="center"/>
          </w:tcPr>
          <w:p w14:paraId="0E88CCC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(empirical 2.5th–97.5th percentile)</w:t>
            </w:r>
          </w:p>
        </w:tc>
      </w:tr>
      <w:tr w14:paraId="5F3513F5">
        <w:trPr>
          <w:tblCellSpacing w:w="15" w:type="dxa"/>
        </w:trPr>
        <w:tc>
          <w:tcPr>
            <w:tcW w:w="944" w:type="dxa"/>
            <w:shd w:val="clear" w:color="auto" w:fill="auto"/>
            <w:vAlign w:val="center"/>
          </w:tcPr>
          <w:p w14:paraId="1772D7D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7B4E200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w:t>
            </w:r>
          </w:p>
        </w:tc>
        <w:tc>
          <w:tcPr>
            <w:tcW w:w="1365" w:type="dxa"/>
            <w:shd w:val="clear" w:color="auto" w:fill="auto"/>
            <w:vAlign w:val="center"/>
          </w:tcPr>
          <w:p w14:paraId="7BCA364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045" w:type="dxa"/>
            <w:shd w:val="clear" w:color="auto" w:fill="auto"/>
            <w:vAlign w:val="center"/>
          </w:tcPr>
          <w:p w14:paraId="2E6C235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7C66E4E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3A0785A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−0.887 (−0.901 to −0.872)</w:t>
            </w:r>
          </w:p>
        </w:tc>
      </w:tr>
      <w:tr w14:paraId="78AB463B">
        <w:trPr>
          <w:tblCellSpacing w:w="15" w:type="dxa"/>
        </w:trPr>
        <w:tc>
          <w:tcPr>
            <w:tcW w:w="944" w:type="dxa"/>
            <w:shd w:val="clear" w:color="auto" w:fill="auto"/>
            <w:vAlign w:val="center"/>
          </w:tcPr>
          <w:p w14:paraId="4DED165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47C7C1B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w:t>
            </w:r>
          </w:p>
        </w:tc>
        <w:tc>
          <w:tcPr>
            <w:tcW w:w="1365" w:type="dxa"/>
            <w:shd w:val="clear" w:color="auto" w:fill="auto"/>
            <w:vAlign w:val="center"/>
          </w:tcPr>
          <w:p w14:paraId="5EFB455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045" w:type="dxa"/>
            <w:shd w:val="clear" w:color="auto" w:fill="auto"/>
            <w:vAlign w:val="center"/>
          </w:tcPr>
          <w:p w14:paraId="551229B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14175D6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34C7123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−0.942 (−0.952 to −0.932)</w:t>
            </w:r>
          </w:p>
        </w:tc>
      </w:tr>
      <w:tr w14:paraId="1308C46F">
        <w:trPr>
          <w:tblCellSpacing w:w="15" w:type="dxa"/>
        </w:trPr>
        <w:tc>
          <w:tcPr>
            <w:tcW w:w="944" w:type="dxa"/>
            <w:shd w:val="clear" w:color="auto" w:fill="auto"/>
            <w:vAlign w:val="center"/>
          </w:tcPr>
          <w:p w14:paraId="1496523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3CC1179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w:t>
            </w:r>
          </w:p>
        </w:tc>
        <w:tc>
          <w:tcPr>
            <w:tcW w:w="1365" w:type="dxa"/>
            <w:shd w:val="clear" w:color="auto" w:fill="auto"/>
            <w:vAlign w:val="center"/>
          </w:tcPr>
          <w:p w14:paraId="2A72D73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64217CE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6BFF5F8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0A2BB31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−0.828 (−2.511 to 0.927)</w:t>
            </w:r>
          </w:p>
        </w:tc>
      </w:tr>
      <w:tr w14:paraId="25F12435">
        <w:trPr>
          <w:tblCellSpacing w:w="15" w:type="dxa"/>
        </w:trPr>
        <w:tc>
          <w:tcPr>
            <w:tcW w:w="944" w:type="dxa"/>
            <w:shd w:val="clear" w:color="auto" w:fill="auto"/>
            <w:vAlign w:val="center"/>
          </w:tcPr>
          <w:p w14:paraId="0D91F21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0481077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w:t>
            </w:r>
          </w:p>
        </w:tc>
        <w:tc>
          <w:tcPr>
            <w:tcW w:w="1365" w:type="dxa"/>
            <w:shd w:val="clear" w:color="auto" w:fill="auto"/>
            <w:vAlign w:val="center"/>
          </w:tcPr>
          <w:p w14:paraId="1F0B869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4461EBD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Slope</w:t>
            </w:r>
          </w:p>
        </w:tc>
        <w:tc>
          <w:tcPr>
            <w:tcW w:w="1013" w:type="dxa"/>
            <w:shd w:val="clear" w:color="auto" w:fill="auto"/>
            <w:vAlign w:val="center"/>
          </w:tcPr>
          <w:p w14:paraId="204C871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7D13122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1.473 (−4.735 to 8.281)</w:t>
            </w:r>
          </w:p>
        </w:tc>
      </w:tr>
      <w:tr w14:paraId="4DD897EA">
        <w:trPr>
          <w:tblCellSpacing w:w="15" w:type="dxa"/>
        </w:trPr>
        <w:tc>
          <w:tcPr>
            <w:tcW w:w="944" w:type="dxa"/>
            <w:shd w:val="clear" w:color="auto" w:fill="auto"/>
            <w:vAlign w:val="center"/>
          </w:tcPr>
          <w:p w14:paraId="399398E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2F845BD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150</w:t>
            </w:r>
          </w:p>
        </w:tc>
        <w:tc>
          <w:tcPr>
            <w:tcW w:w="1365" w:type="dxa"/>
            <w:shd w:val="clear" w:color="auto" w:fill="auto"/>
            <w:vAlign w:val="center"/>
          </w:tcPr>
          <w:p w14:paraId="0C0ACE7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045" w:type="dxa"/>
            <w:shd w:val="clear" w:color="auto" w:fill="auto"/>
            <w:vAlign w:val="center"/>
          </w:tcPr>
          <w:p w14:paraId="23DC1DF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47B06F6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20088B9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−0.924 (−0.932 to −0.917)</w:t>
            </w:r>
          </w:p>
        </w:tc>
      </w:tr>
      <w:tr w14:paraId="61CB9F0D">
        <w:trPr>
          <w:tblCellSpacing w:w="15" w:type="dxa"/>
        </w:trPr>
        <w:tc>
          <w:tcPr>
            <w:tcW w:w="944" w:type="dxa"/>
            <w:shd w:val="clear" w:color="auto" w:fill="auto"/>
            <w:vAlign w:val="center"/>
          </w:tcPr>
          <w:p w14:paraId="43756B5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224415C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150</w:t>
            </w:r>
          </w:p>
        </w:tc>
        <w:tc>
          <w:tcPr>
            <w:tcW w:w="1365" w:type="dxa"/>
            <w:shd w:val="clear" w:color="auto" w:fill="auto"/>
            <w:vAlign w:val="center"/>
          </w:tcPr>
          <w:p w14:paraId="11C97A1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6068C62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022AB06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4C342B1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−0.857 (−1.941 to 0.453)</w:t>
            </w:r>
          </w:p>
        </w:tc>
      </w:tr>
      <w:tr w14:paraId="75C60E13">
        <w:trPr>
          <w:tblCellSpacing w:w="15" w:type="dxa"/>
        </w:trPr>
        <w:tc>
          <w:tcPr>
            <w:tcW w:w="944" w:type="dxa"/>
            <w:shd w:val="clear" w:color="auto" w:fill="auto"/>
            <w:vAlign w:val="center"/>
          </w:tcPr>
          <w:p w14:paraId="64501C2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56795AC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150</w:t>
            </w:r>
          </w:p>
        </w:tc>
        <w:tc>
          <w:tcPr>
            <w:tcW w:w="1365" w:type="dxa"/>
            <w:shd w:val="clear" w:color="auto" w:fill="auto"/>
            <w:vAlign w:val="center"/>
          </w:tcPr>
          <w:p w14:paraId="5841D49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58D09C4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Slope</w:t>
            </w:r>
          </w:p>
        </w:tc>
        <w:tc>
          <w:tcPr>
            <w:tcW w:w="1013" w:type="dxa"/>
            <w:shd w:val="clear" w:color="auto" w:fill="auto"/>
            <w:vAlign w:val="center"/>
          </w:tcPr>
          <w:p w14:paraId="0C2421A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6AE2CA2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1.267 (−2.788 to 6.251)</w:t>
            </w:r>
          </w:p>
        </w:tc>
      </w:tr>
      <w:tr w14:paraId="0E81402B">
        <w:trPr>
          <w:tblCellSpacing w:w="15" w:type="dxa"/>
        </w:trPr>
        <w:tc>
          <w:tcPr>
            <w:tcW w:w="944" w:type="dxa"/>
            <w:shd w:val="clear" w:color="auto" w:fill="auto"/>
            <w:vAlign w:val="center"/>
          </w:tcPr>
          <w:p w14:paraId="3BB8AE3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4277629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1365" w:type="dxa"/>
            <w:shd w:val="clear" w:color="auto" w:fill="auto"/>
            <w:vAlign w:val="center"/>
          </w:tcPr>
          <w:p w14:paraId="3C8724E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045" w:type="dxa"/>
            <w:shd w:val="clear" w:color="auto" w:fill="auto"/>
            <w:vAlign w:val="center"/>
          </w:tcPr>
          <w:p w14:paraId="0BD0416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306CA18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7C747C3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−0.914 (−0.919 to −0.910)</w:t>
            </w:r>
          </w:p>
        </w:tc>
      </w:tr>
      <w:tr w14:paraId="1A0D0539">
        <w:trPr>
          <w:tblCellSpacing w:w="15" w:type="dxa"/>
        </w:trPr>
        <w:tc>
          <w:tcPr>
            <w:tcW w:w="944" w:type="dxa"/>
            <w:shd w:val="clear" w:color="auto" w:fill="auto"/>
            <w:vAlign w:val="center"/>
          </w:tcPr>
          <w:p w14:paraId="26CC59E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3538F8A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1365" w:type="dxa"/>
            <w:shd w:val="clear" w:color="auto" w:fill="auto"/>
            <w:vAlign w:val="center"/>
          </w:tcPr>
          <w:p w14:paraId="2E5D60F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4651ACC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15747EB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5C2B71F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−0.870 (−1.647 to −0.093)</w:t>
            </w:r>
          </w:p>
        </w:tc>
      </w:tr>
      <w:tr w14:paraId="6F1560C4">
        <w:trPr>
          <w:tblCellSpacing w:w="15" w:type="dxa"/>
        </w:trPr>
        <w:tc>
          <w:tcPr>
            <w:tcW w:w="944" w:type="dxa"/>
            <w:shd w:val="clear" w:color="auto" w:fill="auto"/>
            <w:vAlign w:val="center"/>
          </w:tcPr>
          <w:p w14:paraId="43E2D2D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560C354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1365" w:type="dxa"/>
            <w:shd w:val="clear" w:color="auto" w:fill="auto"/>
            <w:vAlign w:val="center"/>
          </w:tcPr>
          <w:p w14:paraId="4CECD6C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044461B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Slope</w:t>
            </w:r>
          </w:p>
        </w:tc>
        <w:tc>
          <w:tcPr>
            <w:tcW w:w="1013" w:type="dxa"/>
            <w:shd w:val="clear" w:color="auto" w:fill="auto"/>
            <w:vAlign w:val="center"/>
          </w:tcPr>
          <w:p w14:paraId="5A8A7A0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52ADDF0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1.174 (−1.738 to 4.147)</w:t>
            </w:r>
          </w:p>
        </w:tc>
      </w:tr>
      <w:tr w14:paraId="60375D90">
        <w:trPr>
          <w:tblCellSpacing w:w="15" w:type="dxa"/>
        </w:trPr>
        <w:tc>
          <w:tcPr>
            <w:tcW w:w="944" w:type="dxa"/>
            <w:shd w:val="clear" w:color="auto" w:fill="auto"/>
            <w:vAlign w:val="center"/>
          </w:tcPr>
          <w:p w14:paraId="006C84D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3652370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1365" w:type="dxa"/>
            <w:shd w:val="clear" w:color="auto" w:fill="auto"/>
            <w:vAlign w:val="center"/>
          </w:tcPr>
          <w:p w14:paraId="7645FF9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045" w:type="dxa"/>
            <w:shd w:val="clear" w:color="auto" w:fill="auto"/>
            <w:vAlign w:val="center"/>
          </w:tcPr>
          <w:p w14:paraId="5EEBEC8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λ</w:t>
            </w:r>
          </w:p>
        </w:tc>
        <w:tc>
          <w:tcPr>
            <w:tcW w:w="1013" w:type="dxa"/>
            <w:shd w:val="clear" w:color="auto" w:fill="auto"/>
            <w:vAlign w:val="center"/>
          </w:tcPr>
          <w:p w14:paraId="4710608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79BD332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35.720 (0.327–68.279)</w:t>
            </w:r>
          </w:p>
        </w:tc>
      </w:tr>
      <w:tr w14:paraId="676DF64E">
        <w:trPr>
          <w:tblCellSpacing w:w="15" w:type="dxa"/>
        </w:trPr>
        <w:tc>
          <w:tcPr>
            <w:tcW w:w="944" w:type="dxa"/>
            <w:shd w:val="clear" w:color="auto" w:fill="auto"/>
            <w:vAlign w:val="center"/>
          </w:tcPr>
          <w:p w14:paraId="0B1D000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71F4FB8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1365" w:type="dxa"/>
            <w:shd w:val="clear" w:color="auto" w:fill="auto"/>
            <w:vAlign w:val="center"/>
          </w:tcPr>
          <w:p w14:paraId="2FDD784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045" w:type="dxa"/>
            <w:shd w:val="clear" w:color="auto" w:fill="auto"/>
            <w:vAlign w:val="center"/>
          </w:tcPr>
          <w:p w14:paraId="650B9DC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Maximum absolute coefficient change</w:t>
            </w:r>
          </w:p>
        </w:tc>
        <w:tc>
          <w:tcPr>
            <w:tcW w:w="1013" w:type="dxa"/>
            <w:shd w:val="clear" w:color="auto" w:fill="auto"/>
            <w:vAlign w:val="center"/>
          </w:tcPr>
          <w:p w14:paraId="14C9287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17FB854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0.014 (0.001–0.118)</w:t>
            </w:r>
          </w:p>
        </w:tc>
      </w:tr>
      <w:tr w14:paraId="7C2833A2">
        <w:trPr>
          <w:tblCellSpacing w:w="15" w:type="dxa"/>
        </w:trPr>
        <w:tc>
          <w:tcPr>
            <w:tcW w:w="944" w:type="dxa"/>
            <w:shd w:val="clear" w:color="auto" w:fill="auto"/>
            <w:vAlign w:val="center"/>
          </w:tcPr>
          <w:p w14:paraId="7A12A87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5C10F49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1365" w:type="dxa"/>
            <w:shd w:val="clear" w:color="auto" w:fill="auto"/>
            <w:vAlign w:val="center"/>
          </w:tcPr>
          <w:p w14:paraId="5B97A78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045" w:type="dxa"/>
            <w:shd w:val="clear" w:color="auto" w:fill="auto"/>
            <w:vAlign w:val="center"/>
          </w:tcPr>
          <w:p w14:paraId="65ACC57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507682B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26F9FC9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−0.920 (−0.923 to −0.916)</w:t>
            </w:r>
          </w:p>
        </w:tc>
      </w:tr>
      <w:tr w14:paraId="08D53F2C">
        <w:trPr>
          <w:tblCellSpacing w:w="15" w:type="dxa"/>
        </w:trPr>
        <w:tc>
          <w:tcPr>
            <w:tcW w:w="944" w:type="dxa"/>
            <w:shd w:val="clear" w:color="auto" w:fill="auto"/>
            <w:vAlign w:val="center"/>
          </w:tcPr>
          <w:p w14:paraId="799394C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2656E4D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1365" w:type="dxa"/>
            <w:shd w:val="clear" w:color="auto" w:fill="auto"/>
            <w:vAlign w:val="center"/>
          </w:tcPr>
          <w:p w14:paraId="5E409F0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2D56F06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1744E49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4194C74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−0.887 (−1.446 to −0.310)</w:t>
            </w:r>
          </w:p>
        </w:tc>
      </w:tr>
      <w:tr w14:paraId="11105178">
        <w:trPr>
          <w:tblCellSpacing w:w="15" w:type="dxa"/>
        </w:trPr>
        <w:tc>
          <w:tcPr>
            <w:tcW w:w="944" w:type="dxa"/>
            <w:shd w:val="clear" w:color="auto" w:fill="auto"/>
            <w:vAlign w:val="center"/>
          </w:tcPr>
          <w:p w14:paraId="3BC477B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797FF16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1365" w:type="dxa"/>
            <w:shd w:val="clear" w:color="auto" w:fill="auto"/>
            <w:vAlign w:val="center"/>
          </w:tcPr>
          <w:p w14:paraId="2237738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313F932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Slope</w:t>
            </w:r>
          </w:p>
        </w:tc>
        <w:tc>
          <w:tcPr>
            <w:tcW w:w="1013" w:type="dxa"/>
            <w:shd w:val="clear" w:color="auto" w:fill="auto"/>
            <w:vAlign w:val="center"/>
          </w:tcPr>
          <w:p w14:paraId="550D622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62FC520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1.124 (−0.980 to 3.298)</w:t>
            </w:r>
          </w:p>
        </w:tc>
      </w:tr>
      <w:tr w14:paraId="33A5454F">
        <w:trPr>
          <w:tblCellSpacing w:w="15" w:type="dxa"/>
        </w:trPr>
        <w:tc>
          <w:tcPr>
            <w:tcW w:w="944" w:type="dxa"/>
            <w:shd w:val="clear" w:color="auto" w:fill="auto"/>
            <w:vAlign w:val="center"/>
          </w:tcPr>
          <w:p w14:paraId="54180F1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5B07F17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1365" w:type="dxa"/>
            <w:shd w:val="clear" w:color="auto" w:fill="auto"/>
            <w:vAlign w:val="center"/>
          </w:tcPr>
          <w:p w14:paraId="24759E0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045" w:type="dxa"/>
            <w:shd w:val="clear" w:color="auto" w:fill="auto"/>
            <w:vAlign w:val="center"/>
          </w:tcPr>
          <w:p w14:paraId="0E3351C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λ</w:t>
            </w:r>
          </w:p>
        </w:tc>
        <w:tc>
          <w:tcPr>
            <w:tcW w:w="1013" w:type="dxa"/>
            <w:shd w:val="clear" w:color="auto" w:fill="auto"/>
            <w:vAlign w:val="center"/>
          </w:tcPr>
          <w:p w14:paraId="056E554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50F76CD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25.286 (0.250–58.822)</w:t>
            </w:r>
          </w:p>
        </w:tc>
      </w:tr>
      <w:tr w14:paraId="0D47E355">
        <w:trPr>
          <w:tblCellSpacing w:w="15" w:type="dxa"/>
        </w:trPr>
        <w:tc>
          <w:tcPr>
            <w:tcW w:w="944" w:type="dxa"/>
            <w:shd w:val="clear" w:color="auto" w:fill="auto"/>
            <w:vAlign w:val="center"/>
          </w:tcPr>
          <w:p w14:paraId="75B4B00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1</w:t>
            </w:r>
          </w:p>
        </w:tc>
        <w:tc>
          <w:tcPr>
            <w:tcW w:w="896" w:type="dxa"/>
            <w:shd w:val="clear" w:color="auto" w:fill="auto"/>
            <w:vAlign w:val="center"/>
          </w:tcPr>
          <w:p w14:paraId="7346AEB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1365" w:type="dxa"/>
            <w:shd w:val="clear" w:color="auto" w:fill="auto"/>
            <w:vAlign w:val="center"/>
          </w:tcPr>
          <w:p w14:paraId="547320A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045" w:type="dxa"/>
            <w:shd w:val="clear" w:color="auto" w:fill="auto"/>
            <w:vAlign w:val="center"/>
          </w:tcPr>
          <w:p w14:paraId="6BE1FDC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Maximum absolute coefficient change</w:t>
            </w:r>
          </w:p>
        </w:tc>
        <w:tc>
          <w:tcPr>
            <w:tcW w:w="1013" w:type="dxa"/>
            <w:shd w:val="clear" w:color="auto" w:fill="auto"/>
            <w:vAlign w:val="center"/>
          </w:tcPr>
          <w:p w14:paraId="57E440A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5BA78E1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0.022 (0.001–0.121)</w:t>
            </w:r>
          </w:p>
        </w:tc>
      </w:tr>
      <w:tr w14:paraId="36649BE8">
        <w:trPr>
          <w:tblCellSpacing w:w="15" w:type="dxa"/>
        </w:trPr>
        <w:tc>
          <w:tcPr>
            <w:tcW w:w="944" w:type="dxa"/>
            <w:shd w:val="clear" w:color="auto" w:fill="auto"/>
            <w:vAlign w:val="center"/>
          </w:tcPr>
          <w:p w14:paraId="07E2233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0E7C365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50</w:t>
            </w:r>
          </w:p>
        </w:tc>
        <w:tc>
          <w:tcPr>
            <w:tcW w:w="1365" w:type="dxa"/>
            <w:shd w:val="clear" w:color="auto" w:fill="auto"/>
            <w:vAlign w:val="center"/>
          </w:tcPr>
          <w:p w14:paraId="0E55ED6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045" w:type="dxa"/>
            <w:shd w:val="clear" w:color="auto" w:fill="auto"/>
            <w:vAlign w:val="center"/>
          </w:tcPr>
          <w:p w14:paraId="7D5B4E0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3103AC0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4A0A24C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−0.838 (−0.839 to −0.838)</w:t>
            </w:r>
          </w:p>
        </w:tc>
      </w:tr>
      <w:tr w14:paraId="6D37B406">
        <w:trPr>
          <w:tblCellSpacing w:w="15" w:type="dxa"/>
        </w:trPr>
        <w:tc>
          <w:tcPr>
            <w:tcW w:w="944" w:type="dxa"/>
            <w:shd w:val="clear" w:color="auto" w:fill="auto"/>
            <w:vAlign w:val="center"/>
          </w:tcPr>
          <w:p w14:paraId="2DB2CD6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24A4251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w:t>
            </w:r>
          </w:p>
        </w:tc>
        <w:tc>
          <w:tcPr>
            <w:tcW w:w="1365" w:type="dxa"/>
            <w:shd w:val="clear" w:color="auto" w:fill="auto"/>
            <w:vAlign w:val="center"/>
          </w:tcPr>
          <w:p w14:paraId="4120CE6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045" w:type="dxa"/>
            <w:shd w:val="clear" w:color="auto" w:fill="auto"/>
            <w:vAlign w:val="center"/>
          </w:tcPr>
          <w:p w14:paraId="1D4345C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4199BC1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2917B43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−0.894 (−0.894 to −0.894)</w:t>
            </w:r>
          </w:p>
        </w:tc>
      </w:tr>
      <w:tr w14:paraId="36BF9919">
        <w:trPr>
          <w:tblCellSpacing w:w="15" w:type="dxa"/>
        </w:trPr>
        <w:tc>
          <w:tcPr>
            <w:tcW w:w="944" w:type="dxa"/>
            <w:shd w:val="clear" w:color="auto" w:fill="auto"/>
            <w:vAlign w:val="center"/>
          </w:tcPr>
          <w:p w14:paraId="2F4B2C4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3643AC7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100</w:t>
            </w:r>
          </w:p>
        </w:tc>
        <w:tc>
          <w:tcPr>
            <w:tcW w:w="1365" w:type="dxa"/>
            <w:shd w:val="clear" w:color="auto" w:fill="auto"/>
            <w:vAlign w:val="center"/>
          </w:tcPr>
          <w:p w14:paraId="23ECE48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66343A3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13" w:type="dxa"/>
            <w:shd w:val="clear" w:color="auto" w:fill="auto"/>
            <w:vAlign w:val="center"/>
          </w:tcPr>
          <w:p w14:paraId="4EDE6F4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0/250</w:t>
            </w:r>
          </w:p>
        </w:tc>
        <w:tc>
          <w:tcPr>
            <w:tcW w:w="2722" w:type="dxa"/>
            <w:shd w:val="clear" w:color="auto" w:fill="auto"/>
            <w:vAlign w:val="center"/>
          </w:tcPr>
          <w:p w14:paraId="76D7022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r>
      <w:tr w14:paraId="7DB1C389">
        <w:trPr>
          <w:tblCellSpacing w:w="15" w:type="dxa"/>
        </w:trPr>
        <w:tc>
          <w:tcPr>
            <w:tcW w:w="944" w:type="dxa"/>
            <w:shd w:val="clear" w:color="auto" w:fill="auto"/>
            <w:vAlign w:val="center"/>
          </w:tcPr>
          <w:p w14:paraId="7D26A77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29794FB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150</w:t>
            </w:r>
          </w:p>
        </w:tc>
        <w:tc>
          <w:tcPr>
            <w:tcW w:w="1365" w:type="dxa"/>
            <w:shd w:val="clear" w:color="auto" w:fill="auto"/>
            <w:vAlign w:val="center"/>
          </w:tcPr>
          <w:p w14:paraId="2DA973C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045" w:type="dxa"/>
            <w:shd w:val="clear" w:color="auto" w:fill="auto"/>
            <w:vAlign w:val="center"/>
          </w:tcPr>
          <w:p w14:paraId="630BA50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3ADE297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028C351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−0.875 (−0.875 to −0.875)</w:t>
            </w:r>
          </w:p>
        </w:tc>
      </w:tr>
      <w:tr w14:paraId="3C508FBA">
        <w:trPr>
          <w:tblCellSpacing w:w="15" w:type="dxa"/>
        </w:trPr>
        <w:tc>
          <w:tcPr>
            <w:tcW w:w="944" w:type="dxa"/>
            <w:shd w:val="clear" w:color="auto" w:fill="auto"/>
            <w:vAlign w:val="center"/>
          </w:tcPr>
          <w:p w14:paraId="1633EC9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1E2352E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150</w:t>
            </w:r>
          </w:p>
        </w:tc>
        <w:tc>
          <w:tcPr>
            <w:tcW w:w="1365" w:type="dxa"/>
            <w:shd w:val="clear" w:color="auto" w:fill="auto"/>
            <w:vAlign w:val="center"/>
          </w:tcPr>
          <w:p w14:paraId="63E5163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1D3DEFD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13" w:type="dxa"/>
            <w:shd w:val="clear" w:color="auto" w:fill="auto"/>
            <w:vAlign w:val="center"/>
          </w:tcPr>
          <w:p w14:paraId="1A2BA27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0/250</w:t>
            </w:r>
          </w:p>
        </w:tc>
        <w:tc>
          <w:tcPr>
            <w:tcW w:w="2722" w:type="dxa"/>
            <w:shd w:val="clear" w:color="auto" w:fill="auto"/>
            <w:vAlign w:val="center"/>
          </w:tcPr>
          <w:p w14:paraId="6FA5A1E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r>
      <w:tr w14:paraId="72A86C49">
        <w:trPr>
          <w:tblCellSpacing w:w="15" w:type="dxa"/>
        </w:trPr>
        <w:tc>
          <w:tcPr>
            <w:tcW w:w="944" w:type="dxa"/>
            <w:shd w:val="clear" w:color="auto" w:fill="auto"/>
            <w:vAlign w:val="center"/>
          </w:tcPr>
          <w:p w14:paraId="0A70FDD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536312A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1365" w:type="dxa"/>
            <w:shd w:val="clear" w:color="auto" w:fill="auto"/>
            <w:vAlign w:val="center"/>
          </w:tcPr>
          <w:p w14:paraId="354E5A8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045" w:type="dxa"/>
            <w:shd w:val="clear" w:color="auto" w:fill="auto"/>
            <w:vAlign w:val="center"/>
          </w:tcPr>
          <w:p w14:paraId="0425C9D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1BE126B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174E34A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−0.866 (−0.866 to −0.866)</w:t>
            </w:r>
          </w:p>
        </w:tc>
      </w:tr>
      <w:tr w14:paraId="57DA811C">
        <w:trPr>
          <w:tblCellSpacing w:w="15" w:type="dxa"/>
        </w:trPr>
        <w:tc>
          <w:tcPr>
            <w:tcW w:w="944" w:type="dxa"/>
            <w:shd w:val="clear" w:color="auto" w:fill="auto"/>
            <w:vAlign w:val="center"/>
          </w:tcPr>
          <w:p w14:paraId="52A83E4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3256114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1365" w:type="dxa"/>
            <w:shd w:val="clear" w:color="auto" w:fill="auto"/>
            <w:vAlign w:val="center"/>
          </w:tcPr>
          <w:p w14:paraId="710877F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48741DE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13" w:type="dxa"/>
            <w:shd w:val="clear" w:color="auto" w:fill="auto"/>
            <w:vAlign w:val="center"/>
          </w:tcPr>
          <w:p w14:paraId="687BF18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0/250</w:t>
            </w:r>
          </w:p>
        </w:tc>
        <w:tc>
          <w:tcPr>
            <w:tcW w:w="2722" w:type="dxa"/>
            <w:shd w:val="clear" w:color="auto" w:fill="auto"/>
            <w:vAlign w:val="center"/>
          </w:tcPr>
          <w:p w14:paraId="760BE9F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r>
      <w:tr w14:paraId="232B7DA1">
        <w:trPr>
          <w:tblCellSpacing w:w="15" w:type="dxa"/>
        </w:trPr>
        <w:tc>
          <w:tcPr>
            <w:tcW w:w="944" w:type="dxa"/>
            <w:shd w:val="clear" w:color="auto" w:fill="auto"/>
            <w:vAlign w:val="center"/>
          </w:tcPr>
          <w:p w14:paraId="6AEF820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7847A75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1365" w:type="dxa"/>
            <w:shd w:val="clear" w:color="auto" w:fill="auto"/>
            <w:vAlign w:val="center"/>
          </w:tcPr>
          <w:p w14:paraId="65BA6D1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045" w:type="dxa"/>
            <w:shd w:val="clear" w:color="auto" w:fill="auto"/>
            <w:vAlign w:val="center"/>
          </w:tcPr>
          <w:p w14:paraId="5F03AB1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λ</w:t>
            </w:r>
          </w:p>
        </w:tc>
        <w:tc>
          <w:tcPr>
            <w:tcW w:w="1013" w:type="dxa"/>
            <w:shd w:val="clear" w:color="auto" w:fill="auto"/>
            <w:vAlign w:val="center"/>
          </w:tcPr>
          <w:p w14:paraId="155A8AE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6675FB8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34.322 (0.266–67.824)</w:t>
            </w:r>
          </w:p>
        </w:tc>
      </w:tr>
      <w:tr w14:paraId="724EB13E">
        <w:trPr>
          <w:tblCellSpacing w:w="15" w:type="dxa"/>
        </w:trPr>
        <w:tc>
          <w:tcPr>
            <w:tcW w:w="944" w:type="dxa"/>
            <w:shd w:val="clear" w:color="auto" w:fill="auto"/>
            <w:vAlign w:val="center"/>
          </w:tcPr>
          <w:p w14:paraId="6FE9CEC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15633EE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200</w:t>
            </w:r>
          </w:p>
        </w:tc>
        <w:tc>
          <w:tcPr>
            <w:tcW w:w="1365" w:type="dxa"/>
            <w:shd w:val="clear" w:color="auto" w:fill="auto"/>
            <w:vAlign w:val="center"/>
          </w:tcPr>
          <w:p w14:paraId="5783BDD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045" w:type="dxa"/>
            <w:shd w:val="clear" w:color="auto" w:fill="auto"/>
            <w:vAlign w:val="center"/>
          </w:tcPr>
          <w:p w14:paraId="250B97B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Maximum absolute coefficient change</w:t>
            </w:r>
          </w:p>
        </w:tc>
        <w:tc>
          <w:tcPr>
            <w:tcW w:w="1013" w:type="dxa"/>
            <w:shd w:val="clear" w:color="auto" w:fill="auto"/>
            <w:vAlign w:val="center"/>
          </w:tcPr>
          <w:p w14:paraId="22633BB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44583AF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0.020 (0.001–0.137)</w:t>
            </w:r>
          </w:p>
        </w:tc>
      </w:tr>
      <w:tr w14:paraId="2724FCD5">
        <w:trPr>
          <w:tblCellSpacing w:w="15" w:type="dxa"/>
        </w:trPr>
        <w:tc>
          <w:tcPr>
            <w:tcW w:w="944" w:type="dxa"/>
            <w:shd w:val="clear" w:color="auto" w:fill="auto"/>
            <w:vAlign w:val="center"/>
          </w:tcPr>
          <w:p w14:paraId="7700BA3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3248BE1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1365" w:type="dxa"/>
            <w:shd w:val="clear" w:color="auto" w:fill="auto"/>
            <w:vAlign w:val="center"/>
          </w:tcPr>
          <w:p w14:paraId="0E3D598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only</w:t>
            </w:r>
          </w:p>
        </w:tc>
        <w:tc>
          <w:tcPr>
            <w:tcW w:w="1045" w:type="dxa"/>
            <w:shd w:val="clear" w:color="auto" w:fill="auto"/>
            <w:vAlign w:val="center"/>
          </w:tcPr>
          <w:p w14:paraId="1D4C913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1013" w:type="dxa"/>
            <w:shd w:val="clear" w:color="auto" w:fill="auto"/>
            <w:vAlign w:val="center"/>
          </w:tcPr>
          <w:p w14:paraId="2C3B502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633D0C9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−0.871 (−0.871 to −0.871)</w:t>
            </w:r>
          </w:p>
        </w:tc>
      </w:tr>
      <w:tr w14:paraId="2DF18273">
        <w:trPr>
          <w:tblCellSpacing w:w="15" w:type="dxa"/>
        </w:trPr>
        <w:tc>
          <w:tcPr>
            <w:tcW w:w="944" w:type="dxa"/>
            <w:shd w:val="clear" w:color="auto" w:fill="auto"/>
            <w:vAlign w:val="center"/>
          </w:tcPr>
          <w:p w14:paraId="7100724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381C862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1365" w:type="dxa"/>
            <w:shd w:val="clear" w:color="auto" w:fill="auto"/>
            <w:vAlign w:val="center"/>
          </w:tcPr>
          <w:p w14:paraId="21AD50D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45" w:type="dxa"/>
            <w:shd w:val="clear" w:color="auto" w:fill="auto"/>
            <w:vAlign w:val="center"/>
          </w:tcPr>
          <w:p w14:paraId="65E78FA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 and slope</w:t>
            </w:r>
          </w:p>
        </w:tc>
        <w:tc>
          <w:tcPr>
            <w:tcW w:w="1013" w:type="dxa"/>
            <w:shd w:val="clear" w:color="auto" w:fill="auto"/>
            <w:vAlign w:val="center"/>
          </w:tcPr>
          <w:p w14:paraId="23C9289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0/250</w:t>
            </w:r>
          </w:p>
        </w:tc>
        <w:tc>
          <w:tcPr>
            <w:tcW w:w="2722" w:type="dxa"/>
            <w:shd w:val="clear" w:color="auto" w:fill="auto"/>
            <w:vAlign w:val="center"/>
          </w:tcPr>
          <w:p w14:paraId="131DB0B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NE</w:t>
            </w:r>
          </w:p>
        </w:tc>
      </w:tr>
      <w:tr w14:paraId="35BA06F9">
        <w:trPr>
          <w:tblCellSpacing w:w="15" w:type="dxa"/>
        </w:trPr>
        <w:tc>
          <w:tcPr>
            <w:tcW w:w="944" w:type="dxa"/>
            <w:shd w:val="clear" w:color="auto" w:fill="auto"/>
            <w:vAlign w:val="center"/>
          </w:tcPr>
          <w:p w14:paraId="2E355C7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shd w:val="clear" w:color="auto" w:fill="auto"/>
            <w:vAlign w:val="center"/>
          </w:tcPr>
          <w:p w14:paraId="521228F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1365" w:type="dxa"/>
            <w:shd w:val="clear" w:color="auto" w:fill="auto"/>
            <w:vAlign w:val="center"/>
          </w:tcPr>
          <w:p w14:paraId="0A89713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045" w:type="dxa"/>
            <w:shd w:val="clear" w:color="auto" w:fill="auto"/>
            <w:vAlign w:val="center"/>
          </w:tcPr>
          <w:p w14:paraId="735CBC2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λ</w:t>
            </w:r>
          </w:p>
        </w:tc>
        <w:tc>
          <w:tcPr>
            <w:tcW w:w="1013" w:type="dxa"/>
            <w:shd w:val="clear" w:color="auto" w:fill="auto"/>
            <w:vAlign w:val="center"/>
          </w:tcPr>
          <w:p w14:paraId="3F60454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shd w:val="clear" w:color="auto" w:fill="auto"/>
            <w:vAlign w:val="center"/>
          </w:tcPr>
          <w:p w14:paraId="365AF04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26.045 (0.233–54.306)</w:t>
            </w:r>
          </w:p>
        </w:tc>
      </w:tr>
      <w:tr w14:paraId="2EE16736">
        <w:trPr>
          <w:tblCellSpacing w:w="15" w:type="dxa"/>
        </w:trPr>
        <w:tc>
          <w:tcPr>
            <w:tcW w:w="944" w:type="dxa"/>
            <w:tcBorders>
              <w:bottom w:val="single" w:color="000000" w:sz="4" w:space="0"/>
            </w:tcBorders>
            <w:shd w:val="clear" w:color="auto" w:fill="auto"/>
            <w:vAlign w:val="center"/>
          </w:tcPr>
          <w:p w14:paraId="287221B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Model 2</w:t>
            </w:r>
          </w:p>
        </w:tc>
        <w:tc>
          <w:tcPr>
            <w:tcW w:w="896" w:type="dxa"/>
            <w:tcBorders>
              <w:bottom w:val="single" w:color="000000" w:sz="4" w:space="0"/>
            </w:tcBorders>
            <w:shd w:val="clear" w:color="auto" w:fill="auto"/>
            <w:vAlign w:val="center"/>
          </w:tcPr>
          <w:p w14:paraId="121F55F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235</w:t>
            </w:r>
          </w:p>
        </w:tc>
        <w:tc>
          <w:tcPr>
            <w:tcW w:w="1365" w:type="dxa"/>
            <w:tcBorders>
              <w:bottom w:val="single" w:color="000000" w:sz="4" w:space="0"/>
            </w:tcBorders>
            <w:shd w:val="clear" w:color="auto" w:fill="auto"/>
            <w:vAlign w:val="center"/>
          </w:tcPr>
          <w:p w14:paraId="3AC1E38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Ridge coefficient revision</w:t>
            </w:r>
          </w:p>
        </w:tc>
        <w:tc>
          <w:tcPr>
            <w:tcW w:w="1045" w:type="dxa"/>
            <w:tcBorders>
              <w:bottom w:val="single" w:color="000000" w:sz="4" w:space="0"/>
            </w:tcBorders>
            <w:shd w:val="clear" w:color="auto" w:fill="auto"/>
            <w:vAlign w:val="center"/>
          </w:tcPr>
          <w:p w14:paraId="2148E62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Maximum absolute coefficient change</w:t>
            </w:r>
          </w:p>
        </w:tc>
        <w:tc>
          <w:tcPr>
            <w:tcW w:w="1013" w:type="dxa"/>
            <w:tcBorders>
              <w:bottom w:val="single" w:color="000000" w:sz="4" w:space="0"/>
            </w:tcBorders>
            <w:shd w:val="clear" w:color="auto" w:fill="auto"/>
            <w:vAlign w:val="center"/>
          </w:tcPr>
          <w:p w14:paraId="4B8E8D3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250/250</w:t>
            </w:r>
          </w:p>
        </w:tc>
        <w:tc>
          <w:tcPr>
            <w:tcW w:w="2722" w:type="dxa"/>
            <w:tcBorders>
              <w:bottom w:val="single" w:color="000000" w:sz="4" w:space="0"/>
            </w:tcBorders>
            <w:shd w:val="clear" w:color="auto" w:fill="auto"/>
            <w:vAlign w:val="center"/>
          </w:tcPr>
          <w:p w14:paraId="4EAAC63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0.024 (0.001–0.149)</w:t>
            </w:r>
          </w:p>
        </w:tc>
      </w:tr>
    </w:tbl>
    <w:p w14:paraId="3814E5FD">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Values summarize outer-fold parameter estimates. NE, nonestimable.</w:t>
      </w:r>
    </w:p>
    <w:p w14:paraId="67B3A1AC">
      <w:pPr>
        <w:pStyle w:val="2"/>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Supplementary File S3. Specification of the Frozen VATS Prediction Models</w:t>
      </w:r>
    </w:p>
    <w:p w14:paraId="2EB64414">
      <w:pPr>
        <w:pStyle w:val="9"/>
        <w:keepNext w:val="0"/>
        <w:keepLines w:val="0"/>
        <w:widowControl/>
        <w:suppressLineNumbers w:val="0"/>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rPr>
        <w:t>This supplementary file provides the information required to reproduce the predicted probabilities generated by the two primary VATS models evaluated in the main manuscript. It forms part of the same study and does not describe a separate investigation.</w:t>
      </w:r>
      <w:r>
        <w:rPr>
          <w:rFonts w:hint="default" w:ascii="Times New Roman Regular" w:hAnsi="Times New Roman Regular" w:cs="Times New Roman Regular"/>
          <w:sz w:val="24"/>
          <w:szCs w:val="24"/>
          <w:lang w:val="en-US"/>
        </w:rPr>
        <w:t xml:space="preserve"> Reference numbers in this supplementary file correspond to the reference list in the main manuscript.</w:t>
      </w:r>
    </w:p>
    <w:p w14:paraId="4A416F23">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SF3.1 Status and origin of the frozen VATS models</w:t>
      </w:r>
    </w:p>
    <w:p w14:paraId="5EEF4848">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Both VATS prediction models were developed de novo for the present study and had not previously been published. Model 1 was a clinical ridge-penalized logistic-regression model, and Model 2 was a clinical-plus-computed-tomography (CT) ridge-penalized logistic-regression model.</w:t>
      </w:r>
    </w:p>
    <w:p w14:paraId="232318AC">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Before application to the esophagectomy cohort, the predictor definitions, variable-coding rules, preprocessing parameters, CT-composite formulas, ridge penalties, intercepts, coefficients, and probability-calculation procedures were frozen and archived. No target-cohort predictor selection, transformation modification, penalty tuning, coefficient estimation, or threshold optimization was performed before the locked evaluation.</w:t>
      </w:r>
    </w:p>
    <w:p w14:paraId="016C041B">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In this study, the term “frozen VATS score” refers to the predicted probability generated by one of these locked VATS models. It does not refer to a previously published clinical scoring system.</w:t>
      </w:r>
    </w:p>
    <w:p w14:paraId="321E2C83">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SF3.2 Clarification of the Brier score</w:t>
      </w:r>
    </w:p>
    <w:p w14:paraId="470BE752">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Brier score was not developed in this study and was not used as a predictor or patient-level clinical score. It is an established statistical measure of probabilistic prediction error [16,17]. For a binary outcome, it was calculated as:</w:t>
      </w:r>
    </w:p>
    <w:p w14:paraId="00889A6F">
      <w:pPr>
        <w:pStyle w:val="9"/>
        <w:keepNext w:val="0"/>
        <w:keepLines w:val="0"/>
        <w:widowControl/>
        <w:suppressLineNumbers w:val="0"/>
        <w:rPr>
          <w:rFonts w:hint="default" w:ascii="Times New Roman Regular" w:hAnsi="Times New Roman Regular" w:cs="Times New Roman Regular"/>
          <w:b w:val="0"/>
          <w:bCs w:val="0"/>
          <w:sz w:val="24"/>
          <w:szCs w:val="24"/>
        </w:rPr>
      </w:pPr>
      <w:r>
        <w:rPr>
          <w:rStyle w:val="10"/>
          <w:rFonts w:hint="default" w:ascii="Times New Roman Regular" w:hAnsi="Times New Roman Regular" w:cs="Times New Roman Regular"/>
          <w:b w:val="0"/>
          <w:bCs w:val="0"/>
          <w:sz w:val="24"/>
          <w:szCs w:val="24"/>
        </w:rPr>
        <w:t>Brier score = (1/n) Σ(yᵢ − pᵢ)²,</w:t>
      </w:r>
    </w:p>
    <w:p w14:paraId="7ABBC184">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where </w:t>
      </w:r>
      <w:r>
        <w:rPr>
          <w:rStyle w:val="7"/>
          <w:rFonts w:hint="default" w:ascii="Times New Roman Regular" w:hAnsi="Times New Roman Regular" w:cs="Times New Roman Regular"/>
          <w:sz w:val="24"/>
          <w:szCs w:val="24"/>
        </w:rPr>
        <w:t>n</w:t>
      </w:r>
      <w:r>
        <w:rPr>
          <w:rFonts w:hint="default" w:ascii="Times New Roman Regular" w:hAnsi="Times New Roman Regular" w:cs="Times New Roman Regular"/>
          <w:sz w:val="24"/>
          <w:szCs w:val="24"/>
        </w:rPr>
        <w:t xml:space="preserve"> is the number of patients, </w:t>
      </w:r>
      <w:r>
        <w:rPr>
          <w:rStyle w:val="7"/>
          <w:rFonts w:hint="default" w:ascii="Times New Roman Regular" w:hAnsi="Times New Roman Regular" w:cs="Times New Roman Regular"/>
          <w:sz w:val="24"/>
          <w:szCs w:val="24"/>
        </w:rPr>
        <w:t>yᵢ</w:t>
      </w:r>
      <w:r>
        <w:rPr>
          <w:rFonts w:hint="default" w:ascii="Times New Roman Regular" w:hAnsi="Times New Roman Regular" w:cs="Times New Roman Regular"/>
          <w:sz w:val="24"/>
          <w:szCs w:val="24"/>
        </w:rPr>
        <w:t xml:space="preserve"> is the observed binary outcome for patient </w:t>
      </w:r>
      <w:r>
        <w:rPr>
          <w:rStyle w:val="7"/>
          <w:rFonts w:hint="default" w:ascii="Times New Roman Regular" w:hAnsi="Times New Roman Regular" w:cs="Times New Roman Regular"/>
          <w:sz w:val="24"/>
          <w:szCs w:val="24"/>
        </w:rPr>
        <w:t>i</w:t>
      </w:r>
      <w:r>
        <w:rPr>
          <w:rFonts w:hint="default" w:ascii="Times New Roman Regular" w:hAnsi="Times New Roman Regular" w:cs="Times New Roman Regular"/>
          <w:sz w:val="24"/>
          <w:szCs w:val="24"/>
        </w:rPr>
        <w:t xml:space="preserve">, and </w:t>
      </w:r>
      <w:r>
        <w:rPr>
          <w:rStyle w:val="7"/>
          <w:rFonts w:hint="default" w:ascii="Times New Roman Regular" w:hAnsi="Times New Roman Regular" w:cs="Times New Roman Regular"/>
          <w:sz w:val="24"/>
          <w:szCs w:val="24"/>
        </w:rPr>
        <w:t>pᵢ</w:t>
      </w:r>
      <w:r>
        <w:rPr>
          <w:rFonts w:hint="default" w:ascii="Times New Roman Regular" w:hAnsi="Times New Roman Regular" w:cs="Times New Roman Regular"/>
          <w:sz w:val="24"/>
          <w:szCs w:val="24"/>
        </w:rPr>
        <w:t xml:space="preserve"> is the corresponding predicted probability. Lower Brier scores indicate smaller average squared differences between observed outcomes and predicted probabilities.</w:t>
      </w:r>
    </w:p>
    <w:p w14:paraId="0E8182D1">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SF3.3 Source-model outcome</w:t>
      </w:r>
    </w:p>
    <w:p w14:paraId="5986D598">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two models were developed to estimate the probability of procedure-specific prolonged postoperative length of stay (LOS) after video-assisted thoracoscopic surgery (VATS). The source outcome was coded as:</w:t>
      </w:r>
    </w:p>
    <w:p w14:paraId="71ECA327">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Style w:val="10"/>
          <w:rFonts w:hint="default" w:ascii="Times New Roman Regular" w:hAnsi="Times New Roman Regular" w:cs="Times New Roman Regular"/>
          <w:sz w:val="24"/>
          <w:szCs w:val="24"/>
        </w:rPr>
        <w:t>0:</w:t>
      </w:r>
      <w:r>
        <w:rPr>
          <w:rFonts w:hint="default" w:ascii="Times New Roman Regular" w:hAnsi="Times New Roman Regular" w:cs="Times New Roman Regular"/>
          <w:sz w:val="24"/>
          <w:szCs w:val="24"/>
        </w:rPr>
        <w:t xml:space="preserve"> postoperative LOS of 7 days or less.</w:t>
      </w:r>
    </w:p>
    <w:p w14:paraId="00B39FB0">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Style w:val="10"/>
          <w:rFonts w:hint="default" w:ascii="Times New Roman Regular" w:hAnsi="Times New Roman Regular" w:cs="Times New Roman Regular"/>
          <w:sz w:val="24"/>
          <w:szCs w:val="24"/>
        </w:rPr>
        <w:t>1:</w:t>
      </w:r>
      <w:r>
        <w:rPr>
          <w:rFonts w:hint="default" w:ascii="Times New Roman Regular" w:hAnsi="Times New Roman Regular" w:cs="Times New Roman Regular"/>
          <w:sz w:val="24"/>
          <w:szCs w:val="24"/>
        </w:rPr>
        <w:t xml:space="preserve"> postoperative LOS longer than 7 days.</w:t>
      </w:r>
    </w:p>
    <w:p w14:paraId="6B82FF59">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VATS development cohort contained 301 patients, including 127 patients with prolonged LOS.</w:t>
      </w:r>
    </w:p>
    <w:p w14:paraId="67C63143">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During the locked cross-procedure evaluation, the frozen models were applied to an esophagectomy cohort in which prolonged LOS was defined as hospitalization for more than 15 days. The VATS and esophagectomy outcomes were therefore clinically related but nonidentical procedure-specific constructs. The analysis was interpreted as cross-procedure transportability rather than conventional external validation of an identical outcome.</w:t>
      </w:r>
    </w:p>
    <w:p w14:paraId="17E1E0C8">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SF3.4 Predictor definitions and coding</w:t>
      </w:r>
    </w:p>
    <w:p w14:paraId="09905D24">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following predictor definitions and coding rules were used:</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148"/>
        <w:gridCol w:w="2289"/>
      </w:tblGrid>
      <w:tr w14:paraId="24AD73A5">
        <w:trPr>
          <w:tblCellSpacing w:w="15" w:type="dxa"/>
        </w:trPr>
        <w:tc>
          <w:tcPr>
            <w:tcW w:w="0" w:type="auto"/>
            <w:tcBorders>
              <w:top w:val="single" w:color="auto" w:sz="4" w:space="0"/>
              <w:bottom w:val="single" w:color="auto" w:sz="4" w:space="0"/>
            </w:tcBorders>
            <w:shd w:val="clear" w:color="auto" w:fill="auto"/>
            <w:vAlign w:val="center"/>
          </w:tcPr>
          <w:p w14:paraId="628A0BFE">
            <w:pPr>
              <w:keepNext w:val="0"/>
              <w:keepLines w:val="0"/>
              <w:widowControl/>
              <w:suppressLineNumbers w:val="0"/>
              <w:jc w:val="center"/>
              <w:rPr>
                <w:rFonts w:hint="default" w:ascii="Times New Roman Regular" w:hAnsi="Times New Roman Regular" w:cs="Times New Roman Regular"/>
                <w:b/>
                <w:bCs/>
                <w:sz w:val="24"/>
                <w:szCs w:val="24"/>
              </w:rPr>
            </w:pPr>
            <w:r>
              <w:rPr>
                <w:rFonts w:hint="default" w:ascii="Times New Roman Regular" w:hAnsi="Times New Roman Regular" w:eastAsia="SimSun" w:cs="Times New Roman Regular"/>
                <w:b/>
                <w:bCs/>
                <w:kern w:val="0"/>
                <w:sz w:val="24"/>
                <w:szCs w:val="24"/>
                <w:lang w:val="en-US" w:eastAsia="zh-CN" w:bidi="ar"/>
              </w:rPr>
              <w:t>Predictor</w:t>
            </w:r>
          </w:p>
        </w:tc>
        <w:tc>
          <w:tcPr>
            <w:tcW w:w="0" w:type="auto"/>
            <w:tcBorders>
              <w:top w:val="single" w:color="auto" w:sz="4" w:space="0"/>
              <w:bottom w:val="single" w:color="auto" w:sz="4" w:space="0"/>
            </w:tcBorders>
            <w:shd w:val="clear" w:color="auto" w:fill="auto"/>
            <w:vAlign w:val="center"/>
          </w:tcPr>
          <w:p w14:paraId="4CA7938D">
            <w:pPr>
              <w:keepNext w:val="0"/>
              <w:keepLines w:val="0"/>
              <w:widowControl/>
              <w:suppressLineNumbers w:val="0"/>
              <w:jc w:val="center"/>
              <w:rPr>
                <w:rFonts w:hint="default" w:ascii="Times New Roman Regular" w:hAnsi="Times New Roman Regular" w:cs="Times New Roman Regular"/>
                <w:b/>
                <w:bCs/>
                <w:sz w:val="24"/>
                <w:szCs w:val="24"/>
              </w:rPr>
            </w:pPr>
            <w:r>
              <w:rPr>
                <w:rFonts w:hint="default" w:ascii="Times New Roman Regular" w:hAnsi="Times New Roman Regular" w:eastAsia="SimSun" w:cs="Times New Roman Regular"/>
                <w:b/>
                <w:bCs/>
                <w:kern w:val="0"/>
                <w:sz w:val="24"/>
                <w:szCs w:val="24"/>
                <w:lang w:val="en-US" w:eastAsia="zh-CN" w:bidi="ar"/>
              </w:rPr>
              <w:t>Definition and coding</w:t>
            </w:r>
          </w:p>
        </w:tc>
      </w:tr>
      <w:tr w14:paraId="739DDDAC">
        <w:trPr>
          <w:tblCellSpacing w:w="15" w:type="dxa"/>
        </w:trPr>
        <w:tc>
          <w:tcPr>
            <w:tcW w:w="0" w:type="auto"/>
            <w:shd w:val="clear" w:color="auto" w:fill="auto"/>
            <w:vAlign w:val="center"/>
          </w:tcPr>
          <w:p w14:paraId="699A17A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w:t>
            </w:r>
          </w:p>
        </w:tc>
        <w:tc>
          <w:tcPr>
            <w:tcW w:w="0" w:type="auto"/>
            <w:shd w:val="clear" w:color="auto" w:fill="auto"/>
            <w:vAlign w:val="center"/>
          </w:tcPr>
          <w:p w14:paraId="202EC2B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in years</w:t>
            </w:r>
          </w:p>
        </w:tc>
      </w:tr>
      <w:tr w14:paraId="65AD4036">
        <w:trPr>
          <w:tblCellSpacing w:w="15" w:type="dxa"/>
        </w:trPr>
        <w:tc>
          <w:tcPr>
            <w:tcW w:w="0" w:type="auto"/>
            <w:shd w:val="clear" w:color="auto" w:fill="auto"/>
            <w:vAlign w:val="center"/>
          </w:tcPr>
          <w:p w14:paraId="27BD8F3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Sex</w:t>
            </w:r>
          </w:p>
        </w:tc>
        <w:tc>
          <w:tcPr>
            <w:tcW w:w="0" w:type="auto"/>
            <w:shd w:val="clear" w:color="auto" w:fill="auto"/>
            <w:vAlign w:val="center"/>
          </w:tcPr>
          <w:p w14:paraId="0B91A37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Female = 0; male = 1</w:t>
            </w:r>
          </w:p>
        </w:tc>
      </w:tr>
      <w:tr w14:paraId="0D89F887">
        <w:trPr>
          <w:tblCellSpacing w:w="15" w:type="dxa"/>
        </w:trPr>
        <w:tc>
          <w:tcPr>
            <w:tcW w:w="0" w:type="auto"/>
            <w:shd w:val="clear" w:color="auto" w:fill="auto"/>
            <w:vAlign w:val="center"/>
          </w:tcPr>
          <w:p w14:paraId="4E40587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Body mass index</w:t>
            </w:r>
          </w:p>
        </w:tc>
        <w:tc>
          <w:tcPr>
            <w:tcW w:w="0" w:type="auto"/>
            <w:shd w:val="clear" w:color="auto" w:fill="auto"/>
            <w:vAlign w:val="center"/>
          </w:tcPr>
          <w:p w14:paraId="7E35C4C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kg/m²</w:t>
            </w:r>
          </w:p>
        </w:tc>
      </w:tr>
      <w:tr w14:paraId="65DEBE0A">
        <w:trPr>
          <w:tblCellSpacing w:w="15" w:type="dxa"/>
        </w:trPr>
        <w:tc>
          <w:tcPr>
            <w:tcW w:w="0" w:type="auto"/>
            <w:shd w:val="clear" w:color="auto" w:fill="auto"/>
            <w:vAlign w:val="center"/>
          </w:tcPr>
          <w:p w14:paraId="4C224C1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Smoking history</w:t>
            </w:r>
          </w:p>
        </w:tc>
        <w:tc>
          <w:tcPr>
            <w:tcW w:w="0" w:type="auto"/>
            <w:shd w:val="clear" w:color="auto" w:fill="auto"/>
            <w:vAlign w:val="center"/>
          </w:tcPr>
          <w:p w14:paraId="1A401FD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 = 0; yes = 1</w:t>
            </w:r>
          </w:p>
        </w:tc>
      </w:tr>
      <w:tr w14:paraId="152169C2">
        <w:trPr>
          <w:tblCellSpacing w:w="15" w:type="dxa"/>
        </w:trPr>
        <w:tc>
          <w:tcPr>
            <w:tcW w:w="0" w:type="auto"/>
            <w:shd w:val="clear" w:color="auto" w:fill="auto"/>
            <w:vAlign w:val="center"/>
          </w:tcPr>
          <w:p w14:paraId="35E53A7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Hypertension</w:t>
            </w:r>
          </w:p>
        </w:tc>
        <w:tc>
          <w:tcPr>
            <w:tcW w:w="0" w:type="auto"/>
            <w:shd w:val="clear" w:color="auto" w:fill="auto"/>
            <w:vAlign w:val="center"/>
          </w:tcPr>
          <w:p w14:paraId="2CA4A59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No = 0; yes = 1</w:t>
            </w:r>
          </w:p>
        </w:tc>
      </w:tr>
      <w:tr w14:paraId="1BCEA4E6">
        <w:trPr>
          <w:tblCellSpacing w:w="15" w:type="dxa"/>
        </w:trPr>
        <w:tc>
          <w:tcPr>
            <w:tcW w:w="0" w:type="auto"/>
            <w:shd w:val="clear" w:color="auto" w:fill="auto"/>
            <w:vAlign w:val="center"/>
          </w:tcPr>
          <w:p w14:paraId="3DD370C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Serum albumin</w:t>
            </w:r>
          </w:p>
        </w:tc>
        <w:tc>
          <w:tcPr>
            <w:tcW w:w="0" w:type="auto"/>
            <w:shd w:val="clear" w:color="auto" w:fill="auto"/>
            <w:vAlign w:val="center"/>
          </w:tcPr>
          <w:p w14:paraId="6837EE6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g/L</w:t>
            </w:r>
          </w:p>
        </w:tc>
      </w:tr>
      <w:tr w14:paraId="7E1A6BD4">
        <w:trPr>
          <w:tblCellSpacing w:w="15" w:type="dxa"/>
        </w:trPr>
        <w:tc>
          <w:tcPr>
            <w:tcW w:w="0" w:type="auto"/>
            <w:shd w:val="clear" w:color="auto" w:fill="auto"/>
            <w:vAlign w:val="center"/>
          </w:tcPr>
          <w:p w14:paraId="12D23DA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w:t>
            </w:r>
          </w:p>
        </w:tc>
        <w:tc>
          <w:tcPr>
            <w:tcW w:w="0" w:type="auto"/>
            <w:shd w:val="clear" w:color="auto" w:fill="auto"/>
            <w:vAlign w:val="center"/>
          </w:tcPr>
          <w:p w14:paraId="7CDAA71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Percentage predicted</w:t>
            </w:r>
          </w:p>
        </w:tc>
      </w:tr>
      <w:tr w14:paraId="6CDCFBBD">
        <w:trPr>
          <w:tblCellSpacing w:w="15" w:type="dxa"/>
        </w:trPr>
        <w:tc>
          <w:tcPr>
            <w:tcW w:w="0" w:type="auto"/>
            <w:shd w:val="clear" w:color="auto" w:fill="auto"/>
            <w:vAlign w:val="center"/>
          </w:tcPr>
          <w:p w14:paraId="12ABBE2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w:t>
            </w:r>
          </w:p>
        </w:tc>
        <w:tc>
          <w:tcPr>
            <w:tcW w:w="0" w:type="auto"/>
            <w:shd w:val="clear" w:color="auto" w:fill="auto"/>
            <w:vAlign w:val="center"/>
          </w:tcPr>
          <w:p w14:paraId="390EC93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Percentage predicted</w:t>
            </w:r>
          </w:p>
        </w:tc>
      </w:tr>
      <w:tr w14:paraId="405A1510">
        <w:trPr>
          <w:tblCellSpacing w:w="15" w:type="dxa"/>
        </w:trPr>
        <w:tc>
          <w:tcPr>
            <w:tcW w:w="0" w:type="auto"/>
            <w:shd w:val="clear" w:color="auto" w:fill="auto"/>
            <w:vAlign w:val="center"/>
          </w:tcPr>
          <w:p w14:paraId="235184C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muscle thickness</w:t>
            </w:r>
          </w:p>
        </w:tc>
        <w:tc>
          <w:tcPr>
            <w:tcW w:w="0" w:type="auto"/>
            <w:shd w:val="clear" w:color="auto" w:fill="auto"/>
            <w:vAlign w:val="center"/>
          </w:tcPr>
          <w:p w14:paraId="3CF5C6D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Millimetres</w:t>
            </w:r>
          </w:p>
        </w:tc>
      </w:tr>
      <w:tr w14:paraId="48C0B498">
        <w:trPr>
          <w:tblCellSpacing w:w="15" w:type="dxa"/>
        </w:trPr>
        <w:tc>
          <w:tcPr>
            <w:tcW w:w="0" w:type="auto"/>
            <w:tcBorders>
              <w:bottom w:val="single" w:color="auto" w:sz="4" w:space="0"/>
            </w:tcBorders>
            <w:shd w:val="clear" w:color="auto" w:fill="auto"/>
            <w:vAlign w:val="center"/>
          </w:tcPr>
          <w:p w14:paraId="46F0281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fat thickness</w:t>
            </w:r>
          </w:p>
        </w:tc>
        <w:tc>
          <w:tcPr>
            <w:tcW w:w="0" w:type="auto"/>
            <w:tcBorders>
              <w:bottom w:val="single" w:color="auto" w:sz="4" w:space="0"/>
            </w:tcBorders>
            <w:shd w:val="clear" w:color="auto" w:fill="auto"/>
            <w:vAlign w:val="center"/>
          </w:tcPr>
          <w:p w14:paraId="655E578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Millimetres</w:t>
            </w:r>
          </w:p>
        </w:tc>
      </w:tr>
    </w:tbl>
    <w:p w14:paraId="35CCC3D2">
      <w:pPr>
        <w:pStyle w:val="9"/>
        <w:keepNext w:val="0"/>
        <w:keepLines w:val="0"/>
        <w:widowControl/>
        <w:suppressLineNumbers w:val="0"/>
        <w:rPr>
          <w:rFonts w:hint="default" w:ascii="Times New Roman Regular" w:hAnsi="Times New Roman Regular" w:cs="Times New Roman Regular"/>
          <w:sz w:val="18"/>
          <w:szCs w:val="18"/>
        </w:rPr>
      </w:pPr>
      <w:r>
        <w:rPr>
          <w:rStyle w:val="7"/>
          <w:rFonts w:hint="default" w:ascii="Times New Roman Regular" w:hAnsi="Times New Roman Regular" w:cs="Times New Roman Regular"/>
          <w:sz w:val="18"/>
          <w:szCs w:val="18"/>
        </w:rPr>
        <w:t>Notes:</w:t>
      </w:r>
      <w:r>
        <w:rPr>
          <w:rFonts w:hint="default" w:ascii="Times New Roman Regular" w:hAnsi="Times New Roman Regular" w:cs="Times New Roman Regular"/>
          <w:sz w:val="18"/>
          <w:szCs w:val="18"/>
        </w:rPr>
        <w:t xml:space="preserve"> DLCO, diffusing capacity of the lung for carbon monoxide; FEV₁, forced expiratory volume in 1 second.</w:t>
      </w:r>
    </w:p>
    <w:p w14:paraId="583E9819">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SF3.5 CT-composite definitions</w:t>
      </w:r>
    </w:p>
    <w:p w14:paraId="64CA0BE7">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Thoracic muscle and subcutaneous fat thicknesses were measured in millimetres at the T5, T8, and T10 vertebral levels. The two CT composites were calculated as:</w:t>
      </w:r>
    </w:p>
    <w:p w14:paraId="197B0EF4">
      <w:pPr>
        <w:pStyle w:val="9"/>
        <w:keepNext w:val="0"/>
        <w:keepLines w:val="0"/>
        <w:widowControl/>
        <w:suppressLineNumbers w:val="0"/>
        <w:rPr>
          <w:rFonts w:hint="default" w:ascii="Times New Roman Regular" w:hAnsi="Times New Roman Regular" w:cs="Times New Roman Regular"/>
          <w:b w:val="0"/>
          <w:bCs w:val="0"/>
          <w:sz w:val="24"/>
          <w:szCs w:val="24"/>
        </w:rPr>
      </w:pPr>
      <w:r>
        <w:rPr>
          <w:rStyle w:val="10"/>
          <w:rFonts w:hint="default" w:ascii="Times New Roman Regular" w:hAnsi="Times New Roman Regular" w:cs="Times New Roman Regular"/>
          <w:b w:val="0"/>
          <w:bCs w:val="0"/>
          <w:sz w:val="24"/>
          <w:szCs w:val="24"/>
        </w:rPr>
        <w:t>Mean thoracic muscle thickness = (T5 muscle thickness + T8 muscle thickness + T10 muscle thickness)/3.</w:t>
      </w:r>
    </w:p>
    <w:p w14:paraId="216C6B7E">
      <w:pPr>
        <w:pStyle w:val="9"/>
        <w:keepNext w:val="0"/>
        <w:keepLines w:val="0"/>
        <w:widowControl/>
        <w:suppressLineNumbers w:val="0"/>
        <w:rPr>
          <w:rFonts w:hint="default" w:ascii="Times New Roman Regular" w:hAnsi="Times New Roman Regular" w:cs="Times New Roman Regular"/>
          <w:b w:val="0"/>
          <w:bCs w:val="0"/>
          <w:sz w:val="24"/>
          <w:szCs w:val="24"/>
        </w:rPr>
      </w:pPr>
      <w:r>
        <w:rPr>
          <w:rStyle w:val="10"/>
          <w:rFonts w:hint="default" w:ascii="Times New Roman Regular" w:hAnsi="Times New Roman Regular" w:cs="Times New Roman Regular"/>
          <w:b w:val="0"/>
          <w:bCs w:val="0"/>
          <w:sz w:val="24"/>
          <w:szCs w:val="24"/>
        </w:rPr>
        <w:t>Mean thoracic fat thickness = (T5 fat thickness + T8 fat thickness + T10 fat thickness)/3.</w:t>
      </w:r>
    </w:p>
    <w:p w14:paraId="1876D5CA">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three vertebral levels received equal weight. No outcome-derived weighting, level-specific normalization, sex-specific threshold, target-cohort scaling, or post-evaluation transformation was applied.</w:t>
      </w:r>
    </w:p>
    <w:p w14:paraId="65A4054F">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SF3.6 Predicted-probability calculation</w:t>
      </w:r>
    </w:p>
    <w:p w14:paraId="5E1C439C">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For each model, the linear predictor was calculated as:</w:t>
      </w:r>
    </w:p>
    <w:p w14:paraId="7F791A96">
      <w:pPr>
        <w:pStyle w:val="9"/>
        <w:keepNext w:val="0"/>
        <w:keepLines w:val="0"/>
        <w:widowControl/>
        <w:suppressLineNumbers w:val="0"/>
        <w:rPr>
          <w:rFonts w:hint="default" w:ascii="Times New Roman Regular" w:hAnsi="Times New Roman Regular" w:cs="Times New Roman Regular"/>
          <w:sz w:val="24"/>
          <w:szCs w:val="24"/>
        </w:rPr>
      </w:pPr>
      <w:r>
        <w:rPr>
          <w:rStyle w:val="10"/>
          <w:rFonts w:hint="default" w:ascii="Times New Roman Regular" w:hAnsi="Times New Roman Regular" w:cs="Times New Roman Regular"/>
          <w:sz w:val="24"/>
          <w:szCs w:val="24"/>
        </w:rPr>
        <w:t>η = intercept + Σ(βᵢXᵢ).</w:t>
      </w:r>
    </w:p>
    <w:p w14:paraId="52A554EE">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corresponding predicted probability was calculated as:</w:t>
      </w:r>
    </w:p>
    <w:p w14:paraId="33F174E4">
      <w:pPr>
        <w:pStyle w:val="9"/>
        <w:keepNext w:val="0"/>
        <w:keepLines w:val="0"/>
        <w:widowControl/>
        <w:suppressLineNumbers w:val="0"/>
        <w:rPr>
          <w:rFonts w:hint="default" w:ascii="Times New Roman Regular" w:hAnsi="Times New Roman Regular" w:cs="Times New Roman Regular"/>
          <w:sz w:val="24"/>
          <w:szCs w:val="24"/>
        </w:rPr>
      </w:pPr>
      <w:r>
        <w:rPr>
          <w:rStyle w:val="10"/>
          <w:rFonts w:hint="default" w:ascii="Times New Roman Regular" w:hAnsi="Times New Roman Regular" w:cs="Times New Roman Regular"/>
          <w:sz w:val="24"/>
          <w:szCs w:val="24"/>
        </w:rPr>
        <w:t>Predicted probability = 1/[1 + exp(−η)].</w:t>
      </w:r>
    </w:p>
    <w:p w14:paraId="279A42D7">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equations below use predictors in their original clinical units. The raw-input coefficients already incorporate the frozen VATS preprocessing transformation. Therefore, the predictors must not be standardized again when these raw-input equations are used.</w:t>
      </w:r>
    </w:p>
    <w:p w14:paraId="63DCB914">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SF3.7 Model 1: clinical ridge model</w:t>
      </w:r>
    </w:p>
    <w:p w14:paraId="12BF3671">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Model 1 contained eight prespecified clinical predictors. Its frozen raw-input linear predictor was:</w:t>
      </w:r>
    </w:p>
    <w:p w14:paraId="4F89F27A">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η₁ = −0.40748721</w:t>
      </w:r>
    </w:p>
    <w:p w14:paraId="26372088">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0.00578767 × age in years</w:t>
      </w:r>
    </w:p>
    <w:p w14:paraId="1078A15F">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0.00907750 × male sex</w:t>
      </w:r>
      <w:r>
        <w:rPr>
          <w:rFonts w:hint="default" w:ascii="Times New Roman Regular" w:hAnsi="Times New Roman Regular" w:cs="Times New Roman Regular"/>
          <w:sz w:val="24"/>
          <w:szCs w:val="24"/>
        </w:rPr>
        <w:br w:type="textWrapping"/>
      </w:r>
      <w:r>
        <w:rPr>
          <w:rFonts w:hint="default" w:ascii="Times New Roman Regular" w:hAnsi="Times New Roman Regular" w:cs="Times New Roman Regular"/>
          <w:sz w:val="24"/>
          <w:szCs w:val="24"/>
        </w:rPr>
        <w:t>− 0.00673823 × body mass index in kg/m²</w:t>
      </w:r>
    </w:p>
    <w:p w14:paraId="6913C16E">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0.00352204 × smoking history</w:t>
      </w:r>
      <w:r>
        <w:rPr>
          <w:rFonts w:hint="default" w:ascii="Times New Roman Regular" w:hAnsi="Times New Roman Regular" w:cs="Times New Roman Regular"/>
          <w:sz w:val="24"/>
          <w:szCs w:val="24"/>
        </w:rPr>
        <w:br w:type="textWrapping"/>
      </w:r>
      <w:r>
        <w:rPr>
          <w:rFonts w:hint="default" w:ascii="Times New Roman Regular" w:hAnsi="Times New Roman Regular" w:cs="Times New Roman Regular"/>
          <w:sz w:val="24"/>
          <w:szCs w:val="24"/>
        </w:rPr>
        <w:t>− 0.00055627 × hypertension</w:t>
      </w:r>
      <w:r>
        <w:rPr>
          <w:rFonts w:hint="default" w:ascii="Times New Roman Regular" w:hAnsi="Times New Roman Regular" w:cs="Times New Roman Regular"/>
          <w:sz w:val="24"/>
          <w:szCs w:val="24"/>
        </w:rPr>
        <w:br w:type="textWrapping"/>
      </w:r>
      <w:r>
        <w:rPr>
          <w:rFonts w:hint="default" w:ascii="Times New Roman Regular" w:hAnsi="Times New Roman Regular" w:cs="Times New Roman Regular"/>
          <w:sz w:val="24"/>
          <w:szCs w:val="24"/>
        </w:rPr>
        <w:t>− 0.00699617 × serum albumin in g/L</w:t>
      </w:r>
    </w:p>
    <w:p w14:paraId="3C1E3B71">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0.00204197 × FEV₁ percentage predicted</w:t>
      </w:r>
      <w:r>
        <w:rPr>
          <w:rFonts w:hint="default" w:ascii="Times New Roman Regular" w:hAnsi="Times New Roman Regular" w:cs="Times New Roman Regular"/>
          <w:sz w:val="24"/>
          <w:szCs w:val="24"/>
        </w:rPr>
        <w:br w:type="textWrapping"/>
      </w:r>
      <w:r>
        <w:rPr>
          <w:rFonts w:hint="default" w:ascii="Times New Roman Regular" w:hAnsi="Times New Roman Regular" w:cs="Times New Roman Regular"/>
          <w:sz w:val="24"/>
          <w:szCs w:val="24"/>
        </w:rPr>
        <w:t>− 0.00033256 × DLCO percentage predicted.</w:t>
      </w:r>
    </w:p>
    <w:p w14:paraId="2587E659">
      <w:pPr>
        <w:keepNext w:val="0"/>
        <w:keepLines w:val="0"/>
        <w:widowControl/>
        <w:numPr>
          <w:ilvl w:val="0"/>
          <w:numId w:val="0"/>
        </w:numPr>
        <w:suppressLineNumbers w:val="0"/>
        <w:spacing w:before="0" w:beforeAutospacing="1" w:after="0" w:afterAutospacing="1"/>
        <w:ind w:leftChars="0"/>
        <w:rPr>
          <w:rFonts w:hint="default" w:ascii="Times New Roman Regular" w:hAnsi="Times New Roman Regular" w:cs="Times New Roman Regular"/>
          <w:sz w:val="24"/>
          <w:szCs w:val="24"/>
        </w:rPr>
      </w:pPr>
    </w:p>
    <w:p w14:paraId="13456BEA">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Model 1 predicted probability was:</w:t>
      </w:r>
    </w:p>
    <w:p w14:paraId="51F4CAD4">
      <w:pPr>
        <w:pStyle w:val="9"/>
        <w:keepNext w:val="0"/>
        <w:keepLines w:val="0"/>
        <w:widowControl/>
        <w:suppressLineNumbers w:val="0"/>
        <w:rPr>
          <w:rFonts w:hint="default" w:ascii="Times New Roman Regular" w:hAnsi="Times New Roman Regular" w:cs="Times New Roman Regular"/>
          <w:b w:val="0"/>
          <w:bCs w:val="0"/>
          <w:sz w:val="24"/>
          <w:szCs w:val="24"/>
        </w:rPr>
      </w:pPr>
      <w:r>
        <w:rPr>
          <w:rStyle w:val="10"/>
          <w:rFonts w:hint="default" w:ascii="Times New Roman Regular" w:hAnsi="Times New Roman Regular" w:cs="Times New Roman Regular"/>
          <w:b w:val="0"/>
          <w:bCs w:val="0"/>
          <w:sz w:val="24"/>
          <w:szCs w:val="24"/>
        </w:rPr>
        <w:t>P₁ = 1/[1 + exp(−η₁)].</w:t>
      </w:r>
    </w:p>
    <w:p w14:paraId="1870A882">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frozen Model 1 ridge penalty w</w:t>
      </w:r>
      <w:r>
        <w:rPr>
          <w:rFonts w:hint="default" w:ascii="Times New Roman" w:hAnsi="Times New Roman" w:cs="Times New Roman"/>
          <w:b w:val="0"/>
          <w:bCs w:val="0"/>
          <w:sz w:val="24"/>
          <w:szCs w:val="24"/>
        </w:rPr>
        <w:t xml:space="preserve">as </w:t>
      </w:r>
      <w:r>
        <w:rPr>
          <w:rStyle w:val="10"/>
          <w:rFonts w:hint="default" w:ascii="Times New Roman" w:hAnsi="Times New Roman" w:cs="Times New Roman"/>
          <w:b w:val="0"/>
          <w:bCs w:val="0"/>
          <w:sz w:val="24"/>
          <w:szCs w:val="24"/>
        </w:rPr>
        <w:t>λ = 1.14206340</w:t>
      </w:r>
      <w:r>
        <w:rPr>
          <w:rFonts w:hint="default" w:ascii="Times New Roman" w:hAnsi="Times New Roman" w:cs="Times New Roman"/>
          <w:b w:val="0"/>
          <w:bCs w:val="0"/>
          <w:sz w:val="24"/>
          <w:szCs w:val="24"/>
        </w:rPr>
        <w:t>.</w:t>
      </w:r>
    </w:p>
    <w:p w14:paraId="15121409">
      <w:pPr>
        <w:pStyle w:val="9"/>
        <w:keepNext w:val="0"/>
        <w:keepLines w:val="0"/>
        <w:widowControl/>
        <w:suppressLineNumbers w:val="0"/>
        <w:rPr>
          <w:rFonts w:hint="default" w:ascii="Times New Roman Regular" w:hAnsi="Times New Roman Regular" w:cs="Times New Roman Regular"/>
          <w:sz w:val="24"/>
          <w:szCs w:val="24"/>
        </w:rPr>
      </w:pPr>
      <w:r>
        <w:rPr>
          <w:rStyle w:val="10"/>
          <w:rFonts w:hint="default" w:ascii="Times New Roman Regular" w:hAnsi="Times New Roman Regular" w:cs="Times New Roman Regular"/>
          <w:sz w:val="24"/>
          <w:szCs w:val="24"/>
        </w:rPr>
        <w:t>Table S</w:t>
      </w:r>
      <w:r>
        <w:rPr>
          <w:rStyle w:val="10"/>
          <w:rFonts w:hint="default" w:ascii="Times New Roman Regular" w:hAnsi="Times New Roman Regular" w:cs="Times New Roman Regular"/>
          <w:sz w:val="24"/>
          <w:szCs w:val="24"/>
          <w:lang w:val="en-US"/>
        </w:rPr>
        <w:t>F3</w:t>
      </w:r>
      <w:r>
        <w:rPr>
          <w:rStyle w:val="10"/>
          <w:rFonts w:hint="default" w:ascii="Times New Roman Regular" w:hAnsi="Times New Roman Regular" w:cs="Times New Roman Regular"/>
          <w:sz w:val="24"/>
          <w:szCs w:val="24"/>
        </w:rPr>
        <w:t>.</w:t>
      </w:r>
      <w:r>
        <w:rPr>
          <w:rStyle w:val="10"/>
          <w:rFonts w:hint="default" w:ascii="Times New Roman Regular" w:hAnsi="Times New Roman Regular" w:cs="Times New Roman Regular"/>
          <w:sz w:val="24"/>
          <w:szCs w:val="24"/>
          <w:lang w:val="en-US"/>
        </w:rPr>
        <w:t>1</w:t>
      </w:r>
      <w:r>
        <w:rPr>
          <w:rStyle w:val="10"/>
          <w:rFonts w:hint="default" w:ascii="Times New Roman Regular" w:hAnsi="Times New Roman Regular" w:cs="Times New Roman Regular"/>
          <w:sz w:val="24"/>
          <w:szCs w:val="24"/>
        </w:rPr>
        <w:t xml:space="preserve"> Frozen raw-input coefficients for Model 1</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14"/>
        <w:gridCol w:w="1351"/>
      </w:tblGrid>
      <w:tr w14:paraId="0192D85E">
        <w:trPr>
          <w:tblCellSpacing w:w="15" w:type="dxa"/>
        </w:trPr>
        <w:tc>
          <w:tcPr>
            <w:tcW w:w="0" w:type="auto"/>
            <w:tcBorders>
              <w:top w:val="single" w:color="auto" w:sz="4" w:space="0"/>
              <w:bottom w:val="single" w:color="auto" w:sz="4" w:space="0"/>
            </w:tcBorders>
            <w:shd w:val="clear" w:color="auto" w:fill="auto"/>
            <w:vAlign w:val="center"/>
          </w:tcPr>
          <w:p w14:paraId="44BCC48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Predictor</w:t>
            </w:r>
          </w:p>
        </w:tc>
        <w:tc>
          <w:tcPr>
            <w:tcW w:w="0" w:type="auto"/>
            <w:tcBorders>
              <w:top w:val="single" w:color="auto" w:sz="4" w:space="0"/>
              <w:bottom w:val="single" w:color="auto" w:sz="4" w:space="0"/>
            </w:tcBorders>
            <w:shd w:val="clear" w:color="auto" w:fill="auto"/>
            <w:vAlign w:val="center"/>
          </w:tcPr>
          <w:p w14:paraId="27A4C7F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Coefficient</w:t>
            </w:r>
          </w:p>
        </w:tc>
      </w:tr>
      <w:tr w14:paraId="67AEC842">
        <w:trPr>
          <w:tblCellSpacing w:w="15" w:type="dxa"/>
        </w:trPr>
        <w:tc>
          <w:tcPr>
            <w:tcW w:w="0" w:type="auto"/>
            <w:shd w:val="clear" w:color="auto" w:fill="auto"/>
            <w:vAlign w:val="center"/>
          </w:tcPr>
          <w:p w14:paraId="79C399B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0" w:type="auto"/>
            <w:shd w:val="clear" w:color="auto" w:fill="auto"/>
            <w:vAlign w:val="center"/>
          </w:tcPr>
          <w:p w14:paraId="7015C1D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−0.40748721</w:t>
            </w:r>
          </w:p>
        </w:tc>
      </w:tr>
      <w:tr w14:paraId="1EE018DC">
        <w:trPr>
          <w:tblCellSpacing w:w="15" w:type="dxa"/>
        </w:trPr>
        <w:tc>
          <w:tcPr>
            <w:tcW w:w="0" w:type="auto"/>
            <w:shd w:val="clear" w:color="auto" w:fill="auto"/>
            <w:vAlign w:val="center"/>
          </w:tcPr>
          <w:p w14:paraId="228D397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7B121D5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0.00578767</w:t>
            </w:r>
          </w:p>
        </w:tc>
      </w:tr>
      <w:tr w14:paraId="320BFE6E">
        <w:trPr>
          <w:tblCellSpacing w:w="15" w:type="dxa"/>
        </w:trPr>
        <w:tc>
          <w:tcPr>
            <w:tcW w:w="0" w:type="auto"/>
            <w:shd w:val="clear" w:color="auto" w:fill="auto"/>
            <w:vAlign w:val="center"/>
          </w:tcPr>
          <w:p w14:paraId="6474EBA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Male sex</w:t>
            </w:r>
          </w:p>
        </w:tc>
        <w:tc>
          <w:tcPr>
            <w:tcW w:w="0" w:type="auto"/>
            <w:shd w:val="clear" w:color="auto" w:fill="auto"/>
            <w:vAlign w:val="center"/>
          </w:tcPr>
          <w:p w14:paraId="4AA0ACA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0.00907750</w:t>
            </w:r>
          </w:p>
        </w:tc>
      </w:tr>
      <w:tr w14:paraId="64E2E45C">
        <w:trPr>
          <w:tblCellSpacing w:w="15" w:type="dxa"/>
        </w:trPr>
        <w:tc>
          <w:tcPr>
            <w:tcW w:w="0" w:type="auto"/>
            <w:shd w:val="clear" w:color="auto" w:fill="auto"/>
            <w:vAlign w:val="center"/>
          </w:tcPr>
          <w:p w14:paraId="5280065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Body mass index, kg/m²</w:t>
            </w:r>
          </w:p>
        </w:tc>
        <w:tc>
          <w:tcPr>
            <w:tcW w:w="0" w:type="auto"/>
            <w:shd w:val="clear" w:color="auto" w:fill="auto"/>
            <w:vAlign w:val="center"/>
          </w:tcPr>
          <w:p w14:paraId="0D6D75D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−0.00673823</w:t>
            </w:r>
          </w:p>
        </w:tc>
      </w:tr>
      <w:tr w14:paraId="682C78CC">
        <w:trPr>
          <w:tblCellSpacing w:w="15" w:type="dxa"/>
        </w:trPr>
        <w:tc>
          <w:tcPr>
            <w:tcW w:w="0" w:type="auto"/>
            <w:shd w:val="clear" w:color="auto" w:fill="auto"/>
            <w:vAlign w:val="center"/>
          </w:tcPr>
          <w:p w14:paraId="0C0B85C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Smoking history</w:t>
            </w:r>
          </w:p>
        </w:tc>
        <w:tc>
          <w:tcPr>
            <w:tcW w:w="0" w:type="auto"/>
            <w:shd w:val="clear" w:color="auto" w:fill="auto"/>
            <w:vAlign w:val="center"/>
          </w:tcPr>
          <w:p w14:paraId="5BE3CFF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0.00352204</w:t>
            </w:r>
          </w:p>
        </w:tc>
      </w:tr>
      <w:tr w14:paraId="50508036">
        <w:trPr>
          <w:tblCellSpacing w:w="15" w:type="dxa"/>
        </w:trPr>
        <w:tc>
          <w:tcPr>
            <w:tcW w:w="0" w:type="auto"/>
            <w:shd w:val="clear" w:color="auto" w:fill="auto"/>
            <w:vAlign w:val="center"/>
          </w:tcPr>
          <w:p w14:paraId="54B930A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Hypertension</w:t>
            </w:r>
          </w:p>
        </w:tc>
        <w:tc>
          <w:tcPr>
            <w:tcW w:w="0" w:type="auto"/>
            <w:shd w:val="clear" w:color="auto" w:fill="auto"/>
            <w:vAlign w:val="center"/>
          </w:tcPr>
          <w:p w14:paraId="3FD40BF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−0.00055627</w:t>
            </w:r>
          </w:p>
        </w:tc>
      </w:tr>
      <w:tr w14:paraId="0CDC34EE">
        <w:trPr>
          <w:tblCellSpacing w:w="15" w:type="dxa"/>
        </w:trPr>
        <w:tc>
          <w:tcPr>
            <w:tcW w:w="0" w:type="auto"/>
            <w:shd w:val="clear" w:color="auto" w:fill="auto"/>
            <w:vAlign w:val="center"/>
          </w:tcPr>
          <w:p w14:paraId="37A5815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Serum albumin, g/L</w:t>
            </w:r>
          </w:p>
        </w:tc>
        <w:tc>
          <w:tcPr>
            <w:tcW w:w="0" w:type="auto"/>
            <w:shd w:val="clear" w:color="auto" w:fill="auto"/>
            <w:vAlign w:val="center"/>
          </w:tcPr>
          <w:p w14:paraId="2C3199F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−0.00699617</w:t>
            </w:r>
          </w:p>
        </w:tc>
      </w:tr>
      <w:tr w14:paraId="49948467">
        <w:trPr>
          <w:tblCellSpacing w:w="15" w:type="dxa"/>
        </w:trPr>
        <w:tc>
          <w:tcPr>
            <w:tcW w:w="0" w:type="auto"/>
            <w:shd w:val="clear" w:color="auto" w:fill="auto"/>
            <w:vAlign w:val="center"/>
          </w:tcPr>
          <w:p w14:paraId="65B1856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0097253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0.00204197</w:t>
            </w:r>
          </w:p>
        </w:tc>
      </w:tr>
      <w:tr w14:paraId="2DEACE18">
        <w:trPr>
          <w:tblCellSpacing w:w="15" w:type="dxa"/>
        </w:trPr>
        <w:tc>
          <w:tcPr>
            <w:tcW w:w="0" w:type="auto"/>
            <w:tcBorders>
              <w:bottom w:val="single" w:color="auto" w:sz="4" w:space="0"/>
            </w:tcBorders>
            <w:shd w:val="clear" w:color="auto" w:fill="auto"/>
            <w:vAlign w:val="center"/>
          </w:tcPr>
          <w:p w14:paraId="1593E4D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tcBorders>
              <w:bottom w:val="single" w:color="auto" w:sz="4" w:space="0"/>
            </w:tcBorders>
            <w:shd w:val="clear" w:color="auto" w:fill="auto"/>
            <w:vAlign w:val="center"/>
          </w:tcPr>
          <w:p w14:paraId="3E8245F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−0.00033256</w:t>
            </w:r>
          </w:p>
        </w:tc>
      </w:tr>
    </w:tbl>
    <w:p w14:paraId="50664485">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SF3.8 Model 2: clinical-plus-mean-CT ridge model</w:t>
      </w:r>
    </w:p>
    <w:p w14:paraId="09D1DF11">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Model 2 contained the eight clinical predictors from Model 1 together with mean thoracic muscle thickness and mean thoracic fat thickness. Its frozen raw-input linear predictor was:</w:t>
      </w:r>
    </w:p>
    <w:p w14:paraId="48F7C9F9">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η₂ = −0.31186913</w:t>
      </w:r>
    </w:p>
    <w:p w14:paraId="66FB2CC0">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0.00008865 × age in years</w:t>
      </w:r>
    </w:p>
    <w:p w14:paraId="4DE6DBE0">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0.00012516 × male sex</w:t>
      </w:r>
      <w:r>
        <w:rPr>
          <w:rFonts w:hint="default" w:ascii="Times New Roman Regular" w:hAnsi="Times New Roman Regular" w:cs="Times New Roman Regular"/>
          <w:sz w:val="24"/>
          <w:szCs w:val="24"/>
        </w:rPr>
        <w:br w:type="textWrapping"/>
      </w:r>
      <w:r>
        <w:rPr>
          <w:rFonts w:hint="default" w:ascii="Times New Roman Regular" w:hAnsi="Times New Roman Regular" w:cs="Times New Roman Regular"/>
          <w:sz w:val="24"/>
          <w:szCs w:val="24"/>
        </w:rPr>
        <w:t>− 0.00010752 × body mass index in kg/m²</w:t>
      </w:r>
    </w:p>
    <w:p w14:paraId="3C362E4D">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0.00003949 × smoking history</w:t>
      </w:r>
      <w:r>
        <w:rPr>
          <w:rFonts w:hint="default" w:ascii="Times New Roman Regular" w:hAnsi="Times New Roman Regular" w:cs="Times New Roman Regular"/>
          <w:sz w:val="24"/>
          <w:szCs w:val="24"/>
        </w:rPr>
        <w:br w:type="textWrapping"/>
      </w:r>
      <w:r>
        <w:rPr>
          <w:rFonts w:hint="default" w:ascii="Times New Roman Regular" w:hAnsi="Times New Roman Regular" w:cs="Times New Roman Regular"/>
          <w:sz w:val="24"/>
          <w:szCs w:val="24"/>
        </w:rPr>
        <w:t>− 0.00001426 × hypertension</w:t>
      </w:r>
      <w:r>
        <w:rPr>
          <w:rFonts w:hint="default" w:ascii="Times New Roman Regular" w:hAnsi="Times New Roman Regular" w:cs="Times New Roman Regular"/>
          <w:sz w:val="24"/>
          <w:szCs w:val="24"/>
        </w:rPr>
        <w:br w:type="textWrapping"/>
      </w:r>
      <w:r>
        <w:rPr>
          <w:rFonts w:hint="default" w:ascii="Times New Roman Regular" w:hAnsi="Times New Roman Regular" w:cs="Times New Roman Regular"/>
          <w:sz w:val="24"/>
          <w:szCs w:val="24"/>
        </w:rPr>
        <w:t>− 0.00010861 × serum albumin in g/L</w:t>
      </w:r>
    </w:p>
    <w:p w14:paraId="6D9E235D">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0.00003495 × FEV₁ percentage predicted</w:t>
      </w:r>
    </w:p>
    <w:p w14:paraId="32FBB4C2">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0.00000452 × DLCO percentage predicted</w:t>
      </w:r>
      <w:r>
        <w:rPr>
          <w:rFonts w:hint="default" w:ascii="Times New Roman Regular" w:hAnsi="Times New Roman Regular" w:cs="Times New Roman Regular"/>
          <w:sz w:val="24"/>
          <w:szCs w:val="24"/>
        </w:rPr>
        <w:br w:type="textWrapping"/>
      </w:r>
      <w:r>
        <w:rPr>
          <w:rFonts w:hint="default" w:ascii="Times New Roman Regular" w:hAnsi="Times New Roman Regular" w:cs="Times New Roman Regular"/>
          <w:sz w:val="24"/>
          <w:szCs w:val="24"/>
        </w:rPr>
        <w:t>− 0.00019848 × mean thoracic muscle thickness in mm</w:t>
      </w:r>
      <w:r>
        <w:rPr>
          <w:rFonts w:hint="default" w:ascii="Times New Roman Regular" w:hAnsi="Times New Roman Regular" w:cs="Times New Roman Regular"/>
          <w:sz w:val="24"/>
          <w:szCs w:val="24"/>
        </w:rPr>
        <w:br w:type="textWrapping"/>
      </w:r>
      <w:r>
        <w:rPr>
          <w:rFonts w:hint="default" w:ascii="Times New Roman Regular" w:hAnsi="Times New Roman Regular" w:cs="Times New Roman Regular"/>
          <w:sz w:val="24"/>
          <w:szCs w:val="24"/>
        </w:rPr>
        <w:t>− 0.00001807 × mean thoracic fat thickness in mm.</w:t>
      </w:r>
    </w:p>
    <w:p w14:paraId="273D6F36">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Model 2 predicted probability was:</w:t>
      </w:r>
    </w:p>
    <w:p w14:paraId="5758AD9B">
      <w:pPr>
        <w:pStyle w:val="9"/>
        <w:keepNext w:val="0"/>
        <w:keepLines w:val="0"/>
        <w:widowControl/>
        <w:suppressLineNumbers w:val="0"/>
        <w:rPr>
          <w:rFonts w:hint="default" w:ascii="Times New Roman Regular" w:hAnsi="Times New Roman Regular" w:cs="Times New Roman Regular"/>
          <w:b w:val="0"/>
          <w:bCs w:val="0"/>
          <w:sz w:val="24"/>
          <w:szCs w:val="24"/>
        </w:rPr>
      </w:pPr>
      <w:r>
        <w:rPr>
          <w:rStyle w:val="10"/>
          <w:rFonts w:hint="default" w:ascii="Times New Roman Regular" w:hAnsi="Times New Roman Regular" w:cs="Times New Roman Regular"/>
          <w:b w:val="0"/>
          <w:bCs w:val="0"/>
          <w:sz w:val="24"/>
          <w:szCs w:val="24"/>
        </w:rPr>
        <w:t>P₂ = 1/[1 + exp(−η₂)].</w:t>
      </w:r>
    </w:p>
    <w:p w14:paraId="368AFC84">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The frozen Model 2 ridge penalty </w:t>
      </w:r>
      <w:r>
        <w:rPr>
          <w:rFonts w:hint="default" w:ascii="Times New Roman" w:hAnsi="Times New Roman" w:cs="Times New Roman"/>
          <w:b w:val="0"/>
          <w:bCs w:val="0"/>
          <w:sz w:val="24"/>
          <w:szCs w:val="24"/>
        </w:rPr>
        <w:t xml:space="preserve">was </w:t>
      </w:r>
      <w:r>
        <w:rPr>
          <w:rStyle w:val="10"/>
          <w:rFonts w:hint="default" w:ascii="Times New Roman" w:hAnsi="Times New Roman" w:cs="Times New Roman"/>
          <w:b w:val="0"/>
          <w:bCs w:val="0"/>
          <w:sz w:val="24"/>
          <w:szCs w:val="24"/>
        </w:rPr>
        <w:t>λ = 90.45329513</w:t>
      </w:r>
      <w:r>
        <w:rPr>
          <w:rFonts w:hint="default" w:ascii="Times New Roman" w:hAnsi="Times New Roman" w:cs="Times New Roman"/>
          <w:b w:val="0"/>
          <w:bCs w:val="0"/>
          <w:sz w:val="24"/>
          <w:szCs w:val="24"/>
        </w:rPr>
        <w:t>.</w:t>
      </w:r>
    </w:p>
    <w:p w14:paraId="51AF67D5">
      <w:pPr>
        <w:pStyle w:val="9"/>
        <w:keepNext w:val="0"/>
        <w:keepLines w:val="0"/>
        <w:widowControl/>
        <w:suppressLineNumbers w:val="0"/>
        <w:rPr>
          <w:rFonts w:hint="default" w:ascii="Times New Roman Regular" w:hAnsi="Times New Roman Regular" w:cs="Times New Roman Regular"/>
          <w:sz w:val="24"/>
          <w:szCs w:val="24"/>
        </w:rPr>
      </w:pPr>
      <w:r>
        <w:rPr>
          <w:rStyle w:val="10"/>
          <w:rFonts w:hint="default" w:ascii="Times New Roman Regular" w:hAnsi="Times New Roman Regular" w:cs="Times New Roman Regular"/>
          <w:sz w:val="24"/>
          <w:szCs w:val="24"/>
        </w:rPr>
        <w:t>Table S</w:t>
      </w:r>
      <w:r>
        <w:rPr>
          <w:rStyle w:val="10"/>
          <w:rFonts w:hint="default" w:ascii="Times New Roman Regular" w:hAnsi="Times New Roman Regular" w:cs="Times New Roman Regular"/>
          <w:sz w:val="24"/>
          <w:szCs w:val="24"/>
          <w:lang w:val="en-US"/>
        </w:rPr>
        <w:t>F</w:t>
      </w:r>
      <w:r>
        <w:rPr>
          <w:rStyle w:val="10"/>
          <w:rFonts w:hint="default" w:ascii="Times New Roman Regular" w:hAnsi="Times New Roman Regular" w:cs="Times New Roman Regular"/>
          <w:sz w:val="24"/>
          <w:szCs w:val="24"/>
        </w:rPr>
        <w:t>3.</w:t>
      </w:r>
      <w:r>
        <w:rPr>
          <w:rStyle w:val="10"/>
          <w:rFonts w:hint="default" w:ascii="Times New Roman Regular" w:hAnsi="Times New Roman Regular" w:cs="Times New Roman Regular"/>
          <w:sz w:val="24"/>
          <w:szCs w:val="24"/>
          <w:lang w:val="en-US"/>
        </w:rPr>
        <w:t>1</w:t>
      </w:r>
      <w:r>
        <w:rPr>
          <w:rStyle w:val="10"/>
          <w:rFonts w:hint="default" w:ascii="Times New Roman Regular" w:hAnsi="Times New Roman Regular" w:cs="Times New Roman Regular"/>
          <w:sz w:val="24"/>
          <w:szCs w:val="24"/>
        </w:rPr>
        <w:t xml:space="preserve"> Frozen raw-input coefficients for Model 2</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41"/>
        <w:gridCol w:w="1351"/>
      </w:tblGrid>
      <w:tr w14:paraId="4B4579C1">
        <w:trPr>
          <w:tblCellSpacing w:w="15" w:type="dxa"/>
        </w:trPr>
        <w:tc>
          <w:tcPr>
            <w:tcW w:w="0" w:type="auto"/>
            <w:tcBorders>
              <w:top w:val="single" w:color="auto" w:sz="4" w:space="0"/>
              <w:bottom w:val="single" w:color="auto" w:sz="4" w:space="0"/>
            </w:tcBorders>
            <w:shd w:val="clear" w:color="auto" w:fill="auto"/>
            <w:vAlign w:val="center"/>
          </w:tcPr>
          <w:p w14:paraId="4207A92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Predictor</w:t>
            </w:r>
          </w:p>
        </w:tc>
        <w:tc>
          <w:tcPr>
            <w:tcW w:w="0" w:type="auto"/>
            <w:tcBorders>
              <w:top w:val="single" w:color="auto" w:sz="4" w:space="0"/>
              <w:bottom w:val="single" w:color="auto" w:sz="4" w:space="0"/>
            </w:tcBorders>
            <w:shd w:val="clear" w:color="auto" w:fill="auto"/>
            <w:vAlign w:val="center"/>
          </w:tcPr>
          <w:p w14:paraId="0E279C4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Coefficient</w:t>
            </w:r>
          </w:p>
        </w:tc>
      </w:tr>
      <w:tr w14:paraId="655688B6">
        <w:trPr>
          <w:tblCellSpacing w:w="15" w:type="dxa"/>
        </w:trPr>
        <w:tc>
          <w:tcPr>
            <w:tcW w:w="0" w:type="auto"/>
            <w:shd w:val="clear" w:color="auto" w:fill="auto"/>
            <w:vAlign w:val="center"/>
          </w:tcPr>
          <w:p w14:paraId="44ABC3A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Intercept</w:t>
            </w:r>
          </w:p>
        </w:tc>
        <w:tc>
          <w:tcPr>
            <w:tcW w:w="0" w:type="auto"/>
            <w:shd w:val="clear" w:color="auto" w:fill="auto"/>
            <w:vAlign w:val="center"/>
          </w:tcPr>
          <w:p w14:paraId="3A3B7E1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−0.31186913</w:t>
            </w:r>
          </w:p>
        </w:tc>
      </w:tr>
      <w:tr w14:paraId="7D133378">
        <w:trPr>
          <w:tblCellSpacing w:w="15" w:type="dxa"/>
        </w:trPr>
        <w:tc>
          <w:tcPr>
            <w:tcW w:w="0" w:type="auto"/>
            <w:shd w:val="clear" w:color="auto" w:fill="auto"/>
            <w:vAlign w:val="center"/>
          </w:tcPr>
          <w:p w14:paraId="416A069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2CC54EE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0.00008865</w:t>
            </w:r>
          </w:p>
        </w:tc>
      </w:tr>
      <w:tr w14:paraId="3EDDAC96">
        <w:trPr>
          <w:tblCellSpacing w:w="15" w:type="dxa"/>
        </w:trPr>
        <w:tc>
          <w:tcPr>
            <w:tcW w:w="0" w:type="auto"/>
            <w:shd w:val="clear" w:color="auto" w:fill="auto"/>
            <w:vAlign w:val="center"/>
          </w:tcPr>
          <w:p w14:paraId="6591956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Male sex</w:t>
            </w:r>
          </w:p>
        </w:tc>
        <w:tc>
          <w:tcPr>
            <w:tcW w:w="0" w:type="auto"/>
            <w:shd w:val="clear" w:color="auto" w:fill="auto"/>
            <w:vAlign w:val="center"/>
          </w:tcPr>
          <w:p w14:paraId="50C6E6F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0.00012516</w:t>
            </w:r>
          </w:p>
        </w:tc>
      </w:tr>
      <w:tr w14:paraId="48980DF4">
        <w:trPr>
          <w:tblCellSpacing w:w="15" w:type="dxa"/>
        </w:trPr>
        <w:tc>
          <w:tcPr>
            <w:tcW w:w="0" w:type="auto"/>
            <w:shd w:val="clear" w:color="auto" w:fill="auto"/>
            <w:vAlign w:val="center"/>
          </w:tcPr>
          <w:p w14:paraId="1EB80DD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Body mass index, kg/m²</w:t>
            </w:r>
          </w:p>
        </w:tc>
        <w:tc>
          <w:tcPr>
            <w:tcW w:w="0" w:type="auto"/>
            <w:shd w:val="clear" w:color="auto" w:fill="auto"/>
            <w:vAlign w:val="center"/>
          </w:tcPr>
          <w:p w14:paraId="455C105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−0.00010752</w:t>
            </w:r>
          </w:p>
        </w:tc>
      </w:tr>
      <w:tr w14:paraId="2655BDFD">
        <w:trPr>
          <w:tblCellSpacing w:w="15" w:type="dxa"/>
        </w:trPr>
        <w:tc>
          <w:tcPr>
            <w:tcW w:w="0" w:type="auto"/>
            <w:shd w:val="clear" w:color="auto" w:fill="auto"/>
            <w:vAlign w:val="center"/>
          </w:tcPr>
          <w:p w14:paraId="4D12B9C5">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Smoking history</w:t>
            </w:r>
          </w:p>
        </w:tc>
        <w:tc>
          <w:tcPr>
            <w:tcW w:w="0" w:type="auto"/>
            <w:shd w:val="clear" w:color="auto" w:fill="auto"/>
            <w:vAlign w:val="center"/>
          </w:tcPr>
          <w:p w14:paraId="5173A4E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0.00003949</w:t>
            </w:r>
          </w:p>
        </w:tc>
      </w:tr>
      <w:tr w14:paraId="74BF1399">
        <w:trPr>
          <w:tblCellSpacing w:w="15" w:type="dxa"/>
        </w:trPr>
        <w:tc>
          <w:tcPr>
            <w:tcW w:w="0" w:type="auto"/>
            <w:shd w:val="clear" w:color="auto" w:fill="auto"/>
            <w:vAlign w:val="center"/>
          </w:tcPr>
          <w:p w14:paraId="0F811E2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Hypertension</w:t>
            </w:r>
          </w:p>
        </w:tc>
        <w:tc>
          <w:tcPr>
            <w:tcW w:w="0" w:type="auto"/>
            <w:shd w:val="clear" w:color="auto" w:fill="auto"/>
            <w:vAlign w:val="center"/>
          </w:tcPr>
          <w:p w14:paraId="30AACAF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−0.00001426</w:t>
            </w:r>
          </w:p>
        </w:tc>
      </w:tr>
      <w:tr w14:paraId="08E2C3C9">
        <w:trPr>
          <w:tblCellSpacing w:w="15" w:type="dxa"/>
        </w:trPr>
        <w:tc>
          <w:tcPr>
            <w:tcW w:w="0" w:type="auto"/>
            <w:shd w:val="clear" w:color="auto" w:fill="auto"/>
            <w:vAlign w:val="center"/>
          </w:tcPr>
          <w:p w14:paraId="0019415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Serum albumin, g/L</w:t>
            </w:r>
          </w:p>
        </w:tc>
        <w:tc>
          <w:tcPr>
            <w:tcW w:w="0" w:type="auto"/>
            <w:shd w:val="clear" w:color="auto" w:fill="auto"/>
            <w:vAlign w:val="center"/>
          </w:tcPr>
          <w:p w14:paraId="2FE0167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−0.00010861</w:t>
            </w:r>
          </w:p>
        </w:tc>
      </w:tr>
      <w:tr w14:paraId="0B9EAA04">
        <w:trPr>
          <w:tblCellSpacing w:w="15" w:type="dxa"/>
        </w:trPr>
        <w:tc>
          <w:tcPr>
            <w:tcW w:w="0" w:type="auto"/>
            <w:shd w:val="clear" w:color="auto" w:fill="auto"/>
            <w:vAlign w:val="center"/>
          </w:tcPr>
          <w:p w14:paraId="353ECCD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04805C3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0.00003495</w:t>
            </w:r>
          </w:p>
        </w:tc>
      </w:tr>
      <w:tr w14:paraId="5EF367F1">
        <w:trPr>
          <w:tblCellSpacing w:w="15" w:type="dxa"/>
        </w:trPr>
        <w:tc>
          <w:tcPr>
            <w:tcW w:w="0" w:type="auto"/>
            <w:shd w:val="clear" w:color="auto" w:fill="auto"/>
            <w:vAlign w:val="center"/>
          </w:tcPr>
          <w:p w14:paraId="10DAC07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shd w:val="clear" w:color="auto" w:fill="auto"/>
            <w:vAlign w:val="center"/>
          </w:tcPr>
          <w:p w14:paraId="5207C1D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0.00000452</w:t>
            </w:r>
          </w:p>
        </w:tc>
      </w:tr>
      <w:tr w14:paraId="1FE64DE3">
        <w:trPr>
          <w:tblCellSpacing w:w="15" w:type="dxa"/>
        </w:trPr>
        <w:tc>
          <w:tcPr>
            <w:tcW w:w="0" w:type="auto"/>
            <w:shd w:val="clear" w:color="auto" w:fill="auto"/>
            <w:vAlign w:val="center"/>
          </w:tcPr>
          <w:p w14:paraId="41AFA99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muscle thickness, mm</w:t>
            </w:r>
          </w:p>
        </w:tc>
        <w:tc>
          <w:tcPr>
            <w:tcW w:w="0" w:type="auto"/>
            <w:shd w:val="clear" w:color="auto" w:fill="auto"/>
            <w:vAlign w:val="center"/>
          </w:tcPr>
          <w:p w14:paraId="2886F2B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−0.00019848</w:t>
            </w:r>
          </w:p>
        </w:tc>
      </w:tr>
      <w:tr w14:paraId="204FE33A">
        <w:trPr>
          <w:tblCellSpacing w:w="15" w:type="dxa"/>
        </w:trPr>
        <w:tc>
          <w:tcPr>
            <w:tcW w:w="0" w:type="auto"/>
            <w:tcBorders>
              <w:bottom w:val="single" w:color="auto" w:sz="4" w:space="0"/>
            </w:tcBorders>
            <w:shd w:val="clear" w:color="auto" w:fill="auto"/>
            <w:vAlign w:val="center"/>
          </w:tcPr>
          <w:p w14:paraId="6943EBF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fat thickness, mm</w:t>
            </w:r>
          </w:p>
        </w:tc>
        <w:tc>
          <w:tcPr>
            <w:tcW w:w="0" w:type="auto"/>
            <w:tcBorders>
              <w:bottom w:val="single" w:color="auto" w:sz="4" w:space="0"/>
            </w:tcBorders>
            <w:shd w:val="clear" w:color="auto" w:fill="auto"/>
            <w:vAlign w:val="center"/>
          </w:tcPr>
          <w:p w14:paraId="7413B2D8">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−0.00001807</w:t>
            </w:r>
          </w:p>
        </w:tc>
      </w:tr>
    </w:tbl>
    <w:p w14:paraId="4BD318D5">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large Model 2 penalty produced extensive coefficient shrinkage. This resulted in a narrow distribution of predicted probabilities. The resulting prediction behavior was retained during the locked esophagectomy evaluation and was not modified through target-cohort refitting.</w:t>
      </w:r>
    </w:p>
    <w:p w14:paraId="24DC861B">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SF3.9 Frozen preprocessing parameters</w:t>
      </w:r>
    </w:p>
    <w:p w14:paraId="44DC92FD">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During model fitting, continuous predictors were standardized using means and standard deviations estimated from the VATS development cohort:</w:t>
      </w:r>
    </w:p>
    <w:p w14:paraId="4860F31D">
      <w:pPr>
        <w:pStyle w:val="9"/>
        <w:keepNext w:val="0"/>
        <w:keepLines w:val="0"/>
        <w:widowControl/>
        <w:suppressLineNumbers w:val="0"/>
        <w:rPr>
          <w:rFonts w:hint="default" w:ascii="Times New Roman Regular" w:hAnsi="Times New Roman Regular" w:cs="Times New Roman Regular"/>
          <w:b w:val="0"/>
          <w:bCs w:val="0"/>
          <w:sz w:val="24"/>
          <w:szCs w:val="24"/>
        </w:rPr>
      </w:pPr>
      <w:r>
        <w:rPr>
          <w:rStyle w:val="10"/>
          <w:rFonts w:hint="default" w:ascii="Times New Roman Regular" w:hAnsi="Times New Roman Regular" w:cs="Times New Roman Regular"/>
          <w:b w:val="0"/>
          <w:bCs w:val="0"/>
          <w:sz w:val="24"/>
          <w:szCs w:val="24"/>
        </w:rPr>
        <w:t>Standardized value = (observed value − VATS center)/VATS scale.</w:t>
      </w:r>
    </w:p>
    <w:p w14:paraId="164E4009">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frozen preprocessing parameters were:</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41"/>
        <w:gridCol w:w="1333"/>
        <w:gridCol w:w="1242"/>
      </w:tblGrid>
      <w:tr w14:paraId="0ECB066C">
        <w:trPr>
          <w:tblCellSpacing w:w="15" w:type="dxa"/>
        </w:trPr>
        <w:tc>
          <w:tcPr>
            <w:tcW w:w="0" w:type="auto"/>
            <w:tcBorders>
              <w:top w:val="single" w:color="auto" w:sz="4" w:space="0"/>
              <w:bottom w:val="single" w:color="auto" w:sz="4" w:space="0"/>
            </w:tcBorders>
            <w:shd w:val="clear" w:color="auto" w:fill="auto"/>
            <w:vAlign w:val="center"/>
          </w:tcPr>
          <w:p w14:paraId="10E9403D">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Predictor</w:t>
            </w:r>
          </w:p>
        </w:tc>
        <w:tc>
          <w:tcPr>
            <w:tcW w:w="0" w:type="auto"/>
            <w:tcBorders>
              <w:top w:val="single" w:color="auto" w:sz="4" w:space="0"/>
              <w:bottom w:val="single" w:color="auto" w:sz="4" w:space="0"/>
            </w:tcBorders>
            <w:shd w:val="clear" w:color="auto" w:fill="auto"/>
            <w:vAlign w:val="center"/>
          </w:tcPr>
          <w:p w14:paraId="34CC53A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VATS center</w:t>
            </w:r>
          </w:p>
        </w:tc>
        <w:tc>
          <w:tcPr>
            <w:tcW w:w="0" w:type="auto"/>
            <w:tcBorders>
              <w:top w:val="single" w:color="auto" w:sz="4" w:space="0"/>
              <w:bottom w:val="single" w:color="auto" w:sz="4" w:space="0"/>
            </w:tcBorders>
            <w:shd w:val="clear" w:color="auto" w:fill="auto"/>
            <w:vAlign w:val="center"/>
          </w:tcPr>
          <w:p w14:paraId="12412F8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VATS scale</w:t>
            </w:r>
          </w:p>
        </w:tc>
      </w:tr>
      <w:tr w14:paraId="4C9085AB">
        <w:trPr>
          <w:tblCellSpacing w:w="15" w:type="dxa"/>
        </w:trPr>
        <w:tc>
          <w:tcPr>
            <w:tcW w:w="0" w:type="auto"/>
            <w:shd w:val="clear" w:color="auto" w:fill="auto"/>
            <w:vAlign w:val="center"/>
          </w:tcPr>
          <w:p w14:paraId="676530CB">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Age, years</w:t>
            </w:r>
          </w:p>
        </w:tc>
        <w:tc>
          <w:tcPr>
            <w:tcW w:w="0" w:type="auto"/>
            <w:shd w:val="clear" w:color="auto" w:fill="auto"/>
            <w:vAlign w:val="center"/>
          </w:tcPr>
          <w:p w14:paraId="33652B6C">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60.667774</w:t>
            </w:r>
          </w:p>
        </w:tc>
        <w:tc>
          <w:tcPr>
            <w:tcW w:w="0" w:type="auto"/>
            <w:shd w:val="clear" w:color="auto" w:fill="auto"/>
            <w:vAlign w:val="center"/>
          </w:tcPr>
          <w:p w14:paraId="3C10964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11.246152</w:t>
            </w:r>
          </w:p>
        </w:tc>
      </w:tr>
      <w:tr w14:paraId="01E65441">
        <w:trPr>
          <w:tblCellSpacing w:w="15" w:type="dxa"/>
        </w:trPr>
        <w:tc>
          <w:tcPr>
            <w:tcW w:w="0" w:type="auto"/>
            <w:shd w:val="clear" w:color="auto" w:fill="auto"/>
            <w:vAlign w:val="center"/>
          </w:tcPr>
          <w:p w14:paraId="2C7D3771">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Body mass index, kg/m²</w:t>
            </w:r>
          </w:p>
        </w:tc>
        <w:tc>
          <w:tcPr>
            <w:tcW w:w="0" w:type="auto"/>
            <w:shd w:val="clear" w:color="auto" w:fill="auto"/>
            <w:vAlign w:val="center"/>
          </w:tcPr>
          <w:p w14:paraId="053E6BF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23.343987</w:t>
            </w:r>
          </w:p>
        </w:tc>
        <w:tc>
          <w:tcPr>
            <w:tcW w:w="0" w:type="auto"/>
            <w:shd w:val="clear" w:color="auto" w:fill="auto"/>
            <w:vAlign w:val="center"/>
          </w:tcPr>
          <w:p w14:paraId="1953740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3.448375</w:t>
            </w:r>
          </w:p>
        </w:tc>
      </w:tr>
      <w:tr w14:paraId="5FF17015">
        <w:trPr>
          <w:tblCellSpacing w:w="15" w:type="dxa"/>
        </w:trPr>
        <w:tc>
          <w:tcPr>
            <w:tcW w:w="0" w:type="auto"/>
            <w:shd w:val="clear" w:color="auto" w:fill="auto"/>
            <w:vAlign w:val="center"/>
          </w:tcPr>
          <w:p w14:paraId="52B8C56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Serum albumin, g/L</w:t>
            </w:r>
          </w:p>
        </w:tc>
        <w:tc>
          <w:tcPr>
            <w:tcW w:w="0" w:type="auto"/>
            <w:shd w:val="clear" w:color="auto" w:fill="auto"/>
            <w:vAlign w:val="center"/>
          </w:tcPr>
          <w:p w14:paraId="1A4925B3">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35.810133</w:t>
            </w:r>
          </w:p>
        </w:tc>
        <w:tc>
          <w:tcPr>
            <w:tcW w:w="0" w:type="auto"/>
            <w:shd w:val="clear" w:color="auto" w:fill="auto"/>
            <w:vAlign w:val="center"/>
          </w:tcPr>
          <w:p w14:paraId="14EA8C7E">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3.549914</w:t>
            </w:r>
          </w:p>
        </w:tc>
      </w:tr>
      <w:tr w14:paraId="704B0BD1">
        <w:trPr>
          <w:tblCellSpacing w:w="15" w:type="dxa"/>
        </w:trPr>
        <w:tc>
          <w:tcPr>
            <w:tcW w:w="0" w:type="auto"/>
            <w:shd w:val="clear" w:color="auto" w:fill="auto"/>
            <w:vAlign w:val="center"/>
          </w:tcPr>
          <w:p w14:paraId="654AA9F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FEV₁, % predicted</w:t>
            </w:r>
          </w:p>
        </w:tc>
        <w:tc>
          <w:tcPr>
            <w:tcW w:w="0" w:type="auto"/>
            <w:shd w:val="clear" w:color="auto" w:fill="auto"/>
            <w:vAlign w:val="center"/>
          </w:tcPr>
          <w:p w14:paraId="587E785F">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82.956811</w:t>
            </w:r>
          </w:p>
        </w:tc>
        <w:tc>
          <w:tcPr>
            <w:tcW w:w="0" w:type="auto"/>
            <w:shd w:val="clear" w:color="auto" w:fill="auto"/>
            <w:vAlign w:val="center"/>
          </w:tcPr>
          <w:p w14:paraId="462567A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7.404152</w:t>
            </w:r>
          </w:p>
        </w:tc>
      </w:tr>
      <w:tr w14:paraId="182234CE">
        <w:trPr>
          <w:tblCellSpacing w:w="15" w:type="dxa"/>
        </w:trPr>
        <w:tc>
          <w:tcPr>
            <w:tcW w:w="0" w:type="auto"/>
            <w:shd w:val="clear" w:color="auto" w:fill="auto"/>
            <w:vAlign w:val="center"/>
          </w:tcPr>
          <w:p w14:paraId="1CD7649A">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DLCO, % predicted</w:t>
            </w:r>
          </w:p>
        </w:tc>
        <w:tc>
          <w:tcPr>
            <w:tcW w:w="0" w:type="auto"/>
            <w:shd w:val="clear" w:color="auto" w:fill="auto"/>
            <w:vAlign w:val="center"/>
          </w:tcPr>
          <w:p w14:paraId="22F13027">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77.953488</w:t>
            </w:r>
          </w:p>
        </w:tc>
        <w:tc>
          <w:tcPr>
            <w:tcW w:w="0" w:type="auto"/>
            <w:shd w:val="clear" w:color="auto" w:fill="auto"/>
            <w:vAlign w:val="center"/>
          </w:tcPr>
          <w:p w14:paraId="1844449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7.843330</w:t>
            </w:r>
          </w:p>
        </w:tc>
      </w:tr>
      <w:tr w14:paraId="1F792989">
        <w:trPr>
          <w:tblCellSpacing w:w="15" w:type="dxa"/>
        </w:trPr>
        <w:tc>
          <w:tcPr>
            <w:tcW w:w="0" w:type="auto"/>
            <w:shd w:val="clear" w:color="auto" w:fill="auto"/>
            <w:vAlign w:val="center"/>
          </w:tcPr>
          <w:p w14:paraId="5869EE0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muscle thickness, mm</w:t>
            </w:r>
          </w:p>
        </w:tc>
        <w:tc>
          <w:tcPr>
            <w:tcW w:w="0" w:type="auto"/>
            <w:shd w:val="clear" w:color="auto" w:fill="auto"/>
            <w:vAlign w:val="center"/>
          </w:tcPr>
          <w:p w14:paraId="7C2076A9">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25.434252</w:t>
            </w:r>
          </w:p>
        </w:tc>
        <w:tc>
          <w:tcPr>
            <w:tcW w:w="0" w:type="auto"/>
            <w:shd w:val="clear" w:color="auto" w:fill="auto"/>
            <w:vAlign w:val="center"/>
          </w:tcPr>
          <w:p w14:paraId="642B49C6">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4.293086</w:t>
            </w:r>
          </w:p>
        </w:tc>
      </w:tr>
      <w:tr w14:paraId="6A4F2EA7">
        <w:trPr>
          <w:tblCellSpacing w:w="15" w:type="dxa"/>
        </w:trPr>
        <w:tc>
          <w:tcPr>
            <w:tcW w:w="0" w:type="auto"/>
            <w:tcBorders>
              <w:bottom w:val="single" w:color="auto" w:sz="4" w:space="0"/>
            </w:tcBorders>
            <w:shd w:val="clear" w:color="auto" w:fill="auto"/>
            <w:vAlign w:val="center"/>
          </w:tcPr>
          <w:p w14:paraId="5CFB97C4">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Mean thoracic fat thickness, mm</w:t>
            </w:r>
          </w:p>
        </w:tc>
        <w:tc>
          <w:tcPr>
            <w:tcW w:w="0" w:type="auto"/>
            <w:tcBorders>
              <w:bottom w:val="single" w:color="auto" w:sz="4" w:space="0"/>
            </w:tcBorders>
            <w:shd w:val="clear" w:color="auto" w:fill="auto"/>
            <w:vAlign w:val="center"/>
          </w:tcPr>
          <w:p w14:paraId="188340D0">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13.910842</w:t>
            </w:r>
          </w:p>
        </w:tc>
        <w:tc>
          <w:tcPr>
            <w:tcW w:w="0" w:type="auto"/>
            <w:tcBorders>
              <w:bottom w:val="single" w:color="auto" w:sz="4" w:space="0"/>
            </w:tcBorders>
            <w:shd w:val="clear" w:color="auto" w:fill="auto"/>
            <w:vAlign w:val="center"/>
          </w:tcPr>
          <w:p w14:paraId="3B752362">
            <w:pPr>
              <w:keepNext w:val="0"/>
              <w:keepLines w:val="0"/>
              <w:widowControl/>
              <w:suppressLineNumbers w:val="0"/>
              <w:jc w:val="left"/>
              <w:rPr>
                <w:rFonts w:hint="default" w:ascii="Times New Roman Regular" w:hAnsi="Times New Roman Regular" w:cs="Times New Roman Regular"/>
                <w:sz w:val="24"/>
                <w:szCs w:val="24"/>
              </w:rPr>
            </w:pPr>
            <w:r>
              <w:rPr>
                <w:rFonts w:hint="default" w:ascii="Times New Roman Regular" w:hAnsi="Times New Roman Regular" w:eastAsia="SimSun" w:cs="Times New Roman Regular"/>
                <w:kern w:val="0"/>
                <w:sz w:val="24"/>
                <w:szCs w:val="24"/>
                <w:lang w:val="en-US" w:eastAsia="zh-CN" w:bidi="ar"/>
              </w:rPr>
              <w:t>5.857754</w:t>
            </w:r>
          </w:p>
        </w:tc>
      </w:tr>
    </w:tbl>
    <w:p w14:paraId="5BF83818">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These VATS-derived parameters were applied unchanged during the locked esophagectomy evaluation. Binary predictors retained their prespecified 0/1 coding and were not standardized.</w:t>
      </w:r>
    </w:p>
    <w:p w14:paraId="40C45D79">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These preprocessing parameters document the original frozen pipeline. They should not be applied in addition to the raw-input equations presented in Sections SF3.7 and SF3.8 because those equations already incorporate the preprocessing transformation.</w:t>
      </w:r>
    </w:p>
    <w:p w14:paraId="4A8C9C8D">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SF3.10 Frozen-model application</w:t>
      </w:r>
    </w:p>
    <w:p w14:paraId="15BC2BDB">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Before locked evaluation, the following components were frozen:</w:t>
      </w:r>
    </w:p>
    <w:p w14:paraId="36ED671F">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Source outcome definition.</w:t>
      </w:r>
    </w:p>
    <w:p w14:paraId="48144F22">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Predictor definitions and coding rules.</w:t>
      </w:r>
    </w:p>
    <w:p w14:paraId="5C334DD7">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CT-composite formulas.</w:t>
      </w:r>
    </w:p>
    <w:p w14:paraId="4086A28B">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Preprocessing centers and scales.</w:t>
      </w:r>
    </w:p>
    <w:p w14:paraId="136E7C1A">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Model classes.</w:t>
      </w:r>
    </w:p>
    <w:p w14:paraId="1DB811B6">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Ridge penalties.</w:t>
      </w:r>
    </w:p>
    <w:p w14:paraId="7337270C">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Model intercepts and coefficients.</w:t>
      </w:r>
    </w:p>
    <w:p w14:paraId="35824C04">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Probability-calculation procedures.</w:t>
      </w:r>
    </w:p>
    <w:p w14:paraId="3F837914">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Performance measures.</w:t>
      </w:r>
    </w:p>
    <w:p w14:paraId="7051AC55">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Practical-null estimability rule.</w:t>
      </w:r>
    </w:p>
    <w:p w14:paraId="6D4CA6D6">
      <w:pPr>
        <w:pStyle w:val="9"/>
        <w:keepNext w:val="0"/>
        <w:keepLines w:val="0"/>
        <w:widowControl/>
        <w:numPr>
          <w:ilvl w:val="0"/>
          <w:numId w:val="0"/>
        </w:numPr>
        <w:suppressLineNumbers w:val="0"/>
        <w:ind w:leftChars="0" w:right="0" w:rightChars="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Analytical code and configuration.</w:t>
      </w:r>
    </w:p>
    <w:p w14:paraId="272811CD">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frozen VATS preprocessing parameters, coefficients, penalties, and prediction rules were applied without modification to the 299 esophagectomy patients. Target-cohort data were not used to redefine predictors, estimate source-model coefficients, select the ridge penalties, or optimize classification thresholds before the locked evaluation.</w:t>
      </w:r>
    </w:p>
    <w:p w14:paraId="1208B30A">
      <w:pPr>
        <w:pStyle w:val="3"/>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SF3.11 Intended interpretation</w:t>
      </w:r>
    </w:p>
    <w:p w14:paraId="4216FE97">
      <w:pPr>
        <w:pStyle w:val="9"/>
        <w:keepNext w:val="0"/>
        <w:keepLines w:val="0"/>
        <w:widowControl/>
        <w:suppressLineNumbers w:val="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The equations presented in this supplementary file reproduce the two frozen VATS prediction functions evaluated in the main manuscript. They are provided to satisfy reproducibility and reporting requirements. Neither model should currently be used for patient counseling, resource allocation, discharge planning, or other clinical decision-making without further procedure-specific development and independent validation.</w:t>
      </w:r>
    </w:p>
    <w:p w14:paraId="001D4E34">
      <w:pPr>
        <w:rPr>
          <w:rFonts w:hint="default" w:ascii="Times New Roman Regular" w:hAnsi="Times New Roman Regular" w:cs="Times New Roman Regular"/>
          <w:sz w:val="24"/>
          <w:szCs w:val="24"/>
        </w:rPr>
      </w:pPr>
    </w:p>
    <w:p w14:paraId="17720A1E">
      <w:pPr>
        <w:rPr>
          <w:rFonts w:hint="default"/>
          <w:lang w:val="en-US"/>
        </w:rPr>
      </w:pPr>
    </w:p>
    <w:bookmarkEnd w:id="0"/>
    <w:sectPr>
      <w:headerReference r:id="rId3" w:type="default"/>
      <w:pgSz w:w="11906" w:h="16838"/>
      <w:pgMar w:top="1440" w:right="1800" w:bottom="1440" w:left="1800" w:header="720" w:footer="720" w:gutter="0"/>
      <w:pgBorders w:offsetFrom="page">
        <w:top w:val="none" w:sz="0" w:space="0"/>
        <w:left w:val="none" w:sz="0" w:space="0"/>
        <w:bottom w:val="none" w:sz="0" w:space="0"/>
        <w:right w:val="none" w:sz="0" w:space="0"/>
      </w:pgBorders>
      <w:lnNumType w:countBy="1" w:restart="continuou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1D48D">
    <w:pPr>
      <w:pStyle w:val="8"/>
      <w:spacing w:before="0" w:beforeLines="151" w:beforeAutospacing="0"/>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9A78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GsbUAhAgAA&#10;YAQAAA4AAAAAAAAAAQAgAAAAHwEAAGRycy9lMm9Eb2MueG1sUEsFBgAAAAAGAAYAWQEAALIFAAAA&#10;AA==&#10;">
              <v:fill on="f" focussize="0,0"/>
              <v:stroke on="f" weight="0.5pt"/>
              <v:imagedata o:title=""/>
              <o:lock v:ext="edit" aspectratio="f"/>
              <v:textbox inset="0mm,0mm,0mm,0mm" style="mso-fit-shape-to-text:t;">
                <w:txbxContent>
                  <w:p w14:paraId="3419A785">
                    <w:pPr>
                      <w:pStyle w:val="8"/>
                    </w:pPr>
                    <w:r>
                      <w:fldChar w:fldCharType="begin"/>
                    </w:r>
                    <w:r>
                      <w:instrText xml:space="preserve"> PAGE  \* MERGEFORMAT </w:instrText>
                    </w:r>
                    <w:r>
                      <w:fldChar w:fldCharType="separate"/>
                    </w:r>
                    <w:r>
                      <w:t>1</w:t>
                    </w:r>
                    <w: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4"/>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FF6B0D"/>
    <w:rsid w:val="23FF6B0D"/>
    <w:rsid w:val="D3FFC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Emphasis"/>
    <w:basedOn w:val="5"/>
    <w:qFormat/>
    <w:uiPriority w:val="0"/>
    <w:rPr>
      <w:i/>
      <w:iCs/>
    </w:rPr>
  </w:style>
  <w:style w:type="paragraph" w:styleId="8">
    <w:name w:val="header"/>
    <w:basedOn w:val="1"/>
    <w:uiPriority w:val="0"/>
    <w:pPr>
      <w:tabs>
        <w:tab w:val="center" w:pos="4153"/>
        <w:tab w:val="right" w:pos="8306"/>
      </w:tabs>
      <w:snapToGrid w:val="0"/>
    </w:pPr>
    <w:rPr>
      <w:sz w:val="18"/>
      <w:szCs w:val="18"/>
    </w:rPr>
  </w:style>
  <w:style w:type="paragraph" w:styleId="9">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0">
    <w:name w:val="Strong"/>
    <w:basedOn w:val="5"/>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14</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2026-07-28T21:50:00Z</dcterms:created>
  <dc:creator>MOLEKA MICHAEL MOSEBETSI</dc:creator>
  <cp:lastModifiedBy>MOLEKA MICHAEL MOSEBETSI</cp:lastModifiedBy>
  <dcterms:modified xsi:type="dcterms:W3CDTF">2026-07-28T22:10:23Z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1033-12.1.26026.26026</vt:lpwstr>
  </property>
  <property fmtid="{D5CDD505-2E9C-101B-9397-08002B2CF9AE}" pid="3" name="ICV">
    <vt:lpwstr>B4DC8FFA28D7A6B3ACB3686A6430DD78_41</vt:lpwstr>
  </property>
</Properties>
</file>