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8C7AD" w14:textId="68B507FC" w:rsidR="00184C1D" w:rsidRDefault="00184C1D" w:rsidP="00184C1D">
      <w:pPr>
        <w:pStyle w:val="1"/>
        <w:rPr>
          <w:rFonts w:eastAsiaTheme="minorEastAsia"/>
        </w:rPr>
      </w:pPr>
      <w:r w:rsidRPr="00184C1D">
        <w:t xml:space="preserve">Supplementary </w:t>
      </w:r>
      <w:r w:rsidR="00403E21">
        <w:rPr>
          <w:rFonts w:eastAsiaTheme="minorEastAsia" w:hint="eastAsia"/>
        </w:rPr>
        <w:t>file</w:t>
      </w:r>
    </w:p>
    <w:p w14:paraId="563D1D5E" w14:textId="09AB8FA2" w:rsidR="00796B7D" w:rsidRPr="00911497" w:rsidRDefault="00796B7D" w:rsidP="00796B7D">
      <w:pPr>
        <w:pStyle w:val="1"/>
        <w:rPr>
          <w:rFonts w:eastAsiaTheme="minorEastAsia"/>
        </w:rPr>
      </w:pPr>
      <w:r>
        <w:rPr>
          <w:rFonts w:eastAsiaTheme="minorEastAsia" w:hint="eastAsia"/>
        </w:rPr>
        <w:t>1</w:t>
      </w:r>
      <w:r>
        <w:rPr>
          <w:rFonts w:hint="eastAsia"/>
        </w:rPr>
        <w:t>.</w:t>
      </w:r>
      <w:r>
        <w:t xml:space="preserve">Supplementary </w:t>
      </w:r>
      <w:r>
        <w:rPr>
          <w:rFonts w:hint="eastAsia"/>
        </w:rPr>
        <w:t>M</w:t>
      </w:r>
      <w:r>
        <w:t>ethods</w:t>
      </w:r>
    </w:p>
    <w:p w14:paraId="019C8D13" w14:textId="77777777" w:rsidR="00796B7D" w:rsidRPr="000A3E73" w:rsidRDefault="00796B7D" w:rsidP="00796B7D">
      <w:pPr>
        <w:snapToGrid w:val="0"/>
        <w:spacing w:line="480" w:lineRule="auto"/>
        <w:contextualSpacing/>
        <w:rPr>
          <w:rFonts w:ascii="Times New Roman" w:hAnsi="Times New Roman" w:cs="Times New Roman"/>
          <w:b/>
          <w:bCs/>
          <w:sz w:val="24"/>
        </w:rPr>
      </w:pPr>
      <w:r>
        <w:rPr>
          <w:rFonts w:ascii="Times New Roman" w:hAnsi="Times New Roman" w:cs="Times New Roman" w:hint="eastAsia"/>
          <w:b/>
          <w:bCs/>
          <w:sz w:val="24"/>
        </w:rPr>
        <w:t xml:space="preserve">1.1 </w:t>
      </w:r>
      <w:proofErr w:type="spellStart"/>
      <w:r w:rsidRPr="000A3E73">
        <w:rPr>
          <w:rFonts w:ascii="Times New Roman" w:hAnsi="Times New Roman" w:cs="Times New Roman"/>
          <w:b/>
          <w:bCs/>
          <w:sz w:val="24"/>
        </w:rPr>
        <w:t>fRPE</w:t>
      </w:r>
      <w:proofErr w:type="spellEnd"/>
      <w:r w:rsidRPr="000A3E73">
        <w:rPr>
          <w:rFonts w:ascii="Times New Roman" w:hAnsi="Times New Roman" w:cs="Times New Roman"/>
          <w:b/>
          <w:bCs/>
          <w:sz w:val="24"/>
        </w:rPr>
        <w:t xml:space="preserve"> cell extraction</w:t>
      </w:r>
    </w:p>
    <w:p w14:paraId="6DDCB0EC" w14:textId="77777777" w:rsidR="00796B7D" w:rsidRPr="000A3E73" w:rsidRDefault="00796B7D" w:rsidP="00796B7D">
      <w:pPr>
        <w:snapToGrid w:val="0"/>
        <w:spacing w:line="480" w:lineRule="auto"/>
        <w:contextualSpacing/>
        <w:rPr>
          <w:rFonts w:ascii="Times New Roman" w:hAnsi="Times New Roman" w:cs="Times New Roman"/>
          <w:sz w:val="24"/>
        </w:rPr>
      </w:pPr>
      <w:bookmarkStart w:id="0" w:name="OLE_LINK40"/>
      <w:r w:rsidRPr="000A3E73">
        <w:rPr>
          <w:rFonts w:ascii="Times New Roman" w:hAnsi="Times New Roman" w:cs="Times New Roman"/>
          <w:sz w:val="24"/>
        </w:rPr>
        <w:t xml:space="preserve">All aborted fetuses were collected at 11–13 weeks of gestation. Donors were screened to exclude infectious diseases (HIV, syphilis, HCV, HBV), cancer, malformations, genetic disorders, and family history of retinitis pigmentosa or retinal tumors to ensure the safety of </w:t>
      </w:r>
      <w:proofErr w:type="spellStart"/>
      <w:r w:rsidRPr="000A3E73">
        <w:rPr>
          <w:rFonts w:ascii="Times New Roman" w:hAnsi="Times New Roman" w:cs="Times New Roman"/>
          <w:sz w:val="24"/>
        </w:rPr>
        <w:t>fRPE</w:t>
      </w:r>
      <w:proofErr w:type="spellEnd"/>
      <w:r w:rsidRPr="000A3E73">
        <w:rPr>
          <w:rFonts w:ascii="Times New Roman" w:hAnsi="Times New Roman" w:cs="Times New Roman"/>
          <w:sz w:val="24"/>
        </w:rPr>
        <w:t xml:space="preserve"> cells. All procedures were performed in the National Stem Cell Clinical Trial Base of Jiangsu Provincial People’s Hospital. Fetal tissues were washed at least three times with ice-cold PBS containing penicillin, streptomycin, and anti-mycoplasma agents. Fetal eyes were dissected under a stereomicroscope in a laminar flow hood; after removing the anterior segment, vitreous, and retina, the entire RPE layer was carefully peeled from the choroid in ice-cold PBS. Isolation was completed within 4 h to maintain tissue viability. The RPE layer was digested in 0.25% trypsin for 7–15 min, and </w:t>
      </w:r>
      <w:proofErr w:type="spellStart"/>
      <w:r w:rsidRPr="000A3E73">
        <w:rPr>
          <w:rFonts w:ascii="Times New Roman" w:hAnsi="Times New Roman" w:cs="Times New Roman"/>
          <w:sz w:val="24"/>
        </w:rPr>
        <w:t>fRPE</w:t>
      </w:r>
      <w:proofErr w:type="spellEnd"/>
      <w:r w:rsidRPr="000A3E73">
        <w:rPr>
          <w:rFonts w:ascii="Times New Roman" w:hAnsi="Times New Roman" w:cs="Times New Roman"/>
          <w:sz w:val="24"/>
        </w:rPr>
        <w:t xml:space="preserve"> cells were seeded onto Matrigel-coated plates and cultured at 37 °C in a 5% CO₂ humidified atmosphere with subculture every 3 days. Confluent </w:t>
      </w:r>
      <w:proofErr w:type="spellStart"/>
      <w:r w:rsidRPr="000A3E73">
        <w:rPr>
          <w:rFonts w:ascii="Times New Roman" w:hAnsi="Times New Roman" w:cs="Times New Roman"/>
          <w:sz w:val="24"/>
        </w:rPr>
        <w:t>fRPE</w:t>
      </w:r>
      <w:proofErr w:type="spellEnd"/>
      <w:r w:rsidRPr="000A3E73">
        <w:rPr>
          <w:rFonts w:ascii="Times New Roman" w:hAnsi="Times New Roman" w:cs="Times New Roman"/>
          <w:sz w:val="24"/>
        </w:rPr>
        <w:t xml:space="preserve"> cells were subjected to passage, expansion, and cryopreservation.</w:t>
      </w:r>
    </w:p>
    <w:bookmarkEnd w:id="0"/>
    <w:p w14:paraId="467C2F38" w14:textId="77777777" w:rsidR="00796B7D" w:rsidRPr="000A3E73" w:rsidRDefault="00796B7D" w:rsidP="00796B7D">
      <w:pPr>
        <w:snapToGrid w:val="0"/>
        <w:spacing w:line="480" w:lineRule="auto"/>
        <w:contextualSpacing/>
        <w:rPr>
          <w:rFonts w:ascii="Times New Roman" w:hAnsi="Times New Roman" w:cs="Times New Roman"/>
          <w:sz w:val="24"/>
        </w:rPr>
      </w:pPr>
    </w:p>
    <w:p w14:paraId="252C4280" w14:textId="77777777" w:rsidR="00796B7D" w:rsidRPr="000A3E73" w:rsidRDefault="00796B7D" w:rsidP="00796B7D">
      <w:pPr>
        <w:snapToGrid w:val="0"/>
        <w:spacing w:line="480" w:lineRule="auto"/>
        <w:contextualSpacing/>
        <w:rPr>
          <w:rFonts w:ascii="Times New Roman" w:hAnsi="Times New Roman" w:cs="Times New Roman"/>
          <w:b/>
          <w:bCs/>
          <w:sz w:val="24"/>
        </w:rPr>
      </w:pPr>
      <w:r>
        <w:rPr>
          <w:rFonts w:ascii="Times New Roman" w:hAnsi="Times New Roman" w:cs="Times New Roman" w:hint="eastAsia"/>
          <w:b/>
          <w:bCs/>
          <w:sz w:val="24"/>
        </w:rPr>
        <w:t xml:space="preserve">1.2 </w:t>
      </w:r>
      <w:r w:rsidRPr="000A3E73">
        <w:rPr>
          <w:rFonts w:ascii="Times New Roman" w:hAnsi="Times New Roman" w:cs="Times New Roman"/>
          <w:b/>
          <w:bCs/>
          <w:sz w:val="24"/>
        </w:rPr>
        <w:t>Lentiviral Transduction</w:t>
      </w:r>
    </w:p>
    <w:p w14:paraId="2DFFE318" w14:textId="77777777" w:rsidR="00796B7D" w:rsidRPr="000A3E73" w:rsidRDefault="00796B7D" w:rsidP="00796B7D">
      <w:pPr>
        <w:snapToGrid w:val="0"/>
        <w:spacing w:line="480" w:lineRule="auto"/>
        <w:contextualSpacing/>
        <w:rPr>
          <w:rFonts w:ascii="Times New Roman" w:hAnsi="Times New Roman" w:cs="Times New Roman"/>
          <w:sz w:val="24"/>
        </w:rPr>
      </w:pPr>
      <w:r w:rsidRPr="000A3E73">
        <w:rPr>
          <w:rFonts w:ascii="Times New Roman" w:hAnsi="Times New Roman" w:cs="Times New Roman"/>
          <w:sz w:val="24"/>
        </w:rPr>
        <w:t xml:space="preserve">The lentiviral vector GV737 (element sequence: CMV-MCS-EF1a-mCherry-T2A-puromycin) was constructed by </w:t>
      </w:r>
      <w:proofErr w:type="spellStart"/>
      <w:r w:rsidRPr="000A3E73">
        <w:rPr>
          <w:rFonts w:ascii="Times New Roman" w:hAnsi="Times New Roman" w:cs="Times New Roman"/>
          <w:sz w:val="24"/>
        </w:rPr>
        <w:t>Genchem</w:t>
      </w:r>
      <w:proofErr w:type="spellEnd"/>
      <w:r w:rsidRPr="000A3E73">
        <w:rPr>
          <w:rFonts w:ascii="Times New Roman" w:hAnsi="Times New Roman" w:cs="Times New Roman"/>
          <w:sz w:val="24"/>
        </w:rPr>
        <w:t xml:space="preserve"> Biotech Co., Ltd. </w:t>
      </w:r>
      <w:proofErr w:type="spellStart"/>
      <w:r w:rsidRPr="000A3E73">
        <w:rPr>
          <w:rFonts w:ascii="Times New Roman" w:hAnsi="Times New Roman" w:cs="Times New Roman"/>
          <w:sz w:val="24"/>
        </w:rPr>
        <w:t>fRPE</w:t>
      </w:r>
      <w:proofErr w:type="spellEnd"/>
      <w:r w:rsidRPr="000A3E73">
        <w:rPr>
          <w:rFonts w:ascii="Times New Roman" w:hAnsi="Times New Roman" w:cs="Times New Roman"/>
          <w:sz w:val="24"/>
        </w:rPr>
        <w:t xml:space="preserve"> cells were transduced with the lentiviral plasmid at a multiplicity of infection (MOI) of 10 in the presence of the transduction reagent </w:t>
      </w:r>
      <w:proofErr w:type="spellStart"/>
      <w:r w:rsidRPr="000A3E73">
        <w:rPr>
          <w:rFonts w:ascii="Times New Roman" w:hAnsi="Times New Roman" w:cs="Times New Roman"/>
          <w:sz w:val="24"/>
        </w:rPr>
        <w:t>HitransG</w:t>
      </w:r>
      <w:proofErr w:type="spellEnd"/>
      <w:r w:rsidRPr="000A3E73">
        <w:rPr>
          <w:rFonts w:ascii="Times New Roman" w:hAnsi="Times New Roman" w:cs="Times New Roman"/>
          <w:sz w:val="24"/>
        </w:rPr>
        <w:t xml:space="preserve"> P. Flow cytometry was performed at 24 </w:t>
      </w:r>
      <w:r w:rsidRPr="000A3E73">
        <w:rPr>
          <w:rFonts w:ascii="Times New Roman" w:hAnsi="Times New Roman" w:cs="Times New Roman"/>
          <w:sz w:val="24"/>
        </w:rPr>
        <w:lastRenderedPageBreak/>
        <w:t>hours and 10 days post-transduction to quantify the transfection efficiency before proceeding with subsequent experiments.</w:t>
      </w:r>
    </w:p>
    <w:p w14:paraId="4CB7EB35" w14:textId="77777777" w:rsidR="00796B7D" w:rsidRPr="000A3E73" w:rsidRDefault="00796B7D" w:rsidP="00796B7D">
      <w:pPr>
        <w:snapToGrid w:val="0"/>
        <w:spacing w:line="480" w:lineRule="auto"/>
        <w:contextualSpacing/>
        <w:rPr>
          <w:rFonts w:ascii="Times New Roman" w:hAnsi="Times New Roman" w:cs="Times New Roman"/>
          <w:sz w:val="24"/>
        </w:rPr>
      </w:pPr>
    </w:p>
    <w:p w14:paraId="46C721C7" w14:textId="77777777" w:rsidR="00796B7D" w:rsidRPr="000A3E73" w:rsidRDefault="00796B7D" w:rsidP="00796B7D">
      <w:pPr>
        <w:snapToGrid w:val="0"/>
        <w:spacing w:line="480" w:lineRule="auto"/>
        <w:contextualSpacing/>
        <w:rPr>
          <w:rFonts w:ascii="Times New Roman" w:hAnsi="Times New Roman" w:cs="Times New Roman"/>
          <w:b/>
          <w:bCs/>
          <w:sz w:val="24"/>
        </w:rPr>
      </w:pPr>
      <w:r>
        <w:rPr>
          <w:rFonts w:ascii="Times New Roman" w:hAnsi="Times New Roman" w:cs="Times New Roman" w:hint="eastAsia"/>
          <w:b/>
          <w:bCs/>
          <w:sz w:val="24"/>
        </w:rPr>
        <w:t>1.</w:t>
      </w:r>
      <w:bookmarkStart w:id="1" w:name="OLE_LINK42"/>
      <w:r>
        <w:rPr>
          <w:rFonts w:ascii="Times New Roman" w:hAnsi="Times New Roman" w:cs="Times New Roman" w:hint="eastAsia"/>
          <w:b/>
          <w:bCs/>
          <w:sz w:val="24"/>
        </w:rPr>
        <w:t xml:space="preserve">3 </w:t>
      </w:r>
      <w:r w:rsidRPr="000A3E73">
        <w:rPr>
          <w:rFonts w:ascii="Times New Roman" w:hAnsi="Times New Roman" w:cs="Times New Roman"/>
          <w:b/>
          <w:bCs/>
          <w:sz w:val="24"/>
        </w:rPr>
        <w:t>Electroretinogram (ERG) detection</w:t>
      </w:r>
      <w:bookmarkEnd w:id="1"/>
    </w:p>
    <w:p w14:paraId="60679ABE" w14:textId="77777777" w:rsidR="00796B7D" w:rsidRPr="000A3E73" w:rsidRDefault="00796B7D" w:rsidP="00796B7D">
      <w:pPr>
        <w:snapToGrid w:val="0"/>
        <w:spacing w:line="480" w:lineRule="auto"/>
        <w:contextualSpacing/>
        <w:rPr>
          <w:rFonts w:ascii="Times New Roman" w:hAnsi="Times New Roman" w:cs="Times New Roman"/>
          <w:sz w:val="24"/>
        </w:rPr>
      </w:pPr>
      <w:r w:rsidRPr="000A3E73">
        <w:rPr>
          <w:rFonts w:ascii="Times New Roman" w:hAnsi="Times New Roman" w:cs="Times New Roman"/>
          <w:sz w:val="24"/>
        </w:rPr>
        <w:t xml:space="preserve">mice were dark-adapted for more than 12 hours in advance, and dim red light was used during the experiment. Mice were anesthetized with 1% sodium pentobarbital, followed by pupil dilation with compound tropicamide eye drops and corneal surface anesthesia with </w:t>
      </w:r>
      <w:proofErr w:type="spellStart"/>
      <w:r w:rsidRPr="000A3E73">
        <w:rPr>
          <w:rFonts w:ascii="Times New Roman" w:hAnsi="Times New Roman" w:cs="Times New Roman"/>
          <w:sz w:val="24"/>
        </w:rPr>
        <w:t>oxybuprocaine</w:t>
      </w:r>
      <w:proofErr w:type="spellEnd"/>
      <w:r w:rsidRPr="000A3E73">
        <w:rPr>
          <w:rFonts w:ascii="Times New Roman" w:hAnsi="Times New Roman" w:cs="Times New Roman"/>
          <w:sz w:val="24"/>
        </w:rPr>
        <w:t xml:space="preserve"> hydrochloride. The mice to be tested were placed on the electrophysiology instrument platform at a constant temperature of 37 ℃; the ground electrode was inserted into the mouse tail, the reference electrode was placed at the mid-posterior part of the mouse tongue, and the corneal electrode was fully contacted with the corneal surface. ERG responses of both eyes were recorded by stimulating with light intensities of 3.0 log (cd*s/m²) and 10.0 log (cd*s/m²), and the amplitudes of a-wave and b-wave were statistically analyzed.</w:t>
      </w:r>
    </w:p>
    <w:p w14:paraId="70931943" w14:textId="77777777" w:rsidR="00796B7D" w:rsidRPr="00796B7D" w:rsidRDefault="00796B7D" w:rsidP="00796B7D">
      <w:pPr>
        <w:rPr>
          <w:rFonts w:hint="eastAsia"/>
        </w:rPr>
      </w:pPr>
    </w:p>
    <w:p w14:paraId="669D64D4" w14:textId="75F88752" w:rsidR="00CF7D2B" w:rsidRPr="000A3E73" w:rsidRDefault="00796B7D" w:rsidP="00CF7D2B">
      <w:pPr>
        <w:pStyle w:val="1"/>
      </w:pPr>
      <w:r>
        <w:rPr>
          <w:rFonts w:eastAsiaTheme="minorEastAsia" w:hint="eastAsia"/>
        </w:rPr>
        <w:t>2</w:t>
      </w:r>
      <w:r w:rsidR="00CF7D2B">
        <w:rPr>
          <w:rFonts w:hint="eastAsia"/>
        </w:rPr>
        <w:t>.</w:t>
      </w:r>
      <w:r w:rsidR="00CF7D2B" w:rsidRPr="000A3E73">
        <w:t>Supplementary Figures</w:t>
      </w:r>
    </w:p>
    <w:p w14:paraId="3F31FEC5" w14:textId="59AF618E" w:rsidR="00CF7D2B" w:rsidRDefault="00A67C62" w:rsidP="00CF7D2B">
      <w:pPr>
        <w:tabs>
          <w:tab w:val="left" w:pos="5940"/>
        </w:tabs>
        <w:contextualSpacing/>
        <w:jc w:val="center"/>
        <w:rPr>
          <w:rFonts w:ascii="宋体" w:eastAsia="宋体" w:hAnsi="宋体" w:hint="eastAsia"/>
          <w:b/>
          <w:bCs/>
          <w:color w:val="000000" w:themeColor="text1"/>
        </w:rPr>
      </w:pPr>
      <w:r>
        <w:rPr>
          <w:rFonts w:ascii="宋体" w:eastAsia="宋体" w:hAnsi="宋体" w:hint="eastAsia"/>
          <w:b/>
          <w:bCs/>
          <w:noProof/>
          <w:color w:val="000000" w:themeColor="text1"/>
        </w:rPr>
        <w:drawing>
          <wp:inline distT="0" distB="0" distL="0" distR="0" wp14:anchorId="383E57D5" wp14:editId="36A1C314">
            <wp:extent cx="5274689" cy="225701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689" cy="2257018"/>
                    </a:xfrm>
                    <a:prstGeom prst="rect">
                      <a:avLst/>
                    </a:prstGeom>
                  </pic:spPr>
                </pic:pic>
              </a:graphicData>
            </a:graphic>
          </wp:inline>
        </w:drawing>
      </w:r>
    </w:p>
    <w:p w14:paraId="4A78AE70" w14:textId="6E347F19" w:rsidR="00CF7D2B" w:rsidRPr="00A114E1" w:rsidRDefault="00CF7D2B" w:rsidP="00A114E1">
      <w:pPr>
        <w:spacing w:line="480" w:lineRule="auto"/>
        <w:rPr>
          <w:rFonts w:ascii="Times New Roman" w:hAnsi="Times New Roman" w:cs="Times New Roman"/>
          <w:sz w:val="24"/>
        </w:rPr>
      </w:pPr>
      <w:r w:rsidRPr="00A114E1">
        <w:rPr>
          <w:rFonts w:ascii="Times New Roman" w:hAnsi="Times New Roman" w:cs="Times New Roman"/>
          <w:b/>
          <w:bCs/>
          <w:sz w:val="24"/>
        </w:rPr>
        <w:t>Fig.S1</w:t>
      </w:r>
      <w:r w:rsidRPr="00A114E1">
        <w:rPr>
          <w:rFonts w:ascii="Times New Roman" w:hAnsi="Times New Roman" w:cs="Times New Roman"/>
          <w:sz w:val="24"/>
        </w:rPr>
        <w:t xml:space="preserve"> Administration protocol of SjDX5-271 and time window for </w:t>
      </w:r>
      <w:proofErr w:type="spellStart"/>
      <w:r w:rsidRPr="00A114E1">
        <w:rPr>
          <w:rFonts w:ascii="Times New Roman" w:hAnsi="Times New Roman" w:cs="Times New Roman"/>
          <w:sz w:val="24"/>
        </w:rPr>
        <w:t>fRPE</w:t>
      </w:r>
      <w:proofErr w:type="spellEnd"/>
      <w:r w:rsidRPr="00A114E1">
        <w:rPr>
          <w:rFonts w:ascii="Times New Roman" w:hAnsi="Times New Roman" w:cs="Times New Roman"/>
          <w:sz w:val="24"/>
        </w:rPr>
        <w:t xml:space="preserve"> cell </w:t>
      </w:r>
      <w:r w:rsidRPr="00A114E1">
        <w:rPr>
          <w:rFonts w:ascii="Times New Roman" w:hAnsi="Times New Roman" w:cs="Times New Roman"/>
          <w:sz w:val="24"/>
        </w:rPr>
        <w:lastRenderedPageBreak/>
        <w:t>transplantation.</w:t>
      </w:r>
      <w:r w:rsidR="00B42070">
        <w:rPr>
          <w:rFonts w:ascii="Times New Roman" w:eastAsia="宋体" w:hAnsi="Times New Roman" w:cs="Times New Roman" w:hint="eastAsia"/>
          <w:b/>
          <w:bCs/>
          <w:color w:val="000000" w:themeColor="text1"/>
          <w:sz w:val="24"/>
        </w:rPr>
        <w:t xml:space="preserve"> </w:t>
      </w:r>
      <w:r w:rsidRPr="00A114E1">
        <w:rPr>
          <w:rFonts w:ascii="Times New Roman" w:eastAsia="宋体" w:hAnsi="Times New Roman" w:cs="Times New Roman"/>
          <w:color w:val="000000" w:themeColor="text1"/>
          <w:sz w:val="24"/>
        </w:rPr>
        <w:t xml:space="preserve">Schematic diagram illustrating the establishment of the retinal degenerative disease (RDD) mouse model, intravitreal injection of SjDX5-271, subretinal transplantation of </w:t>
      </w:r>
      <w:proofErr w:type="spellStart"/>
      <w:r w:rsidRPr="00A114E1">
        <w:rPr>
          <w:rFonts w:ascii="Times New Roman" w:eastAsia="宋体" w:hAnsi="Times New Roman" w:cs="Times New Roman"/>
          <w:color w:val="000000" w:themeColor="text1"/>
          <w:sz w:val="24"/>
        </w:rPr>
        <w:t>fRPE</w:t>
      </w:r>
      <w:proofErr w:type="spellEnd"/>
      <w:r w:rsidRPr="00A114E1">
        <w:rPr>
          <w:rFonts w:ascii="Times New Roman" w:eastAsia="宋体" w:hAnsi="Times New Roman" w:cs="Times New Roman"/>
          <w:color w:val="000000" w:themeColor="text1"/>
          <w:sz w:val="24"/>
        </w:rPr>
        <w:t xml:space="preserve"> cells, and the corresponding experimental timeline. A Hamilton </w:t>
      </w:r>
      <w:proofErr w:type="spellStart"/>
      <w:r w:rsidRPr="00A114E1">
        <w:rPr>
          <w:rFonts w:ascii="Times New Roman" w:eastAsia="宋体" w:hAnsi="Times New Roman" w:cs="Times New Roman"/>
          <w:color w:val="000000" w:themeColor="text1"/>
          <w:sz w:val="24"/>
        </w:rPr>
        <w:t>microsyringe</w:t>
      </w:r>
      <w:proofErr w:type="spellEnd"/>
      <w:r w:rsidRPr="00A114E1">
        <w:rPr>
          <w:rFonts w:ascii="Times New Roman" w:eastAsia="宋体" w:hAnsi="Times New Roman" w:cs="Times New Roman"/>
          <w:color w:val="000000" w:themeColor="text1"/>
          <w:sz w:val="24"/>
        </w:rPr>
        <w:t xml:space="preserve"> was used to aspirate 1 </w:t>
      </w:r>
      <w:proofErr w:type="spellStart"/>
      <w:r w:rsidRPr="00A114E1">
        <w:rPr>
          <w:rFonts w:ascii="Times New Roman" w:eastAsia="宋体" w:hAnsi="Times New Roman" w:cs="Times New Roman"/>
          <w:color w:val="000000" w:themeColor="text1"/>
          <w:sz w:val="24"/>
        </w:rPr>
        <w:t>μL</w:t>
      </w:r>
      <w:proofErr w:type="spellEnd"/>
      <w:r w:rsidRPr="00A114E1">
        <w:rPr>
          <w:rFonts w:ascii="Times New Roman" w:eastAsia="宋体" w:hAnsi="Times New Roman" w:cs="Times New Roman"/>
          <w:color w:val="000000" w:themeColor="text1"/>
          <w:sz w:val="24"/>
        </w:rPr>
        <w:t xml:space="preserve"> of </w:t>
      </w:r>
      <w:proofErr w:type="spellStart"/>
      <w:r w:rsidRPr="00A114E1">
        <w:rPr>
          <w:rFonts w:ascii="Times New Roman" w:eastAsia="宋体" w:hAnsi="Times New Roman" w:cs="Times New Roman"/>
          <w:color w:val="000000" w:themeColor="text1"/>
          <w:sz w:val="24"/>
        </w:rPr>
        <w:t>fRPE</w:t>
      </w:r>
      <w:proofErr w:type="spellEnd"/>
      <w:r w:rsidRPr="00A114E1">
        <w:rPr>
          <w:rFonts w:ascii="Times New Roman" w:eastAsia="宋体" w:hAnsi="Times New Roman" w:cs="Times New Roman"/>
          <w:color w:val="000000" w:themeColor="text1"/>
          <w:sz w:val="24"/>
        </w:rPr>
        <w:t xml:space="preserve"> cell suspension (</w:t>
      </w:r>
      <w:r w:rsidR="00876EB0">
        <w:rPr>
          <w:rFonts w:ascii="Times New Roman" w:eastAsia="宋体" w:hAnsi="Times New Roman" w:cs="Times New Roman" w:hint="eastAsia"/>
          <w:color w:val="000000" w:themeColor="text1"/>
          <w:sz w:val="24"/>
        </w:rPr>
        <w:t>1</w:t>
      </w:r>
      <w:r w:rsidRPr="00A114E1">
        <w:rPr>
          <w:rFonts w:ascii="Times New Roman" w:eastAsia="宋体" w:hAnsi="Times New Roman" w:cs="Times New Roman"/>
          <w:color w:val="000000" w:themeColor="text1"/>
          <w:sz w:val="24"/>
        </w:rPr>
        <w:t xml:space="preserve"> × 10</w:t>
      </w:r>
      <w:r w:rsidRPr="00A114E1">
        <w:rPr>
          <w:rFonts w:ascii="Times New Roman" w:eastAsia="微软雅黑" w:hAnsi="Times New Roman" w:cs="Times New Roman"/>
          <w:color w:val="000000" w:themeColor="text1"/>
          <w:sz w:val="24"/>
        </w:rPr>
        <w:t>⁵</w:t>
      </w:r>
      <w:r w:rsidRPr="00A114E1">
        <w:rPr>
          <w:rFonts w:ascii="Times New Roman" w:eastAsia="宋体" w:hAnsi="Times New Roman" w:cs="Times New Roman"/>
          <w:color w:val="000000" w:themeColor="text1"/>
          <w:sz w:val="24"/>
        </w:rPr>
        <w:t xml:space="preserve"> cells), which was subsequently injected into the subretinal space via a transscleral-</w:t>
      </w:r>
      <w:proofErr w:type="spellStart"/>
      <w:r w:rsidRPr="00A114E1">
        <w:rPr>
          <w:rFonts w:ascii="Times New Roman" w:eastAsia="宋体" w:hAnsi="Times New Roman" w:cs="Times New Roman"/>
          <w:color w:val="000000" w:themeColor="text1"/>
          <w:sz w:val="24"/>
        </w:rPr>
        <w:t>transchoroidal</w:t>
      </w:r>
      <w:proofErr w:type="spellEnd"/>
      <w:r w:rsidRPr="00A114E1">
        <w:rPr>
          <w:rFonts w:ascii="Times New Roman" w:eastAsia="宋体" w:hAnsi="Times New Roman" w:cs="Times New Roman"/>
          <w:color w:val="000000" w:themeColor="text1"/>
          <w:sz w:val="24"/>
        </w:rPr>
        <w:t xml:space="preserve"> external approach under stereomicroscopic visualization. </w:t>
      </w:r>
    </w:p>
    <w:p w14:paraId="12C8E21F" w14:textId="77777777" w:rsidR="00CF7D2B" w:rsidRPr="008D7E7E" w:rsidRDefault="00CF7D2B" w:rsidP="00CF7D2B">
      <w:pPr>
        <w:rPr>
          <w:rFonts w:ascii="Times New Roman" w:hAnsi="Times New Roman" w:cs="Times New Roman"/>
          <w:sz w:val="24"/>
        </w:rPr>
      </w:pPr>
    </w:p>
    <w:p w14:paraId="3F977429" w14:textId="5A97A7CD" w:rsidR="00CF7D2B" w:rsidRDefault="00230294" w:rsidP="00CF7D2B">
      <w:pPr>
        <w:jc w:val="center"/>
        <w:rPr>
          <w:rFonts w:hint="eastAsia"/>
        </w:rPr>
      </w:pPr>
      <w:r>
        <w:rPr>
          <w:rFonts w:hint="eastAsia"/>
          <w:noProof/>
        </w:rPr>
        <w:drawing>
          <wp:inline distT="0" distB="0" distL="0" distR="0" wp14:anchorId="070D54D8" wp14:editId="421A2F9D">
            <wp:extent cx="5678234" cy="414793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a:extLst>
                        <a:ext uri="{28A0092B-C50C-407E-A947-70E740481C1C}">
                          <a14:useLocalDpi xmlns:a14="http://schemas.microsoft.com/office/drawing/2010/main" val="0"/>
                        </a:ext>
                      </a:extLst>
                    </a:blip>
                    <a:stretch>
                      <a:fillRect/>
                    </a:stretch>
                  </pic:blipFill>
                  <pic:spPr>
                    <a:xfrm>
                      <a:off x="0" y="0"/>
                      <a:ext cx="5679818" cy="4149087"/>
                    </a:xfrm>
                    <a:prstGeom prst="rect">
                      <a:avLst/>
                    </a:prstGeom>
                  </pic:spPr>
                </pic:pic>
              </a:graphicData>
            </a:graphic>
          </wp:inline>
        </w:drawing>
      </w:r>
    </w:p>
    <w:p w14:paraId="12371526" w14:textId="7EB28FE4" w:rsidR="00CF7D2B" w:rsidRDefault="00CF7D2B" w:rsidP="001D3784">
      <w:pPr>
        <w:spacing w:line="480" w:lineRule="auto"/>
        <w:rPr>
          <w:rFonts w:ascii="Times New Roman" w:hAnsi="Times New Roman" w:cs="Times New Roman"/>
          <w:sz w:val="24"/>
        </w:rPr>
      </w:pPr>
      <w:r w:rsidRPr="001D3784">
        <w:rPr>
          <w:rFonts w:ascii="Times New Roman" w:hAnsi="Times New Roman" w:cs="Times New Roman"/>
          <w:b/>
          <w:bCs/>
          <w:sz w:val="24"/>
        </w:rPr>
        <w:t>Figure. S2</w:t>
      </w:r>
      <w:r w:rsidRPr="001D3784">
        <w:rPr>
          <w:rFonts w:ascii="Times New Roman" w:hAnsi="Times New Roman" w:cs="Times New Roman"/>
          <w:sz w:val="24"/>
        </w:rPr>
        <w:t xml:space="preserve"> SjDX5-271 promotes M2 polarization of BV2 microglial cells in co-culture with </w:t>
      </w:r>
      <w:proofErr w:type="spellStart"/>
      <w:r w:rsidRPr="001D3784">
        <w:rPr>
          <w:rFonts w:ascii="Times New Roman" w:hAnsi="Times New Roman" w:cs="Times New Roman"/>
          <w:sz w:val="24"/>
        </w:rPr>
        <w:t>fRPE</w:t>
      </w:r>
      <w:proofErr w:type="spellEnd"/>
      <w:r w:rsidRPr="001D3784">
        <w:rPr>
          <w:rFonts w:ascii="Times New Roman" w:hAnsi="Times New Roman" w:cs="Times New Roman"/>
          <w:sz w:val="24"/>
        </w:rPr>
        <w:t xml:space="preserve"> cell</w:t>
      </w:r>
      <w:r w:rsidR="00B42070" w:rsidRPr="001D3784">
        <w:rPr>
          <w:rFonts w:ascii="Times New Roman" w:hAnsi="Times New Roman" w:cs="Times New Roman"/>
          <w:sz w:val="24"/>
        </w:rPr>
        <w:t>.</w:t>
      </w:r>
      <w:r w:rsidR="00B42070" w:rsidRPr="001D3784">
        <w:rPr>
          <w:rFonts w:ascii="Times New Roman" w:hAnsi="Times New Roman" w:cs="Times New Roman"/>
          <w:b/>
          <w:bCs/>
          <w:sz w:val="24"/>
        </w:rPr>
        <w:t xml:space="preserve"> A:</w:t>
      </w:r>
      <w:r w:rsidRPr="001D3784">
        <w:rPr>
          <w:rFonts w:ascii="Times New Roman" w:hAnsi="Times New Roman" w:cs="Times New Roman"/>
          <w:sz w:val="24"/>
        </w:rPr>
        <w:t xml:space="preserve"> Relative mRNA expression levels of MRC1, ARG1, CD86, and </w:t>
      </w:r>
      <w:proofErr w:type="spellStart"/>
      <w:r w:rsidRPr="001D3784">
        <w:rPr>
          <w:rFonts w:ascii="Times New Roman" w:hAnsi="Times New Roman" w:cs="Times New Roman"/>
          <w:sz w:val="24"/>
        </w:rPr>
        <w:t>iNOS</w:t>
      </w:r>
      <w:proofErr w:type="spellEnd"/>
      <w:r w:rsidRPr="001D3784">
        <w:rPr>
          <w:rFonts w:ascii="Times New Roman" w:hAnsi="Times New Roman" w:cs="Times New Roman"/>
          <w:sz w:val="24"/>
        </w:rPr>
        <w:t xml:space="preserve"> in BV2 microglia were analyzed by quantitative PCR. MRC1 and ARG1 expression were significantly upregulated, whereas CD86 and </w:t>
      </w:r>
      <w:proofErr w:type="spellStart"/>
      <w:r w:rsidRPr="001D3784">
        <w:rPr>
          <w:rFonts w:ascii="Times New Roman" w:hAnsi="Times New Roman" w:cs="Times New Roman"/>
          <w:sz w:val="24"/>
        </w:rPr>
        <w:t>iNOS</w:t>
      </w:r>
      <w:proofErr w:type="spellEnd"/>
      <w:r w:rsidRPr="001D3784">
        <w:rPr>
          <w:rFonts w:ascii="Times New Roman" w:hAnsi="Times New Roman" w:cs="Times New Roman"/>
          <w:sz w:val="24"/>
        </w:rPr>
        <w:t xml:space="preserve"> expression were </w:t>
      </w:r>
      <w:r w:rsidRPr="001D3784">
        <w:rPr>
          <w:rFonts w:ascii="Times New Roman" w:hAnsi="Times New Roman" w:cs="Times New Roman"/>
          <w:sz w:val="24"/>
        </w:rPr>
        <w:lastRenderedPageBreak/>
        <w:t>significantly downregulated in the co-culture + SjDX5-271 group compared with the co-culture group</w:t>
      </w:r>
      <w:bookmarkStart w:id="2" w:name="OLE_LINK16"/>
      <w:r w:rsidR="00B42070" w:rsidRPr="001D3784">
        <w:rPr>
          <w:rFonts w:ascii="Times New Roman" w:hAnsi="Times New Roman" w:cs="Times New Roman"/>
          <w:sz w:val="24"/>
        </w:rPr>
        <w:t xml:space="preserve"> </w:t>
      </w:r>
      <w:bookmarkStart w:id="3" w:name="OLE_LINK17"/>
      <w:r w:rsidR="00B42070" w:rsidRPr="001D3784">
        <w:rPr>
          <w:rFonts w:ascii="Times New Roman" w:hAnsi="Times New Roman" w:cs="Times New Roman"/>
          <w:sz w:val="24"/>
        </w:rPr>
        <w:t>(</w:t>
      </w:r>
      <w:r w:rsidRPr="001D3784">
        <w:rPr>
          <w:rFonts w:ascii="Times New Roman" w:hAnsi="Times New Roman" w:cs="Times New Roman"/>
          <w:sz w:val="24"/>
        </w:rPr>
        <w:t>n = 3</w:t>
      </w:r>
      <w:r w:rsidR="00B42070" w:rsidRPr="001D3784">
        <w:rPr>
          <w:rFonts w:ascii="Times New Roman" w:hAnsi="Times New Roman" w:cs="Times New Roman"/>
          <w:sz w:val="24"/>
        </w:rPr>
        <w:t>)</w:t>
      </w:r>
      <w:bookmarkEnd w:id="3"/>
      <w:r w:rsidRPr="001D3784">
        <w:rPr>
          <w:rFonts w:ascii="Times New Roman" w:hAnsi="Times New Roman" w:cs="Times New Roman"/>
          <w:sz w:val="24"/>
        </w:rPr>
        <w:t xml:space="preserve">. </w:t>
      </w:r>
      <w:bookmarkEnd w:id="2"/>
      <w:r w:rsidRPr="001D3784">
        <w:rPr>
          <w:rFonts w:ascii="Times New Roman" w:hAnsi="Times New Roman" w:cs="Times New Roman"/>
          <w:b/>
          <w:bCs/>
          <w:sz w:val="24"/>
        </w:rPr>
        <w:t>B</w:t>
      </w:r>
      <w:r w:rsidR="00B42070" w:rsidRPr="001D3784">
        <w:rPr>
          <w:rFonts w:ascii="Times New Roman" w:hAnsi="Times New Roman" w:cs="Times New Roman"/>
          <w:b/>
          <w:bCs/>
          <w:sz w:val="24"/>
        </w:rPr>
        <w:t>:</w:t>
      </w:r>
      <w:r w:rsidRPr="001D3784">
        <w:rPr>
          <w:rFonts w:ascii="Times New Roman" w:hAnsi="Times New Roman" w:cs="Times New Roman"/>
          <w:sz w:val="24"/>
        </w:rPr>
        <w:t xml:space="preserve"> Representative flow cytometric analysis of CD206 and CD86 expression in BV2 </w:t>
      </w:r>
      <w:proofErr w:type="gramStart"/>
      <w:r w:rsidRPr="001D3784">
        <w:rPr>
          <w:rFonts w:ascii="Times New Roman" w:hAnsi="Times New Roman" w:cs="Times New Roman"/>
          <w:sz w:val="24"/>
        </w:rPr>
        <w:t>microglia</w:t>
      </w:r>
      <w:r w:rsidR="00B42070" w:rsidRPr="001D3784">
        <w:rPr>
          <w:rFonts w:ascii="Times New Roman" w:hAnsi="Times New Roman" w:cs="Times New Roman"/>
          <w:sz w:val="24"/>
        </w:rPr>
        <w:t>(</w:t>
      </w:r>
      <w:proofErr w:type="gramEnd"/>
      <w:r w:rsidR="00B42070" w:rsidRPr="001D3784">
        <w:rPr>
          <w:rFonts w:ascii="Times New Roman" w:hAnsi="Times New Roman" w:cs="Times New Roman"/>
          <w:sz w:val="24"/>
        </w:rPr>
        <w:t xml:space="preserve">n = 3). </w:t>
      </w:r>
      <w:r w:rsidRPr="001D3784">
        <w:rPr>
          <w:rFonts w:ascii="Times New Roman" w:hAnsi="Times New Roman" w:cs="Times New Roman"/>
          <w:b/>
          <w:bCs/>
          <w:sz w:val="24"/>
        </w:rPr>
        <w:t>C</w:t>
      </w:r>
      <w:r w:rsidR="00B42070" w:rsidRPr="001D3784">
        <w:rPr>
          <w:rFonts w:ascii="Times New Roman" w:hAnsi="Times New Roman" w:cs="Times New Roman"/>
          <w:b/>
          <w:bCs/>
          <w:sz w:val="24"/>
        </w:rPr>
        <w:t>:</w:t>
      </w:r>
      <w:r w:rsidRPr="001D3784">
        <w:rPr>
          <w:rFonts w:ascii="Times New Roman" w:hAnsi="Times New Roman" w:cs="Times New Roman"/>
          <w:sz w:val="24"/>
        </w:rPr>
        <w:t xml:space="preserve"> Quantification of microglial polarization subsets:</w:t>
      </w:r>
      <w:r w:rsidRPr="001D3784">
        <w:rPr>
          <w:rFonts w:ascii="Times New Roman" w:hAnsi="Times New Roman" w:cs="Times New Roman"/>
          <w:b/>
          <w:bCs/>
          <w:sz w:val="24"/>
        </w:rPr>
        <w:t xml:space="preserve"> (</w:t>
      </w:r>
      <w:r w:rsidR="00B42070" w:rsidRPr="001D3784">
        <w:rPr>
          <w:rFonts w:ascii="Times New Roman" w:hAnsi="Times New Roman" w:cs="Times New Roman"/>
          <w:b/>
          <w:bCs/>
          <w:sz w:val="24"/>
        </w:rPr>
        <w:t>C</w:t>
      </w:r>
      <w:r w:rsidRPr="001D3784">
        <w:rPr>
          <w:rFonts w:ascii="Times New Roman" w:hAnsi="Times New Roman" w:cs="Times New Roman"/>
          <w:b/>
          <w:bCs/>
          <w:sz w:val="24"/>
        </w:rPr>
        <w:t>a)</w:t>
      </w:r>
      <w:r w:rsidRPr="001D3784">
        <w:rPr>
          <w:rFonts w:ascii="Times New Roman" w:hAnsi="Times New Roman" w:cs="Times New Roman"/>
          <w:sz w:val="24"/>
        </w:rPr>
        <w:t xml:space="preserve"> Co-culture with </w:t>
      </w:r>
      <w:proofErr w:type="spellStart"/>
      <w:r w:rsidRPr="001D3784">
        <w:rPr>
          <w:rFonts w:ascii="Times New Roman" w:hAnsi="Times New Roman" w:cs="Times New Roman"/>
          <w:sz w:val="24"/>
        </w:rPr>
        <w:t>fRPE</w:t>
      </w:r>
      <w:proofErr w:type="spellEnd"/>
      <w:r w:rsidRPr="001D3784">
        <w:rPr>
          <w:rFonts w:ascii="Times New Roman" w:hAnsi="Times New Roman" w:cs="Times New Roman"/>
          <w:sz w:val="24"/>
        </w:rPr>
        <w:t xml:space="preserve"> cells for 24 hours induced significant BV2 microglial polarization; </w:t>
      </w:r>
      <w:r w:rsidRPr="001D3784">
        <w:rPr>
          <w:rFonts w:ascii="Times New Roman" w:hAnsi="Times New Roman" w:cs="Times New Roman"/>
          <w:b/>
          <w:bCs/>
          <w:sz w:val="24"/>
        </w:rPr>
        <w:t>(</w:t>
      </w:r>
      <w:proofErr w:type="spellStart"/>
      <w:r w:rsidR="00B42070" w:rsidRPr="001D3784">
        <w:rPr>
          <w:rFonts w:ascii="Times New Roman" w:hAnsi="Times New Roman" w:cs="Times New Roman"/>
          <w:b/>
          <w:bCs/>
          <w:sz w:val="24"/>
        </w:rPr>
        <w:t>C</w:t>
      </w:r>
      <w:r w:rsidRPr="001D3784">
        <w:rPr>
          <w:rFonts w:ascii="Times New Roman" w:hAnsi="Times New Roman" w:cs="Times New Roman"/>
          <w:b/>
          <w:bCs/>
          <w:sz w:val="24"/>
        </w:rPr>
        <w:t>b</w:t>
      </w:r>
      <w:proofErr w:type="spellEnd"/>
      <w:r w:rsidRPr="001D3784">
        <w:rPr>
          <w:rFonts w:ascii="Times New Roman" w:hAnsi="Times New Roman" w:cs="Times New Roman"/>
          <w:b/>
          <w:bCs/>
          <w:sz w:val="24"/>
        </w:rPr>
        <w:t>)</w:t>
      </w:r>
      <w:r w:rsidRPr="001D3784">
        <w:rPr>
          <w:rFonts w:ascii="Times New Roman" w:hAnsi="Times New Roman" w:cs="Times New Roman"/>
          <w:sz w:val="24"/>
        </w:rPr>
        <w:t xml:space="preserve"> The proportion of CD206</w:t>
      </w:r>
      <w:r w:rsidRPr="001D3784">
        <w:rPr>
          <w:rFonts w:ascii="Times New Roman" w:eastAsia="MS Gothic" w:hAnsi="Times New Roman" w:cs="Times New Roman"/>
          <w:sz w:val="24"/>
        </w:rPr>
        <w:t>⁺</w:t>
      </w:r>
      <w:r w:rsidRPr="001D3784">
        <w:rPr>
          <w:rFonts w:ascii="Times New Roman" w:hAnsi="Times New Roman" w:cs="Times New Roman"/>
          <w:sz w:val="24"/>
        </w:rPr>
        <w:t>CD86</w:t>
      </w:r>
      <w:r w:rsidRPr="001D3784">
        <w:rPr>
          <w:rFonts w:ascii="Times New Roman" w:eastAsia="MS Gothic" w:hAnsi="Times New Roman" w:cs="Times New Roman"/>
          <w:sz w:val="24"/>
        </w:rPr>
        <w:t>⁻</w:t>
      </w:r>
      <w:r w:rsidRPr="001D3784">
        <w:rPr>
          <w:rFonts w:ascii="Times New Roman" w:hAnsi="Times New Roman" w:cs="Times New Roman"/>
          <w:sz w:val="24"/>
        </w:rPr>
        <w:t xml:space="preserve"> cells was markedly increased in the co-culture + SjDX5-271 group compared with the co-culture group; </w:t>
      </w:r>
      <w:r w:rsidRPr="001D3784">
        <w:rPr>
          <w:rFonts w:ascii="Times New Roman" w:hAnsi="Times New Roman" w:cs="Times New Roman"/>
          <w:b/>
          <w:bCs/>
          <w:sz w:val="24"/>
        </w:rPr>
        <w:t>(</w:t>
      </w:r>
      <w:r w:rsidR="00B42070" w:rsidRPr="001D3784">
        <w:rPr>
          <w:rFonts w:ascii="Times New Roman" w:hAnsi="Times New Roman" w:cs="Times New Roman"/>
          <w:b/>
          <w:bCs/>
          <w:sz w:val="24"/>
        </w:rPr>
        <w:t>C</w:t>
      </w:r>
      <w:r w:rsidRPr="001D3784">
        <w:rPr>
          <w:rFonts w:ascii="Times New Roman" w:hAnsi="Times New Roman" w:cs="Times New Roman"/>
          <w:b/>
          <w:bCs/>
          <w:sz w:val="24"/>
        </w:rPr>
        <w:t>c)</w:t>
      </w:r>
      <w:r w:rsidRPr="001D3784">
        <w:rPr>
          <w:rFonts w:ascii="Times New Roman" w:hAnsi="Times New Roman" w:cs="Times New Roman"/>
          <w:sz w:val="24"/>
        </w:rPr>
        <w:t xml:space="preserve"> The proportion of CD206</w:t>
      </w:r>
      <w:r w:rsidRPr="001D3784">
        <w:rPr>
          <w:rFonts w:ascii="Times New Roman" w:eastAsia="MS Gothic" w:hAnsi="Times New Roman" w:cs="Times New Roman"/>
          <w:sz w:val="24"/>
        </w:rPr>
        <w:t>⁻</w:t>
      </w:r>
      <w:r w:rsidRPr="001D3784">
        <w:rPr>
          <w:rFonts w:ascii="Times New Roman" w:hAnsi="Times New Roman" w:cs="Times New Roman"/>
          <w:sz w:val="24"/>
        </w:rPr>
        <w:t>CD86</w:t>
      </w:r>
      <w:r w:rsidRPr="001D3784">
        <w:rPr>
          <w:rFonts w:ascii="Times New Roman" w:eastAsia="MS Gothic" w:hAnsi="Times New Roman" w:cs="Times New Roman"/>
          <w:sz w:val="24"/>
        </w:rPr>
        <w:t>⁺</w:t>
      </w:r>
      <w:r w:rsidRPr="001D3784">
        <w:rPr>
          <w:rFonts w:ascii="Times New Roman" w:hAnsi="Times New Roman" w:cs="Times New Roman"/>
          <w:sz w:val="24"/>
        </w:rPr>
        <w:t xml:space="preserve"> cells was significantly decreased in the co-culture + SjDX5-271 group compared with the co-culture group. </w:t>
      </w:r>
      <w:r w:rsidRPr="001D3784">
        <w:rPr>
          <w:rFonts w:ascii="Times New Roman" w:hAnsi="Times New Roman" w:cs="Times New Roman"/>
          <w:b/>
          <w:bCs/>
          <w:sz w:val="24"/>
        </w:rPr>
        <w:t>D</w:t>
      </w:r>
      <w:r w:rsidR="00B42070" w:rsidRPr="001D3784">
        <w:rPr>
          <w:rFonts w:ascii="Times New Roman" w:hAnsi="Times New Roman" w:cs="Times New Roman"/>
          <w:b/>
          <w:bCs/>
          <w:sz w:val="24"/>
        </w:rPr>
        <w:t>:</w:t>
      </w:r>
      <w:r w:rsidRPr="001D3784">
        <w:rPr>
          <w:rFonts w:ascii="Times New Roman" w:hAnsi="Times New Roman" w:cs="Times New Roman"/>
          <w:sz w:val="24"/>
        </w:rPr>
        <w:t xml:space="preserve"> Representative immunofluorescence images showing BV2 microglial polarization status. Red: (</w:t>
      </w:r>
      <w:r w:rsidR="00B42070" w:rsidRPr="001D3784">
        <w:rPr>
          <w:rFonts w:ascii="Times New Roman" w:hAnsi="Times New Roman" w:cs="Times New Roman"/>
          <w:sz w:val="24"/>
        </w:rPr>
        <w:t>D</w:t>
      </w:r>
      <w:r w:rsidRPr="001D3784">
        <w:rPr>
          <w:rFonts w:ascii="Times New Roman" w:hAnsi="Times New Roman" w:cs="Times New Roman"/>
          <w:sz w:val="24"/>
        </w:rPr>
        <w:t>a) CD206, (</w:t>
      </w:r>
      <w:r w:rsidR="00B42070" w:rsidRPr="001D3784">
        <w:rPr>
          <w:rFonts w:ascii="Times New Roman" w:hAnsi="Times New Roman" w:cs="Times New Roman"/>
          <w:sz w:val="24"/>
        </w:rPr>
        <w:t>D</w:t>
      </w:r>
      <w:r w:rsidRPr="001D3784">
        <w:rPr>
          <w:rFonts w:ascii="Times New Roman" w:hAnsi="Times New Roman" w:cs="Times New Roman"/>
          <w:sz w:val="24"/>
        </w:rPr>
        <w:t xml:space="preserve">b) </w:t>
      </w:r>
      <w:proofErr w:type="spellStart"/>
      <w:r w:rsidRPr="001D3784">
        <w:rPr>
          <w:rFonts w:ascii="Times New Roman" w:hAnsi="Times New Roman" w:cs="Times New Roman"/>
          <w:sz w:val="24"/>
        </w:rPr>
        <w:t>iNOS</w:t>
      </w:r>
      <w:proofErr w:type="spellEnd"/>
      <w:r w:rsidRPr="001D3784">
        <w:rPr>
          <w:rFonts w:ascii="Times New Roman" w:hAnsi="Times New Roman" w:cs="Times New Roman"/>
          <w:sz w:val="24"/>
        </w:rPr>
        <w:t>; Green: IBA1; Blue: DAPI. Scale bar</w:t>
      </w:r>
      <w:r w:rsidR="00B42070" w:rsidRPr="001D3784">
        <w:rPr>
          <w:rFonts w:ascii="Times New Roman" w:hAnsi="Times New Roman" w:cs="Times New Roman"/>
          <w:sz w:val="24"/>
        </w:rPr>
        <w:t xml:space="preserve"> = </w:t>
      </w:r>
      <w:r w:rsidRPr="001D3784">
        <w:rPr>
          <w:rFonts w:ascii="Times New Roman" w:hAnsi="Times New Roman" w:cs="Times New Roman"/>
          <w:sz w:val="24"/>
        </w:rPr>
        <w:t xml:space="preserve">100 </w:t>
      </w:r>
      <w:proofErr w:type="spellStart"/>
      <w:r w:rsidRPr="001D3784">
        <w:rPr>
          <w:rFonts w:ascii="Times New Roman" w:hAnsi="Times New Roman" w:cs="Times New Roman"/>
          <w:sz w:val="24"/>
        </w:rPr>
        <w:t>μm</w:t>
      </w:r>
      <w:proofErr w:type="spellEnd"/>
      <w:r w:rsidRPr="001D3784">
        <w:rPr>
          <w:rFonts w:ascii="Times New Roman" w:hAnsi="Times New Roman" w:cs="Times New Roman"/>
          <w:sz w:val="24"/>
        </w:rPr>
        <w:t xml:space="preserve">. </w:t>
      </w:r>
      <w:r w:rsidRPr="001D3784">
        <w:rPr>
          <w:rFonts w:ascii="Times New Roman" w:hAnsi="Times New Roman" w:cs="Times New Roman"/>
          <w:b/>
          <w:bCs/>
          <w:sz w:val="24"/>
        </w:rPr>
        <w:t>E</w:t>
      </w:r>
      <w:r w:rsidR="00B42070" w:rsidRPr="001D3784">
        <w:rPr>
          <w:rFonts w:ascii="Times New Roman" w:hAnsi="Times New Roman" w:cs="Times New Roman"/>
          <w:b/>
          <w:bCs/>
          <w:sz w:val="24"/>
        </w:rPr>
        <w:t>:</w:t>
      </w:r>
      <w:r w:rsidRPr="001D3784">
        <w:rPr>
          <w:rFonts w:ascii="Times New Roman" w:hAnsi="Times New Roman" w:cs="Times New Roman"/>
          <w:sz w:val="24"/>
        </w:rPr>
        <w:t xml:space="preserve"> Quantification of immunofluorescence staining: </w:t>
      </w:r>
      <w:r w:rsidRPr="001D3784">
        <w:rPr>
          <w:rFonts w:ascii="Times New Roman" w:hAnsi="Times New Roman" w:cs="Times New Roman"/>
          <w:b/>
          <w:bCs/>
          <w:sz w:val="24"/>
        </w:rPr>
        <w:t>(</w:t>
      </w:r>
      <w:proofErr w:type="spellStart"/>
      <w:r w:rsidR="00B42070" w:rsidRPr="001D3784">
        <w:rPr>
          <w:rFonts w:ascii="Times New Roman" w:hAnsi="Times New Roman" w:cs="Times New Roman"/>
          <w:b/>
          <w:bCs/>
          <w:sz w:val="24"/>
        </w:rPr>
        <w:t>E</w:t>
      </w:r>
      <w:r w:rsidRPr="001D3784">
        <w:rPr>
          <w:rFonts w:ascii="Times New Roman" w:hAnsi="Times New Roman" w:cs="Times New Roman"/>
          <w:b/>
          <w:bCs/>
          <w:sz w:val="24"/>
        </w:rPr>
        <w:t>a</w:t>
      </w:r>
      <w:proofErr w:type="spellEnd"/>
      <w:r w:rsidRPr="001D3784">
        <w:rPr>
          <w:rFonts w:ascii="Times New Roman" w:hAnsi="Times New Roman" w:cs="Times New Roman"/>
          <w:b/>
          <w:bCs/>
          <w:sz w:val="24"/>
        </w:rPr>
        <w:t>)</w:t>
      </w:r>
      <w:r w:rsidRPr="001D3784">
        <w:rPr>
          <w:rFonts w:ascii="Times New Roman" w:hAnsi="Times New Roman" w:cs="Times New Roman"/>
          <w:sz w:val="24"/>
        </w:rPr>
        <w:t xml:space="preserve"> The number of IBA1</w:t>
      </w:r>
      <w:r w:rsidRPr="001D3784">
        <w:rPr>
          <w:rFonts w:ascii="Times New Roman" w:eastAsia="MS Gothic" w:hAnsi="Times New Roman" w:cs="Times New Roman"/>
          <w:sz w:val="24"/>
        </w:rPr>
        <w:t>⁺</w:t>
      </w:r>
      <w:r w:rsidRPr="001D3784">
        <w:rPr>
          <w:rFonts w:ascii="Times New Roman" w:hAnsi="Times New Roman" w:cs="Times New Roman"/>
          <w:sz w:val="24"/>
        </w:rPr>
        <w:t>CD206</w:t>
      </w:r>
      <w:r w:rsidRPr="001D3784">
        <w:rPr>
          <w:rFonts w:ascii="Times New Roman" w:eastAsia="MS Gothic" w:hAnsi="Times New Roman" w:cs="Times New Roman"/>
          <w:sz w:val="24"/>
        </w:rPr>
        <w:t>⁺</w:t>
      </w:r>
      <w:r w:rsidRPr="001D3784">
        <w:rPr>
          <w:rFonts w:ascii="Times New Roman" w:hAnsi="Times New Roman" w:cs="Times New Roman"/>
          <w:sz w:val="24"/>
        </w:rPr>
        <w:t xml:space="preserve"> cells </w:t>
      </w:r>
      <w:proofErr w:type="gramStart"/>
      <w:r w:rsidRPr="001D3784">
        <w:rPr>
          <w:rFonts w:ascii="Times New Roman" w:hAnsi="Times New Roman" w:cs="Times New Roman"/>
          <w:sz w:val="24"/>
        </w:rPr>
        <w:t>was</w:t>
      </w:r>
      <w:proofErr w:type="gramEnd"/>
      <w:r w:rsidRPr="001D3784">
        <w:rPr>
          <w:rFonts w:ascii="Times New Roman" w:hAnsi="Times New Roman" w:cs="Times New Roman"/>
          <w:sz w:val="24"/>
        </w:rPr>
        <w:t xml:space="preserve"> significantly higher in the co-culture + SjDX5-271 group than in the co-culture group;</w:t>
      </w:r>
      <w:r w:rsidRPr="001D3784">
        <w:rPr>
          <w:rFonts w:ascii="Times New Roman" w:hAnsi="Times New Roman" w:cs="Times New Roman"/>
          <w:b/>
          <w:bCs/>
          <w:sz w:val="24"/>
        </w:rPr>
        <w:t xml:space="preserve"> (</w:t>
      </w:r>
      <w:r w:rsidR="00B42070" w:rsidRPr="001D3784">
        <w:rPr>
          <w:rFonts w:ascii="Times New Roman" w:hAnsi="Times New Roman" w:cs="Times New Roman"/>
          <w:b/>
          <w:bCs/>
          <w:sz w:val="24"/>
        </w:rPr>
        <w:t>E</w:t>
      </w:r>
      <w:r w:rsidRPr="001D3784">
        <w:rPr>
          <w:rFonts w:ascii="Times New Roman" w:hAnsi="Times New Roman" w:cs="Times New Roman"/>
          <w:b/>
          <w:bCs/>
          <w:sz w:val="24"/>
        </w:rPr>
        <w:t>b)</w:t>
      </w:r>
      <w:r w:rsidRPr="001D3784">
        <w:rPr>
          <w:rFonts w:ascii="Times New Roman" w:hAnsi="Times New Roman" w:cs="Times New Roman"/>
          <w:sz w:val="24"/>
        </w:rPr>
        <w:t xml:space="preserve"> The number of IBA1</w:t>
      </w:r>
      <w:r w:rsidRPr="001D3784">
        <w:rPr>
          <w:rFonts w:ascii="Times New Roman" w:eastAsia="MS Gothic" w:hAnsi="Times New Roman" w:cs="Times New Roman"/>
          <w:sz w:val="24"/>
        </w:rPr>
        <w:t>⁺</w:t>
      </w:r>
      <w:r w:rsidRPr="001D3784">
        <w:rPr>
          <w:rFonts w:ascii="Times New Roman" w:hAnsi="Times New Roman" w:cs="Times New Roman"/>
          <w:sz w:val="24"/>
        </w:rPr>
        <w:t>iNOS</w:t>
      </w:r>
      <w:r w:rsidRPr="001D3784">
        <w:rPr>
          <w:rFonts w:ascii="Times New Roman" w:eastAsia="MS Gothic" w:hAnsi="Times New Roman" w:cs="Times New Roman"/>
          <w:sz w:val="24"/>
        </w:rPr>
        <w:t>⁺</w:t>
      </w:r>
      <w:r w:rsidRPr="001D3784">
        <w:rPr>
          <w:rFonts w:ascii="Times New Roman" w:hAnsi="Times New Roman" w:cs="Times New Roman"/>
          <w:sz w:val="24"/>
        </w:rPr>
        <w:t xml:space="preserve"> cells was significantly lower in the co-culture + SjDX5-271 group than in the co-culture group. Data are presented as mean </w:t>
      </w:r>
      <w:r w:rsidRPr="001D3784">
        <w:rPr>
          <w:rFonts w:ascii="Times New Roman" w:eastAsia="等线" w:hAnsi="Times New Roman" w:cs="Times New Roman"/>
          <w:sz w:val="24"/>
        </w:rPr>
        <w:t>±</w:t>
      </w:r>
      <w:r w:rsidRPr="001D3784">
        <w:rPr>
          <w:rFonts w:ascii="Times New Roman" w:hAnsi="Times New Roman" w:cs="Times New Roman"/>
          <w:sz w:val="24"/>
        </w:rPr>
        <w:t xml:space="preserve"> SEM. *P &lt; 0.05, **P &lt; 0.01, ***P &lt; 0.001; NS, not significant</w:t>
      </w:r>
      <w:r w:rsidR="00B42070" w:rsidRPr="001D3784">
        <w:rPr>
          <w:rFonts w:ascii="Times New Roman" w:hAnsi="Times New Roman" w:cs="Times New Roman"/>
          <w:sz w:val="24"/>
        </w:rPr>
        <w:t>.</w:t>
      </w:r>
    </w:p>
    <w:p w14:paraId="3E213C62" w14:textId="77777777" w:rsidR="00487D9B" w:rsidRPr="00487D9B" w:rsidRDefault="00487D9B" w:rsidP="001D3784">
      <w:pPr>
        <w:spacing w:line="480" w:lineRule="auto"/>
        <w:rPr>
          <w:rFonts w:ascii="Times New Roman" w:hAnsi="Times New Roman" w:cs="Times New Roman" w:hint="eastAsia"/>
          <w:sz w:val="24"/>
        </w:rPr>
      </w:pPr>
    </w:p>
    <w:p w14:paraId="040083FB" w14:textId="25C43BCD" w:rsidR="00796B7D" w:rsidRPr="00796B7D" w:rsidRDefault="00796B7D" w:rsidP="00796B7D">
      <w:pPr>
        <w:pStyle w:val="1"/>
        <w:rPr>
          <w:rFonts w:eastAsiaTheme="minorEastAsia" w:hint="eastAsia"/>
        </w:rPr>
      </w:pPr>
      <w:r>
        <w:rPr>
          <w:rFonts w:eastAsiaTheme="minorEastAsia" w:hint="eastAsia"/>
        </w:rPr>
        <w:t>2</w:t>
      </w:r>
      <w:r>
        <w:rPr>
          <w:rFonts w:hint="eastAsia"/>
        </w:rPr>
        <w:t>.</w:t>
      </w:r>
      <w:r w:rsidRPr="000A3E73">
        <w:t>Supplementary</w:t>
      </w:r>
      <w:r>
        <w:rPr>
          <w:rFonts w:eastAsiaTheme="minorEastAsia" w:hint="eastAsia"/>
        </w:rPr>
        <w:t xml:space="preserve"> </w:t>
      </w:r>
      <w:r w:rsidRPr="00796B7D">
        <w:rPr>
          <w:rFonts w:eastAsiaTheme="minorEastAsia" w:hint="eastAsia"/>
        </w:rPr>
        <w:t>Table</w:t>
      </w:r>
      <w:r w:rsidRPr="000A3E73">
        <w:t xml:space="preserve"> </w:t>
      </w:r>
    </w:p>
    <w:p w14:paraId="1CFA91C7" w14:textId="64C16658" w:rsidR="00260C02" w:rsidRPr="005460BE" w:rsidRDefault="00796B7D" w:rsidP="005460BE">
      <w:pPr>
        <w:spacing w:line="480" w:lineRule="auto"/>
        <w:rPr>
          <w:rFonts w:ascii="Times New Roman" w:hAnsi="Times New Roman" w:cs="Times New Roman" w:hint="eastAsia"/>
          <w:sz w:val="24"/>
        </w:rPr>
      </w:pPr>
      <w:bookmarkStart w:id="4" w:name="_Hlk236055432"/>
      <w:r w:rsidRPr="005460BE">
        <w:rPr>
          <w:rFonts w:ascii="Times New Roman" w:hAnsi="Times New Roman" w:cs="Times New Roman"/>
          <w:sz w:val="24"/>
        </w:rPr>
        <w:t>Table</w:t>
      </w:r>
      <w:bookmarkEnd w:id="4"/>
      <w:r w:rsidRPr="005460BE">
        <w:rPr>
          <w:rFonts w:ascii="Times New Roman" w:hAnsi="Times New Roman" w:cs="Times New Roman"/>
          <w:sz w:val="24"/>
        </w:rPr>
        <w:t xml:space="preserve"> 1.</w:t>
      </w:r>
      <w:r w:rsidR="00835F36" w:rsidRPr="005460BE">
        <w:rPr>
          <w:rFonts w:ascii="Times New Roman" w:hAnsi="Times New Roman" w:cs="Times New Roman"/>
          <w:sz w:val="24"/>
        </w:rPr>
        <w:t xml:space="preserve"> </w:t>
      </w:r>
      <w:r w:rsidR="00835F36" w:rsidRPr="005460BE">
        <w:rPr>
          <w:rFonts w:ascii="Times New Roman" w:hAnsi="Times New Roman" w:cs="Times New Roman"/>
          <w:sz w:val="24"/>
        </w:rPr>
        <w:t>primer sequence</w:t>
      </w:r>
      <w:r w:rsidR="00835F36" w:rsidRPr="005460BE">
        <w:rPr>
          <w:rFonts w:ascii="Times New Roman" w:hAnsi="Times New Roman" w:cs="Times New Roman"/>
          <w:sz w:val="24"/>
        </w:rPr>
        <w:t>s for qPCR.</w:t>
      </w:r>
    </w:p>
    <w:tbl>
      <w:tblPr>
        <w:tblStyle w:val="-1"/>
        <w:tblW w:w="5000" w:type="pct"/>
        <w:tblLook w:val="0660" w:firstRow="1" w:lastRow="1" w:firstColumn="0" w:lastColumn="0" w:noHBand="1" w:noVBand="1"/>
      </w:tblPr>
      <w:tblGrid>
        <w:gridCol w:w="2555"/>
        <w:gridCol w:w="5751"/>
      </w:tblGrid>
      <w:tr w:rsidR="00260C02" w:rsidRPr="00281E50" w14:paraId="49F02E4E" w14:textId="77777777" w:rsidTr="005460BE">
        <w:trPr>
          <w:cnfStyle w:val="100000000000" w:firstRow="1" w:lastRow="0" w:firstColumn="0" w:lastColumn="0" w:oddVBand="0" w:evenVBand="0" w:oddHBand="0" w:evenHBand="0" w:firstRowFirstColumn="0" w:firstRowLastColumn="0" w:lastRowFirstColumn="0" w:lastRowLastColumn="0"/>
        </w:trPr>
        <w:tc>
          <w:tcPr>
            <w:tcW w:w="1538" w:type="pct"/>
            <w:tcBorders>
              <w:top w:val="single" w:sz="12" w:space="0" w:color="000000"/>
            </w:tcBorders>
            <w:noWrap/>
          </w:tcPr>
          <w:p w14:paraId="53B73B29" w14:textId="7CF46102" w:rsidR="00260C02" w:rsidRPr="005460BE" w:rsidRDefault="005460BE" w:rsidP="000461DC">
            <w:pPr>
              <w:rPr>
                <w:rFonts w:ascii="Times New Roman" w:hAnsi="Times New Roman" w:cs="Times New Roman"/>
                <w:b w:val="0"/>
                <w:bCs w:val="0"/>
                <w:color w:val="000000" w:themeColor="text1"/>
                <w:szCs w:val="24"/>
              </w:rPr>
            </w:pPr>
            <w:r w:rsidRPr="005460BE">
              <w:rPr>
                <w:rFonts w:ascii="Times New Roman" w:hAnsi="Times New Roman" w:cs="Times New Roman"/>
                <w:b w:val="0"/>
                <w:bCs w:val="0"/>
                <w:color w:val="000000" w:themeColor="text1"/>
                <w:szCs w:val="24"/>
                <w:lang w:val="zh-CN"/>
              </w:rPr>
              <w:t>Gene symbol</w:t>
            </w:r>
          </w:p>
        </w:tc>
        <w:tc>
          <w:tcPr>
            <w:tcW w:w="3462" w:type="pct"/>
            <w:tcBorders>
              <w:top w:val="single" w:sz="12" w:space="0" w:color="000000"/>
            </w:tcBorders>
          </w:tcPr>
          <w:p w14:paraId="376572C1" w14:textId="4276FAD3" w:rsidR="00260C02" w:rsidRPr="005460BE" w:rsidRDefault="005460BE" w:rsidP="000461DC">
            <w:pPr>
              <w:rPr>
                <w:rFonts w:ascii="Times New Roman" w:hAnsi="Times New Roman" w:cs="Times New Roman"/>
                <w:b w:val="0"/>
                <w:bCs w:val="0"/>
                <w:color w:val="000000" w:themeColor="text1"/>
                <w:szCs w:val="24"/>
              </w:rPr>
            </w:pPr>
            <w:r w:rsidRPr="005460BE">
              <w:rPr>
                <w:rFonts w:ascii="Times New Roman" w:hAnsi="Times New Roman" w:cs="Times New Roman"/>
                <w:b w:val="0"/>
                <w:bCs w:val="0"/>
                <w:color w:val="000000" w:themeColor="text1"/>
                <w:szCs w:val="24"/>
              </w:rPr>
              <w:t>S</w:t>
            </w:r>
            <w:r w:rsidRPr="005460BE">
              <w:rPr>
                <w:rFonts w:ascii="Times New Roman" w:hAnsi="Times New Roman" w:cs="Times New Roman"/>
                <w:b w:val="0"/>
                <w:bCs w:val="0"/>
                <w:color w:val="000000" w:themeColor="text1"/>
                <w:szCs w:val="24"/>
              </w:rPr>
              <w:t>equences</w:t>
            </w:r>
          </w:p>
        </w:tc>
      </w:tr>
      <w:tr w:rsidR="005460BE" w:rsidRPr="00281E50" w14:paraId="1AE1E6E8" w14:textId="77777777" w:rsidTr="005460BE">
        <w:tc>
          <w:tcPr>
            <w:tcW w:w="1538" w:type="pct"/>
            <w:tcBorders>
              <w:top w:val="single" w:sz="12" w:space="0" w:color="000000"/>
            </w:tcBorders>
            <w:noWrap/>
            <w:vAlign w:val="center"/>
          </w:tcPr>
          <w:p w14:paraId="1E2D3829" w14:textId="0A05396A" w:rsidR="005460BE" w:rsidRPr="005460BE" w:rsidRDefault="005460BE" w:rsidP="005460BE">
            <w:pPr>
              <w:rPr>
                <w:rFonts w:ascii="Times New Roman" w:hAnsi="Times New Roman" w:cs="Times New Roman"/>
                <w:color w:val="000000" w:themeColor="text1"/>
                <w:szCs w:val="24"/>
              </w:rPr>
            </w:pPr>
            <w:proofErr w:type="spellStart"/>
            <w:r w:rsidRPr="005460BE">
              <w:rPr>
                <w:rFonts w:ascii="Times New Roman" w:hAnsi="Times New Roman" w:cs="Times New Roman"/>
                <w:color w:val="000000" w:themeColor="text1"/>
                <w:szCs w:val="24"/>
              </w:rPr>
              <w:t>Gapdh</w:t>
            </w:r>
            <w:proofErr w:type="spellEnd"/>
            <w:r w:rsidRPr="005460BE">
              <w:rPr>
                <w:rFonts w:ascii="Times New Roman" w:hAnsi="Times New Roman" w:cs="Times New Roman"/>
                <w:color w:val="000000" w:themeColor="text1"/>
                <w:szCs w:val="24"/>
              </w:rPr>
              <w:t xml:space="preserve"> -Forward</w:t>
            </w:r>
          </w:p>
        </w:tc>
        <w:tc>
          <w:tcPr>
            <w:tcW w:w="3462" w:type="pct"/>
            <w:tcBorders>
              <w:top w:val="single" w:sz="12" w:space="0" w:color="000000"/>
            </w:tcBorders>
            <w:vAlign w:val="center"/>
          </w:tcPr>
          <w:p w14:paraId="47D03DDB" w14:textId="75CCD597" w:rsidR="005460BE" w:rsidRPr="005460BE" w:rsidRDefault="005460BE" w:rsidP="005460BE">
            <w:pPr>
              <w:rPr>
                <w:rStyle w:val="a8"/>
                <w:rFonts w:ascii="Times New Roman" w:hAnsi="Times New Roman" w:cs="Times New Roman"/>
                <w:color w:val="000000" w:themeColor="text1"/>
                <w:szCs w:val="24"/>
              </w:rPr>
            </w:pPr>
            <w:r w:rsidRPr="005460BE">
              <w:rPr>
                <w:rFonts w:ascii="Times New Roman" w:hAnsi="Times New Roman" w:cs="Times New Roman"/>
                <w:color w:val="000000" w:themeColor="text1"/>
                <w:szCs w:val="24"/>
              </w:rPr>
              <w:t>TGCACCACCAACTGCTTAG</w:t>
            </w:r>
          </w:p>
        </w:tc>
      </w:tr>
      <w:tr w:rsidR="005460BE" w:rsidRPr="00281E50" w14:paraId="513973AD" w14:textId="77777777" w:rsidTr="005460BE">
        <w:tc>
          <w:tcPr>
            <w:tcW w:w="1538" w:type="pct"/>
            <w:noWrap/>
            <w:vAlign w:val="center"/>
          </w:tcPr>
          <w:p w14:paraId="67641EC8" w14:textId="63510750" w:rsidR="005460BE" w:rsidRPr="005460BE" w:rsidRDefault="005460BE" w:rsidP="005460BE">
            <w:pPr>
              <w:rPr>
                <w:rFonts w:ascii="Times New Roman" w:hAnsi="Times New Roman" w:cs="Times New Roman"/>
                <w:color w:val="000000" w:themeColor="text1"/>
                <w:szCs w:val="24"/>
              </w:rPr>
            </w:pPr>
            <w:proofErr w:type="spellStart"/>
            <w:r w:rsidRPr="005460BE">
              <w:rPr>
                <w:rFonts w:ascii="Times New Roman" w:hAnsi="Times New Roman" w:cs="Times New Roman"/>
                <w:color w:val="000000" w:themeColor="text1"/>
                <w:szCs w:val="24"/>
              </w:rPr>
              <w:t>Gapdh</w:t>
            </w:r>
            <w:proofErr w:type="spellEnd"/>
            <w:r w:rsidRPr="005460BE">
              <w:rPr>
                <w:rFonts w:ascii="Times New Roman" w:hAnsi="Times New Roman" w:cs="Times New Roman"/>
                <w:color w:val="000000" w:themeColor="text1"/>
                <w:szCs w:val="24"/>
              </w:rPr>
              <w:t xml:space="preserve"> -</w:t>
            </w:r>
            <w:bookmarkStart w:id="5" w:name="OLE_LINK68"/>
            <w:r w:rsidRPr="005460BE">
              <w:rPr>
                <w:rFonts w:ascii="Times New Roman" w:hAnsi="Times New Roman" w:cs="Times New Roman"/>
                <w:color w:val="000000" w:themeColor="text1"/>
                <w:szCs w:val="24"/>
              </w:rPr>
              <w:t>Reverse</w:t>
            </w:r>
            <w:bookmarkEnd w:id="5"/>
          </w:p>
        </w:tc>
        <w:tc>
          <w:tcPr>
            <w:tcW w:w="3462" w:type="pct"/>
            <w:vAlign w:val="center"/>
          </w:tcPr>
          <w:p w14:paraId="06FDC9F5" w14:textId="2E34CDDE"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GGATGCAGGGATGATGTTC</w:t>
            </w:r>
          </w:p>
        </w:tc>
      </w:tr>
      <w:tr w:rsidR="005460BE" w:rsidRPr="00281E50" w14:paraId="2A770C5C" w14:textId="77777777" w:rsidTr="005460BE">
        <w:tc>
          <w:tcPr>
            <w:tcW w:w="1538" w:type="pct"/>
            <w:noWrap/>
            <w:vAlign w:val="center"/>
          </w:tcPr>
          <w:p w14:paraId="24178C1D" w14:textId="087E8F75" w:rsidR="005460BE" w:rsidRPr="005460BE" w:rsidRDefault="005460BE" w:rsidP="005460BE">
            <w:pPr>
              <w:rPr>
                <w:rFonts w:ascii="Times New Roman" w:hAnsi="Times New Roman" w:cs="Times New Roman"/>
                <w:color w:val="000000" w:themeColor="text1"/>
                <w:szCs w:val="24"/>
              </w:rPr>
            </w:pPr>
            <w:r w:rsidRPr="005460BE">
              <w:rPr>
                <w:rFonts w:ascii="Times New Roman" w:hAnsi="Times New Roman" w:cs="Times New Roman"/>
                <w:color w:val="000000" w:themeColor="text1"/>
                <w:szCs w:val="24"/>
              </w:rPr>
              <w:lastRenderedPageBreak/>
              <w:t>CD206- Forward</w:t>
            </w:r>
          </w:p>
        </w:tc>
        <w:tc>
          <w:tcPr>
            <w:tcW w:w="3462" w:type="pct"/>
            <w:vAlign w:val="center"/>
          </w:tcPr>
          <w:p w14:paraId="36670D53" w14:textId="3E84FD7C"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TCTTTGCCTTTCCCAGTCTCC</w:t>
            </w:r>
          </w:p>
        </w:tc>
      </w:tr>
      <w:tr w:rsidR="005460BE" w:rsidRPr="00281E50" w14:paraId="2073E3E9" w14:textId="77777777" w:rsidTr="005460BE">
        <w:tc>
          <w:tcPr>
            <w:tcW w:w="1538" w:type="pct"/>
            <w:noWrap/>
            <w:vAlign w:val="center"/>
          </w:tcPr>
          <w:p w14:paraId="3421EBC8" w14:textId="275DF9EF" w:rsidR="005460BE" w:rsidRPr="005460BE" w:rsidRDefault="005460BE" w:rsidP="005460BE">
            <w:pPr>
              <w:rPr>
                <w:rFonts w:ascii="Times New Roman" w:hAnsi="Times New Roman" w:cs="Times New Roman"/>
                <w:color w:val="000000" w:themeColor="text1"/>
                <w:szCs w:val="24"/>
              </w:rPr>
            </w:pPr>
            <w:r w:rsidRPr="005460BE">
              <w:rPr>
                <w:rFonts w:ascii="Times New Roman" w:hAnsi="Times New Roman" w:cs="Times New Roman"/>
                <w:color w:val="000000" w:themeColor="text1"/>
                <w:szCs w:val="24"/>
              </w:rPr>
              <w:t>CD206- Reverse</w:t>
            </w:r>
          </w:p>
        </w:tc>
        <w:tc>
          <w:tcPr>
            <w:tcW w:w="3462" w:type="pct"/>
            <w:vAlign w:val="center"/>
          </w:tcPr>
          <w:p w14:paraId="145F20A4" w14:textId="419CFD3F"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TGACACCCAGCGGAATTTC</w:t>
            </w:r>
          </w:p>
        </w:tc>
      </w:tr>
      <w:tr w:rsidR="005460BE" w:rsidRPr="00281E50" w14:paraId="12F8865C" w14:textId="77777777" w:rsidTr="005460BE">
        <w:tc>
          <w:tcPr>
            <w:tcW w:w="1538" w:type="pct"/>
            <w:noWrap/>
            <w:vAlign w:val="center"/>
          </w:tcPr>
          <w:p w14:paraId="18FB1B31" w14:textId="6E914084" w:rsidR="005460BE" w:rsidRPr="005460BE" w:rsidRDefault="005460BE" w:rsidP="005460BE">
            <w:pPr>
              <w:rPr>
                <w:rFonts w:ascii="Times New Roman" w:hAnsi="Times New Roman" w:cs="Times New Roman"/>
                <w:color w:val="000000" w:themeColor="text1"/>
                <w:szCs w:val="24"/>
              </w:rPr>
            </w:pPr>
            <w:r w:rsidRPr="005460BE">
              <w:rPr>
                <w:rFonts w:ascii="Times New Roman" w:hAnsi="Times New Roman" w:cs="Times New Roman"/>
                <w:color w:val="000000" w:themeColor="text1"/>
                <w:szCs w:val="24"/>
              </w:rPr>
              <w:t>CD86- Forward</w:t>
            </w:r>
          </w:p>
        </w:tc>
        <w:tc>
          <w:tcPr>
            <w:tcW w:w="3462" w:type="pct"/>
            <w:vAlign w:val="center"/>
          </w:tcPr>
          <w:p w14:paraId="744EED75" w14:textId="1F2D8155"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TGTTTCCGTGGAGACGCAAG</w:t>
            </w:r>
          </w:p>
        </w:tc>
      </w:tr>
      <w:tr w:rsidR="005460BE" w:rsidRPr="00281E50" w14:paraId="604B45E8" w14:textId="77777777" w:rsidTr="005460BE">
        <w:tc>
          <w:tcPr>
            <w:tcW w:w="1538" w:type="pct"/>
            <w:noWrap/>
            <w:vAlign w:val="center"/>
          </w:tcPr>
          <w:p w14:paraId="63473DC7" w14:textId="0FE62015" w:rsidR="005460BE" w:rsidRPr="005460BE" w:rsidRDefault="005460BE" w:rsidP="005460BE">
            <w:pPr>
              <w:rPr>
                <w:rFonts w:ascii="Times New Roman" w:hAnsi="Times New Roman" w:cs="Times New Roman"/>
                <w:color w:val="000000" w:themeColor="text1"/>
                <w:szCs w:val="24"/>
              </w:rPr>
            </w:pPr>
            <w:r w:rsidRPr="005460BE">
              <w:rPr>
                <w:rFonts w:ascii="Times New Roman" w:hAnsi="Times New Roman" w:cs="Times New Roman"/>
                <w:color w:val="000000" w:themeColor="text1"/>
                <w:szCs w:val="24"/>
              </w:rPr>
              <w:t>CD86- Reverse</w:t>
            </w:r>
          </w:p>
        </w:tc>
        <w:tc>
          <w:tcPr>
            <w:tcW w:w="3462" w:type="pct"/>
            <w:vAlign w:val="center"/>
          </w:tcPr>
          <w:p w14:paraId="3F19EAA3" w14:textId="0BBC6DF5"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TTGAGCCTTTGTAAATGGGCA</w:t>
            </w:r>
          </w:p>
        </w:tc>
      </w:tr>
      <w:tr w:rsidR="005460BE" w:rsidRPr="00281E50" w14:paraId="27E3845A" w14:textId="77777777" w:rsidTr="005460BE">
        <w:tc>
          <w:tcPr>
            <w:tcW w:w="1538" w:type="pct"/>
            <w:noWrap/>
            <w:vAlign w:val="center"/>
          </w:tcPr>
          <w:p w14:paraId="30C6A1EA" w14:textId="4A8A7F2B" w:rsidR="005460BE" w:rsidRPr="005460BE" w:rsidRDefault="005460BE" w:rsidP="005460BE">
            <w:pPr>
              <w:rPr>
                <w:rFonts w:ascii="Times New Roman" w:hAnsi="Times New Roman" w:cs="Times New Roman"/>
                <w:color w:val="000000" w:themeColor="text1"/>
              </w:rPr>
            </w:pPr>
            <w:proofErr w:type="spellStart"/>
            <w:r w:rsidRPr="005460BE">
              <w:rPr>
                <w:rFonts w:ascii="Times New Roman" w:hAnsi="Times New Roman" w:cs="Times New Roman"/>
                <w:color w:val="000000" w:themeColor="text1"/>
                <w:szCs w:val="24"/>
              </w:rPr>
              <w:t>iNos</w:t>
            </w:r>
            <w:proofErr w:type="spellEnd"/>
            <w:r w:rsidRPr="005460BE">
              <w:rPr>
                <w:rFonts w:ascii="Times New Roman" w:hAnsi="Times New Roman" w:cs="Times New Roman"/>
                <w:color w:val="000000" w:themeColor="text1"/>
                <w:szCs w:val="24"/>
              </w:rPr>
              <w:t>- Forward</w:t>
            </w:r>
          </w:p>
        </w:tc>
        <w:tc>
          <w:tcPr>
            <w:tcW w:w="3462" w:type="pct"/>
            <w:vAlign w:val="center"/>
          </w:tcPr>
          <w:p w14:paraId="4F3E6633" w14:textId="53F78B3B"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CAGCTGGGCTGTACAAACCTT</w:t>
            </w:r>
          </w:p>
        </w:tc>
      </w:tr>
      <w:tr w:rsidR="005460BE" w:rsidRPr="00281E50" w14:paraId="61E580DE" w14:textId="77777777" w:rsidTr="005460BE">
        <w:tc>
          <w:tcPr>
            <w:tcW w:w="1538" w:type="pct"/>
            <w:noWrap/>
            <w:vAlign w:val="center"/>
          </w:tcPr>
          <w:p w14:paraId="7A047949" w14:textId="11C31FEA" w:rsidR="005460BE" w:rsidRPr="005460BE" w:rsidRDefault="005460BE" w:rsidP="005460BE">
            <w:pPr>
              <w:rPr>
                <w:rFonts w:ascii="Times New Roman" w:hAnsi="Times New Roman" w:cs="Times New Roman"/>
                <w:color w:val="000000" w:themeColor="text1"/>
              </w:rPr>
            </w:pPr>
            <w:proofErr w:type="spellStart"/>
            <w:r w:rsidRPr="005460BE">
              <w:rPr>
                <w:rFonts w:ascii="Times New Roman" w:hAnsi="Times New Roman" w:cs="Times New Roman"/>
                <w:color w:val="000000" w:themeColor="text1"/>
                <w:szCs w:val="24"/>
              </w:rPr>
              <w:t>iNos</w:t>
            </w:r>
            <w:proofErr w:type="spellEnd"/>
            <w:r w:rsidRPr="005460BE">
              <w:rPr>
                <w:rFonts w:ascii="Times New Roman" w:hAnsi="Times New Roman" w:cs="Times New Roman"/>
                <w:color w:val="000000" w:themeColor="text1"/>
                <w:szCs w:val="24"/>
              </w:rPr>
              <w:t>- Reverse</w:t>
            </w:r>
          </w:p>
        </w:tc>
        <w:tc>
          <w:tcPr>
            <w:tcW w:w="3462" w:type="pct"/>
            <w:vAlign w:val="center"/>
          </w:tcPr>
          <w:p w14:paraId="18ADE2E1" w14:textId="375F66EA"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CATTGGAAGTGAAGCGTTTCG</w:t>
            </w:r>
          </w:p>
        </w:tc>
      </w:tr>
      <w:tr w:rsidR="005460BE" w:rsidRPr="00281E50" w14:paraId="2A8309A3" w14:textId="77777777" w:rsidTr="005460BE">
        <w:tc>
          <w:tcPr>
            <w:tcW w:w="1538" w:type="pct"/>
            <w:noWrap/>
            <w:vAlign w:val="center"/>
          </w:tcPr>
          <w:p w14:paraId="298333C1" w14:textId="22725139" w:rsidR="005460BE" w:rsidRPr="005460BE" w:rsidRDefault="005460BE" w:rsidP="005460BE">
            <w:pPr>
              <w:rPr>
                <w:rFonts w:ascii="Times New Roman" w:hAnsi="Times New Roman" w:cs="Times New Roman"/>
                <w:color w:val="000000" w:themeColor="text1"/>
              </w:rPr>
            </w:pPr>
            <w:r w:rsidRPr="005460BE">
              <w:rPr>
                <w:rFonts w:ascii="Times New Roman" w:hAnsi="Times New Roman" w:cs="Times New Roman"/>
                <w:color w:val="000000" w:themeColor="text1"/>
                <w:szCs w:val="24"/>
              </w:rPr>
              <w:t>MRC1- Forward</w:t>
            </w:r>
          </w:p>
        </w:tc>
        <w:tc>
          <w:tcPr>
            <w:tcW w:w="3462" w:type="pct"/>
            <w:vAlign w:val="center"/>
          </w:tcPr>
          <w:p w14:paraId="296533DA" w14:textId="16A2C27D" w:rsidR="005460BE" w:rsidRPr="005460BE" w:rsidRDefault="005460BE" w:rsidP="005460BE">
            <w:pPr>
              <w:pStyle w:val="DecimalAligned"/>
              <w:spacing w:after="0" w:line="360" w:lineRule="auto"/>
              <w:jc w:val="both"/>
              <w:rPr>
                <w:rFonts w:ascii="Times New Roman" w:hAnsi="Times New Roman"/>
                <w:color w:val="000000" w:themeColor="text1"/>
                <w:sz w:val="24"/>
                <w:szCs w:val="24"/>
              </w:rPr>
            </w:pPr>
            <w:r w:rsidRPr="005460BE">
              <w:rPr>
                <w:rFonts w:ascii="Times New Roman" w:hAnsi="Times New Roman"/>
                <w:color w:val="000000" w:themeColor="text1"/>
                <w:sz w:val="24"/>
                <w:szCs w:val="24"/>
              </w:rPr>
              <w:t>CTCTGTTCAGCTATTGGACGC</w:t>
            </w:r>
          </w:p>
        </w:tc>
      </w:tr>
      <w:tr w:rsidR="005460BE" w:rsidRPr="00281E50" w14:paraId="43FFB13A" w14:textId="77777777" w:rsidTr="005460BE">
        <w:trPr>
          <w:cnfStyle w:val="010000000000" w:firstRow="0" w:lastRow="1" w:firstColumn="0" w:lastColumn="0" w:oddVBand="0" w:evenVBand="0" w:oddHBand="0" w:evenHBand="0" w:firstRowFirstColumn="0" w:firstRowLastColumn="0" w:lastRowFirstColumn="0" w:lastRowLastColumn="0"/>
        </w:trPr>
        <w:tc>
          <w:tcPr>
            <w:tcW w:w="1538" w:type="pct"/>
            <w:noWrap/>
            <w:vAlign w:val="center"/>
          </w:tcPr>
          <w:p w14:paraId="248ACD94" w14:textId="7D0BF386" w:rsidR="005460BE" w:rsidRPr="005460BE" w:rsidRDefault="005460BE" w:rsidP="005460BE">
            <w:pPr>
              <w:rPr>
                <w:rFonts w:ascii="Times New Roman" w:hAnsi="Times New Roman" w:cs="Times New Roman"/>
                <w:b w:val="0"/>
                <w:bCs w:val="0"/>
                <w:color w:val="000000" w:themeColor="text1"/>
              </w:rPr>
            </w:pPr>
            <w:r w:rsidRPr="005460BE">
              <w:rPr>
                <w:rFonts w:ascii="Times New Roman" w:hAnsi="Times New Roman" w:cs="Times New Roman"/>
                <w:b w:val="0"/>
                <w:bCs w:val="0"/>
                <w:color w:val="000000" w:themeColor="text1"/>
                <w:szCs w:val="24"/>
              </w:rPr>
              <w:t>MRC1- Reverse</w:t>
            </w:r>
          </w:p>
        </w:tc>
        <w:tc>
          <w:tcPr>
            <w:tcW w:w="3462" w:type="pct"/>
            <w:vAlign w:val="center"/>
          </w:tcPr>
          <w:p w14:paraId="7BFD6B06" w14:textId="4E8A4BC6" w:rsidR="005460BE" w:rsidRPr="005460BE" w:rsidRDefault="005460BE" w:rsidP="005460BE">
            <w:pPr>
              <w:pStyle w:val="DecimalAligned"/>
              <w:spacing w:after="0" w:line="360" w:lineRule="auto"/>
              <w:jc w:val="both"/>
              <w:rPr>
                <w:rFonts w:ascii="Times New Roman" w:hAnsi="Times New Roman"/>
                <w:b w:val="0"/>
                <w:bCs w:val="0"/>
                <w:color w:val="000000" w:themeColor="text1"/>
                <w:sz w:val="24"/>
                <w:szCs w:val="24"/>
              </w:rPr>
            </w:pPr>
            <w:r w:rsidRPr="005460BE">
              <w:rPr>
                <w:rFonts w:ascii="Times New Roman" w:hAnsi="Times New Roman"/>
                <w:b w:val="0"/>
                <w:bCs w:val="0"/>
                <w:color w:val="000000" w:themeColor="text1"/>
                <w:sz w:val="24"/>
                <w:szCs w:val="24"/>
              </w:rPr>
              <w:t>CGGAATTTCTGGGATTCAGCTTC</w:t>
            </w:r>
          </w:p>
        </w:tc>
      </w:tr>
    </w:tbl>
    <w:p w14:paraId="2CA23A8C" w14:textId="77777777" w:rsidR="00260C02" w:rsidRDefault="00260C02" w:rsidP="00C46285">
      <w:pPr>
        <w:spacing w:line="480" w:lineRule="auto"/>
        <w:rPr>
          <w:rFonts w:hint="eastAsia"/>
        </w:rPr>
      </w:pPr>
    </w:p>
    <w:sectPr w:rsidR="00260C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E4956" w14:textId="77777777" w:rsidR="00287DE1" w:rsidRDefault="00287DE1" w:rsidP="00876EB0">
      <w:pPr>
        <w:spacing w:after="0" w:line="240" w:lineRule="auto"/>
        <w:rPr>
          <w:rFonts w:hint="eastAsia"/>
        </w:rPr>
      </w:pPr>
      <w:r>
        <w:separator/>
      </w:r>
    </w:p>
  </w:endnote>
  <w:endnote w:type="continuationSeparator" w:id="0">
    <w:p w14:paraId="573D3EF4" w14:textId="77777777" w:rsidR="00287DE1" w:rsidRDefault="00287DE1" w:rsidP="00876EB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D0C5" w14:textId="77777777" w:rsidR="00287DE1" w:rsidRDefault="00287DE1" w:rsidP="00876EB0">
      <w:pPr>
        <w:spacing w:after="0" w:line="240" w:lineRule="auto"/>
        <w:rPr>
          <w:rFonts w:hint="eastAsia"/>
        </w:rPr>
      </w:pPr>
      <w:r>
        <w:separator/>
      </w:r>
    </w:p>
  </w:footnote>
  <w:footnote w:type="continuationSeparator" w:id="0">
    <w:p w14:paraId="45A37253" w14:textId="77777777" w:rsidR="00287DE1" w:rsidRDefault="00287DE1" w:rsidP="00876EB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24"/>
    <w:rsid w:val="000A6FFB"/>
    <w:rsid w:val="00184C1D"/>
    <w:rsid w:val="001A55A9"/>
    <w:rsid w:val="001D3784"/>
    <w:rsid w:val="00230294"/>
    <w:rsid w:val="00260C02"/>
    <w:rsid w:val="00280EE7"/>
    <w:rsid w:val="00287DE1"/>
    <w:rsid w:val="002B6BDA"/>
    <w:rsid w:val="00356D5C"/>
    <w:rsid w:val="003C7BF4"/>
    <w:rsid w:val="00403E21"/>
    <w:rsid w:val="00476234"/>
    <w:rsid w:val="00487D9B"/>
    <w:rsid w:val="005460BE"/>
    <w:rsid w:val="00597E5D"/>
    <w:rsid w:val="005A6C87"/>
    <w:rsid w:val="00684C50"/>
    <w:rsid w:val="00796B7D"/>
    <w:rsid w:val="007B3824"/>
    <w:rsid w:val="007B6E04"/>
    <w:rsid w:val="00835F36"/>
    <w:rsid w:val="0085038C"/>
    <w:rsid w:val="00876EB0"/>
    <w:rsid w:val="00911497"/>
    <w:rsid w:val="00A114E1"/>
    <w:rsid w:val="00A13425"/>
    <w:rsid w:val="00A67C62"/>
    <w:rsid w:val="00B42070"/>
    <w:rsid w:val="00B93121"/>
    <w:rsid w:val="00C46285"/>
    <w:rsid w:val="00CD7908"/>
    <w:rsid w:val="00CF7D2B"/>
    <w:rsid w:val="00E24DDD"/>
    <w:rsid w:val="00E971A7"/>
    <w:rsid w:val="00EA1D27"/>
    <w:rsid w:val="00EB4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E21E6"/>
  <w15:chartTrackingRefBased/>
  <w15:docId w15:val="{243CE314-3A5B-42BB-A0F8-942A091B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B44E9"/>
    <w:pPr>
      <w:keepNext/>
      <w:keepLines/>
      <w:spacing w:before="340" w:after="330" w:line="480" w:lineRule="auto"/>
      <w:outlineLvl w:val="0"/>
    </w:pPr>
    <w:rPr>
      <w:rFonts w:ascii="Times New Roman" w:eastAsia="Times New Roman" w:hAnsi="Times New Roman"/>
      <w:b/>
      <w:bCs/>
      <w:kern w:val="44"/>
      <w:sz w:val="24"/>
      <w:szCs w:val="44"/>
    </w:rPr>
  </w:style>
  <w:style w:type="paragraph" w:styleId="3">
    <w:name w:val="heading 3"/>
    <w:basedOn w:val="a"/>
    <w:next w:val="a"/>
    <w:link w:val="30"/>
    <w:uiPriority w:val="9"/>
    <w:semiHidden/>
    <w:unhideWhenUsed/>
    <w:qFormat/>
    <w:rsid w:val="00184C1D"/>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B44E9"/>
    <w:rPr>
      <w:rFonts w:ascii="Times New Roman" w:eastAsia="Times New Roman" w:hAnsi="Times New Roman"/>
      <w:b/>
      <w:bCs/>
      <w:kern w:val="44"/>
      <w:sz w:val="24"/>
      <w:szCs w:val="44"/>
    </w:rPr>
  </w:style>
  <w:style w:type="paragraph" w:styleId="a3">
    <w:name w:val="header"/>
    <w:basedOn w:val="a"/>
    <w:link w:val="a4"/>
    <w:uiPriority w:val="99"/>
    <w:unhideWhenUsed/>
    <w:rsid w:val="00876EB0"/>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876EB0"/>
    <w:rPr>
      <w:sz w:val="18"/>
      <w:szCs w:val="18"/>
    </w:rPr>
  </w:style>
  <w:style w:type="paragraph" w:styleId="a5">
    <w:name w:val="footer"/>
    <w:basedOn w:val="a"/>
    <w:link w:val="a6"/>
    <w:uiPriority w:val="99"/>
    <w:unhideWhenUsed/>
    <w:rsid w:val="00876EB0"/>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876EB0"/>
    <w:rPr>
      <w:sz w:val="18"/>
      <w:szCs w:val="18"/>
    </w:rPr>
  </w:style>
  <w:style w:type="character" w:customStyle="1" w:styleId="30">
    <w:name w:val="标题 3 字符"/>
    <w:basedOn w:val="a0"/>
    <w:link w:val="3"/>
    <w:uiPriority w:val="9"/>
    <w:semiHidden/>
    <w:rsid w:val="00184C1D"/>
    <w:rPr>
      <w:b/>
      <w:bCs/>
      <w:sz w:val="32"/>
      <w:szCs w:val="32"/>
    </w:rPr>
  </w:style>
  <w:style w:type="paragraph" w:styleId="a7">
    <w:name w:val="caption"/>
    <w:basedOn w:val="a"/>
    <w:next w:val="a"/>
    <w:unhideWhenUsed/>
    <w:qFormat/>
    <w:rsid w:val="00260C02"/>
    <w:pPr>
      <w:widowControl/>
      <w:spacing w:after="0" w:line="360" w:lineRule="auto"/>
    </w:pPr>
    <w:rPr>
      <w:rFonts w:asciiTheme="majorHAnsi" w:eastAsia="黑体" w:hAnsiTheme="majorHAnsi" w:cstheme="majorBidi"/>
      <w:sz w:val="20"/>
      <w:szCs w:val="20"/>
      <w14:ligatures w14:val="none"/>
    </w:rPr>
  </w:style>
  <w:style w:type="character" w:styleId="a8">
    <w:name w:val="Subtle Emphasis"/>
    <w:basedOn w:val="a0"/>
    <w:uiPriority w:val="19"/>
    <w:qFormat/>
    <w:rsid w:val="00260C02"/>
    <w:rPr>
      <w:i/>
      <w:iCs/>
    </w:rPr>
  </w:style>
  <w:style w:type="table" w:styleId="-1">
    <w:name w:val="Light Shading Accent 1"/>
    <w:basedOn w:val="a1"/>
    <w:uiPriority w:val="60"/>
    <w:rsid w:val="00260C02"/>
    <w:pPr>
      <w:spacing w:after="0" w:line="360" w:lineRule="auto"/>
    </w:pPr>
    <w:rPr>
      <w:color w:val="2F5496" w:themeColor="accent1" w:themeShade="BF"/>
      <w:kern w:val="0"/>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DecimalAligned">
    <w:name w:val="Decimal Aligned"/>
    <w:basedOn w:val="a"/>
    <w:uiPriority w:val="40"/>
    <w:qFormat/>
    <w:rsid w:val="00260C02"/>
    <w:pPr>
      <w:widowControl/>
      <w:tabs>
        <w:tab w:val="decimal" w:pos="360"/>
      </w:tabs>
      <w:spacing w:after="200" w:line="276" w:lineRule="auto"/>
    </w:pPr>
    <w:rPr>
      <w:rFonts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6581">
      <w:bodyDiv w:val="1"/>
      <w:marLeft w:val="0"/>
      <w:marRight w:val="0"/>
      <w:marTop w:val="0"/>
      <w:marBottom w:val="0"/>
      <w:divBdr>
        <w:top w:val="none" w:sz="0" w:space="0" w:color="auto"/>
        <w:left w:val="none" w:sz="0" w:space="0" w:color="auto"/>
        <w:bottom w:val="none" w:sz="0" w:space="0" w:color="auto"/>
        <w:right w:val="none" w:sz="0" w:space="0" w:color="auto"/>
      </w:divBdr>
    </w:div>
    <w:div w:id="996961311">
      <w:bodyDiv w:val="1"/>
      <w:marLeft w:val="0"/>
      <w:marRight w:val="0"/>
      <w:marTop w:val="0"/>
      <w:marBottom w:val="0"/>
      <w:divBdr>
        <w:top w:val="none" w:sz="0" w:space="0" w:color="auto"/>
        <w:left w:val="none" w:sz="0" w:space="0" w:color="auto"/>
        <w:bottom w:val="none" w:sz="0" w:space="0" w:color="auto"/>
        <w:right w:val="none" w:sz="0" w:space="0" w:color="auto"/>
      </w:divBdr>
    </w:div>
    <w:div w:id="1358655388">
      <w:bodyDiv w:val="1"/>
      <w:marLeft w:val="0"/>
      <w:marRight w:val="0"/>
      <w:marTop w:val="0"/>
      <w:marBottom w:val="0"/>
      <w:divBdr>
        <w:top w:val="none" w:sz="0" w:space="0" w:color="auto"/>
        <w:left w:val="none" w:sz="0" w:space="0" w:color="auto"/>
        <w:bottom w:val="none" w:sz="0" w:space="0" w:color="auto"/>
        <w:right w:val="none" w:sz="0" w:space="0" w:color="auto"/>
      </w:divBdr>
    </w:div>
    <w:div w:id="172290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8615251751255</dc:creator>
  <cp:keywords/>
  <dc:description/>
  <cp:lastModifiedBy>8615251751255</cp:lastModifiedBy>
  <cp:revision>19</cp:revision>
  <dcterms:created xsi:type="dcterms:W3CDTF">2026-07-10T14:22:00Z</dcterms:created>
  <dcterms:modified xsi:type="dcterms:W3CDTF">2026-07-27T08:59:00Z</dcterms:modified>
</cp:coreProperties>
</file>