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</w:pPr>
      <w:bookmarkStart w:id="8" w:name="_GoBack"/>
      <w:bookmarkEnd w:id="8"/>
      <w:r>
        <w:rPr>
          <w:rFonts w:ascii="Cambria" w:hAnsi="Cambria" w:eastAsiaTheme="majorEastAsia" w:cstheme="majorBidi"/>
          <w:b/>
          <w:bCs/>
          <w:color w:val="4472C4" w:themeColor="accent1"/>
          <w:kern w:val="0"/>
          <w:sz w:val="24"/>
          <w:lang w:eastAsia="en-US"/>
          <w14:textFill>
            <w14:solidFill>
              <w14:schemeClr w14:val="accent1"/>
            </w14:solidFill>
          </w14:textFill>
        </w:rPr>
        <w:t xml:space="preserve">Table. 1 </w:t>
      </w:r>
      <w:r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Baseline characteristics of all participants according to WBC quartiles</w:t>
      </w:r>
    </w:p>
    <w:p>
      <w:pPr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drawing>
          <wp:inline distT="0" distB="0" distL="0" distR="0">
            <wp:extent cx="5273675" cy="4024630"/>
            <wp:effectExtent l="2223" t="0" r="0" b="0"/>
            <wp:docPr id="18627004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0048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000" cy="40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</w:pP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Continuous measures for normal distribution are expressed as mean ± SD, continuous measures for nonnormal distribution are expressed as interquartile range (IQR), and counts are expressed as n (%).</w:t>
      </w:r>
    </w:p>
    <w:p>
      <w:pP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</w:pP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Continuous variables were compared between groups using ANOVA and Kruskal–Wallis analysis, with the chi-square test used for count data.</w:t>
      </w:r>
    </w:p>
    <w:p>
      <w:pP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</w:pPr>
      <w:bookmarkStart w:id="0" w:name="OLE_LINK20"/>
      <w:bookmarkStart w:id="1" w:name="OLE_LINK21"/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COPD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chronic kidney disease,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CCI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Charlson Comorbidity Index,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BMI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body mass index,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MAP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mean arterial pressure,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MV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mechanical ventilation,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BUN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blood urea nitrogen,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CRP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C-reactive protein,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GFR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glomerular filtration rate,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UO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urine output,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APACHE II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:</w:t>
      </w:r>
      <w:r>
        <w:rPr>
          <w:rFonts w:ascii="Cambria" w:hAnsi="Cambria"/>
          <w:kern w:val="0"/>
          <w:sz w:val="24"/>
          <w:lang w:eastAsia="en-US"/>
        </w:rPr>
        <w:t xml:space="preserve"> </w:t>
      </w:r>
      <w:bookmarkStart w:id="2" w:name="OLE_LINK14"/>
      <w:bookmarkStart w:id="3" w:name="OLE_LINK15"/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Acute Physiology and Chronic Health Evaluation II</w:t>
      </w:r>
      <w:bookmarkEnd w:id="2"/>
      <w:bookmarkEnd w:id="3"/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SOFA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</w:t>
      </w:r>
      <w:bookmarkStart w:id="4" w:name="OLE_LINK13"/>
      <w:bookmarkStart w:id="5" w:name="OLE_LINK12"/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Sequential Organ Failure Assessment</w:t>
      </w:r>
      <w:bookmarkEnd w:id="4"/>
      <w:bookmarkEnd w:id="5"/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. </w:t>
      </w:r>
    </w:p>
    <w:bookmarkEnd w:id="0"/>
    <w:bookmarkEnd w:id="1"/>
    <w:p/>
    <w:p/>
    <w:p/>
    <w:p/>
    <w:p/>
    <w:p/>
    <w:p/>
    <w:p/>
    <w:p/>
    <w:p>
      <w:pPr>
        <w:ind w:left="240" w:hanging="240" w:hangingChars="100"/>
        <w:jc w:val="left"/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</w:pPr>
      <w:r>
        <w:rPr>
          <w:rFonts w:ascii="Cambria" w:hAnsi="Cambria" w:eastAsiaTheme="majorEastAsia" w:cstheme="majorBidi"/>
          <w:b/>
          <w:bCs/>
          <w:color w:val="4472C4" w:themeColor="accent1"/>
          <w:kern w:val="0"/>
          <w:sz w:val="24"/>
          <w:lang w:eastAsia="en-US"/>
          <w14:textFill>
            <w14:solidFill>
              <w14:schemeClr w14:val="accent1"/>
            </w14:solidFill>
          </w14:textFill>
        </w:rPr>
        <w:t xml:space="preserve">Table.2 </w:t>
      </w:r>
      <w:r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 xml:space="preserve">Cox regression analysis of WBC versus all-cause mortality in </w:t>
      </w:r>
      <w:bookmarkStart w:id="6" w:name="OLE_LINK32"/>
      <w:bookmarkStart w:id="7" w:name="OLE_LINK33"/>
      <w:r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short-term (28 days) and long-term (90 days)</w:t>
      </w:r>
      <w:bookmarkEnd w:id="6"/>
      <w:bookmarkEnd w:id="7"/>
    </w:p>
    <w:p>
      <w:pPr>
        <w:ind w:left="240" w:hanging="240" w:hangingChars="100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</w:rPr>
        <w:drawing>
          <wp:inline distT="0" distB="0" distL="0" distR="0">
            <wp:extent cx="3914775" cy="3568700"/>
            <wp:effectExtent l="0" t="0" r="0" b="0"/>
            <wp:docPr id="3227370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73706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8674" cy="35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</w:pP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Crude model: unadjusted; Model I: adjusted for age and sex; Model II: adjusted for age, sex, DM, HTN, HCO3-, PO43-, CCI, MAP, MV, Hb, Cre, Alb, UO, APACHE II score, SOFA score, and Cause of CRRT. </w:t>
      </w:r>
    </w:p>
    <w:p>
      <w:pPr>
        <w:jc w:val="left"/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</w:pP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DM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diabetes mellitus,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HTN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hypertension,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HCO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:vertAlign w:val="superscript"/>
          <w14:textFill>
            <w14:solidFill>
              <w14:schemeClr w14:val="tx1"/>
            </w14:solidFill>
          </w14:textFill>
        </w:rPr>
        <w:t>-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bicarbonate,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PO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:vertAlign w:val="subscript"/>
          <w14:textFill>
            <w14:solidFill>
              <w14:schemeClr w14:val="tx1"/>
            </w14:solidFill>
          </w14:textFill>
        </w:rPr>
        <w:t>4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:vertAlign w:val="superscript"/>
          <w14:textFill>
            <w14:solidFill>
              <w14:schemeClr w14:val="tx1"/>
            </w14:solidFill>
          </w14:textFill>
        </w:rPr>
        <w:t>3-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phosphate,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Hb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hemoglobin,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Cre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creatinine,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Alb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albumin,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HR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: hazard ratio, 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CI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:</w:t>
      </w:r>
      <w:r>
        <w:rPr>
          <w:rFonts w:ascii="Cambria" w:hAnsi="Cambria" w:cs="Times New Roman"/>
          <w:i/>
          <w:iCs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confidence interval.</w:t>
      </w:r>
    </w:p>
    <w:p/>
    <w:p/>
    <w:p/>
    <w:p/>
    <w:p/>
    <w:p/>
    <w:p/>
    <w:p/>
    <w:p/>
    <w:p/>
    <w:p/>
    <w:p/>
    <w:p/>
    <w:p/>
    <w:p/>
    <w:p/>
    <w:p/>
    <w:p/>
    <w:p/>
    <w:p>
      <w:pPr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</w:pPr>
      <w:r>
        <w:rPr>
          <w:rFonts w:ascii="Cambria" w:hAnsi="Cambria" w:eastAsiaTheme="majorEastAsia" w:cstheme="majorBidi"/>
          <w:b/>
          <w:bCs/>
          <w:color w:val="4472C4" w:themeColor="accent1"/>
          <w:kern w:val="0"/>
          <w:sz w:val="24"/>
          <w:lang w:eastAsia="en-US"/>
          <w14:textFill>
            <w14:solidFill>
              <w14:schemeClr w14:val="accent1"/>
            </w14:solidFill>
          </w14:textFill>
        </w:rPr>
        <w:t xml:space="preserve">Table. 3 </w:t>
      </w:r>
      <w:r>
        <w:rPr>
          <w:rFonts w:ascii="Cambria" w:hAnsi="Cambria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t>The relationship between WBC counts and all-cause mortality of different subgroups in short-term (28 days) and long-term (90 days)</w:t>
      </w:r>
    </w:p>
    <w:p>
      <w:r>
        <w:rPr>
          <w:rFonts w:ascii="Times New Roman" w:hAnsi="Times New Roman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3675" cy="3848100"/>
            <wp:effectExtent l="1588" t="0" r="0" b="0"/>
            <wp:docPr id="10282839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8399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000" cy="38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</w:pPr>
    </w:p>
    <w:p>
      <w:pP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</w:pP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Except for its stratification variables, all models were adjusted for age, sex, DM, HTN, HCO</w:t>
      </w:r>
      <w:r>
        <w:rPr>
          <w:rFonts w:ascii="Cambria" w:hAnsi="Cambria" w:cs="Times New Roman"/>
          <w:color w:val="000000" w:themeColor="text1"/>
          <w:sz w:val="16"/>
          <w:szCs w:val="20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Cambria" w:hAnsi="Cambria" w:cs="Times New Roman"/>
          <w:color w:val="000000" w:themeColor="text1"/>
          <w:sz w:val="16"/>
          <w:szCs w:val="20"/>
          <w:vertAlign w:val="superscript"/>
          <w14:textFill>
            <w14:solidFill>
              <w14:schemeClr w14:val="tx1"/>
            </w14:solidFill>
          </w14:textFill>
        </w:rPr>
        <w:t>-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, PO</w:t>
      </w:r>
      <w:r>
        <w:rPr>
          <w:rFonts w:ascii="Cambria" w:hAnsi="Cambria" w:cs="Times New Roman"/>
          <w:color w:val="000000" w:themeColor="text1"/>
          <w:sz w:val="16"/>
          <w:szCs w:val="20"/>
          <w:vertAlign w:val="subscript"/>
          <w14:textFill>
            <w14:solidFill>
              <w14:schemeClr w14:val="tx1"/>
            </w14:solidFill>
          </w14:textFill>
        </w:rPr>
        <w:t>4</w:t>
      </w:r>
      <w:r>
        <w:rPr>
          <w:rFonts w:ascii="Cambria" w:hAnsi="Cambria" w:cs="Times New Roman"/>
          <w:color w:val="000000" w:themeColor="text1"/>
          <w:sz w:val="16"/>
          <w:szCs w:val="20"/>
          <w:vertAlign w:val="superscript"/>
          <w14:textFill>
            <w14:solidFill>
              <w14:schemeClr w14:val="tx1"/>
            </w14:solidFill>
          </w14:textFill>
        </w:rPr>
        <w:t>3-</w:t>
      </w:r>
      <w:r>
        <w:rPr>
          <w:rFonts w:ascii="Cambria" w:hAnsi="Cambria" w:cs="Times New Roman"/>
          <w:color w:val="000000" w:themeColor="text1"/>
          <w:sz w:val="16"/>
          <w:szCs w:val="20"/>
          <w14:textFill>
            <w14:solidFill>
              <w14:schemeClr w14:val="tx1"/>
            </w14:solidFill>
          </w14:textFill>
        </w:rPr>
        <w:t>, CCI, MAP, MV, Hb, Cre, Alb, UO, APACHE II score, SOFA score, Cause of CRRT.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FB5"/>
    <w:rsid w:val="000144B1"/>
    <w:rsid w:val="001C6DED"/>
    <w:rsid w:val="00294963"/>
    <w:rsid w:val="004A471C"/>
    <w:rsid w:val="00581002"/>
    <w:rsid w:val="00693555"/>
    <w:rsid w:val="007A1C73"/>
    <w:rsid w:val="00940509"/>
    <w:rsid w:val="00986685"/>
    <w:rsid w:val="00C662CE"/>
    <w:rsid w:val="00D1327C"/>
    <w:rsid w:val="00D87452"/>
    <w:rsid w:val="00E45FB5"/>
    <w:rsid w:val="00E52A0E"/>
    <w:rsid w:val="00E97A37"/>
    <w:rsid w:val="00F64EF6"/>
    <w:rsid w:val="140F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239</Words>
  <Characters>1363</Characters>
  <Lines>11</Lines>
  <Paragraphs>3</Paragraphs>
  <TotalTime>2</TotalTime>
  <ScaleCrop>false</ScaleCrop>
  <LinksUpToDate>false</LinksUpToDate>
  <CharactersWithSpaces>1599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2023-05-05T07:05:00Z</dcterms:created>
  <dc:creator>Harvey Wong</dc:creator>
  <cp:lastModifiedBy>7mr゜... /乏味^</cp:lastModifiedBy>
  <dcterms:modified xsi:type="dcterms:W3CDTF">2026-07-20T11:54:57Z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86B23A5E069341099DB9C7EC7E916B3B_13</vt:lpwstr>
  </property>
</Properties>
</file>