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horzAnchor="margin" w:tblpY="562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28 days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HR (95%CI)</w:t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90 days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HR (95%CI)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2765" w:type="dxa"/>
            <w:tcBorders>
              <w:top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[1.00;1.01] NS</w:t>
            </w:r>
          </w:p>
        </w:tc>
        <w:tc>
          <w:tcPr>
            <w:tcW w:w="2766" w:type="dxa"/>
            <w:tcBorders>
              <w:top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[1.00;1.01]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Sex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1.06 [0.91;1.24]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[0.87;1.16]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Myocardial infarction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0.90 [0.70;1.16]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0.88 [0.69;1.12]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Congestive heart failure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0.76 [0.61;0.94]＜0.05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0.86 [0.71;1.04]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Cerebrovascular disease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0.85 [0.66;1.10]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0.98 [0.77;1.24]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Peripheral vascular disease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0.84 [0.57;1.23]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1.01 [0.70;1.44]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Dementia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0.67 [0.43;1.03]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0.78 [0.52;1.16]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Diabetes mellitus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0.83 [0.71;0.98]＜0.05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0.80 [0.69;0.93]＜0.01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Hypertension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0.69 [0.60;0.81]＜0.001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0.75 [0.65;0.86]＜0.001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COPD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0.80 [0.59;1.09]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0.84 [0.63;1.11]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Potassium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1.04 [0.97;1.11]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1.07 [1.00;1.14]＜0.05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Bicarbonate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0.98 [0.97;1.00]＜0.05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0.99 [0.97;1.00]＜0.05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Phosphate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1.07 [1.04;1.10]＜0.001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1.07 [1.04;1.10]＜0.001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CCI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1.08 [1.05;1.12]＜0.001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1.06 [1.03;1.10]＜0.001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0.98 [0.96;1.00]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0.98 [0.96;0.99]＜0.01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MAP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0.98 [0.98;0.99]＜0.001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0.99 [0.98;0.99]＜0.001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MV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1.91 [1.55;2.35]＜0.001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1.71 [1.42;2.06]＜0.001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White blood cell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[1.00;1.00]＜0.05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[1.00;1.00]＜0.01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Hemoglobin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0.95 [0.92;0.99]＜0.01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0.96 [0.92;0.99]＜0.01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BUN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[1.00;1.00]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[1.00;1.00]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Creatinine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0.90 [0.86;0.95]＜0.001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0.89 [0.85;0.93]＜0.001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Albumin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0.66 [0.58;0.76]＜0.001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0.63 [0.56;0.71]＜0.001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CRP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[1.00;1.00]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[1.00;1.00]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GFR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[1.00;1.01]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[1.00;1.01]＜0.001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UO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[1.00;1.00]＜0.001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[1.00;1.00]＜0.001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APACHE II score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1.03 [1.03;1.04]＜0.001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1.03 [1.02;1.04]＜0.001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SOFA score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1.17 [1.15;1.20]＜0.001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1.12 [1.10;1.14]＜0.001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Cause of CRRT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0.92 [0.87;0.97]＜0.01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0.93 [0.89;0.98]＜0.01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CRRT dose</w:t>
            </w:r>
          </w:p>
        </w:tc>
        <w:tc>
          <w:tcPr>
            <w:tcW w:w="2765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1.01 [0.99;1.02] NS</w:t>
            </w:r>
          </w:p>
        </w:tc>
        <w:tc>
          <w:tcPr>
            <w:tcW w:w="27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1.00 [0.99;1.02]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AKIN stages</w:t>
            </w:r>
          </w:p>
        </w:tc>
        <w:tc>
          <w:tcPr>
            <w:tcW w:w="2765" w:type="dxa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1.02 [0.86;1.21] NS</w:t>
            </w:r>
          </w:p>
        </w:tc>
        <w:tc>
          <w:tcPr>
            <w:tcW w:w="2766" w:type="dxa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0.97 [0.83;1.14] 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Cause of AKI</w:t>
            </w: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0.95 [0.88;1.02] NS</w:t>
            </w:r>
          </w:p>
        </w:tc>
        <w:tc>
          <w:tcPr>
            <w:tcW w:w="2766" w:type="dxa"/>
            <w:tcBorders>
              <w:top w:val="nil"/>
              <w:bottom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0.96 [0.90;1.03] NS</w:t>
            </w:r>
          </w:p>
        </w:tc>
      </w:tr>
    </w:tbl>
    <w:p>
      <w:pP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  <w:r>
        <w:rPr>
          <w:rFonts w:ascii="Cambria" w:hAnsi="Cambria" w:eastAsiaTheme="majorEastAsia" w:cstheme="majorBidi"/>
          <w:b/>
          <w:bCs/>
          <w:color w:val="4472C4" w:themeColor="accent1"/>
          <w:kern w:val="0"/>
          <w:sz w:val="24"/>
          <w:lang w:eastAsia="en-US"/>
          <w14:textFill>
            <w14:solidFill>
              <w14:schemeClr w14:val="accent1"/>
            </w14:solidFill>
          </w14:textFill>
        </w:rPr>
        <w:t>Table S1. </w:t>
      </w:r>
      <w: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Univariate cox regression analysis of all-cause mortality.</w:t>
      </w:r>
      <w:bookmarkStart w:id="6" w:name="_GoBack"/>
      <w:bookmarkEnd w:id="6"/>
    </w:p>
    <w:p/>
    <w:p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NS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: not significant</w:t>
      </w:r>
    </w:p>
    <w:p/>
    <w:p/>
    <w:p/>
    <w:p/>
    <w:p/>
    <w:p/>
    <w:p>
      <w:r>
        <w:drawing>
          <wp:inline distT="0" distB="0" distL="0" distR="0">
            <wp:extent cx="5274310" cy="3596005"/>
            <wp:effectExtent l="0" t="0" r="0" b="0"/>
            <wp:docPr id="12572715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271578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Georgia" w:hAnsi="Georgia"/>
          <w:color w:val="333333"/>
          <w:shd w:val="clear" w:color="auto" w:fill="FFFFFF"/>
        </w:rPr>
      </w:pPr>
      <w:r>
        <w:rPr>
          <w:rFonts w:ascii="Cambria" w:hAnsi="Cambria" w:eastAsiaTheme="majorEastAsia" w:cstheme="majorBidi"/>
          <w:b/>
          <w:bCs/>
          <w:color w:val="4472C4" w:themeColor="accent1"/>
          <w:kern w:val="0"/>
          <w:sz w:val="24"/>
          <w:lang w:eastAsia="en-US"/>
          <w14:textFill>
            <w14:solidFill>
              <w14:schemeClr w14:val="accent1"/>
            </w14:solidFill>
          </w14:textFill>
        </w:rPr>
        <w:t>Fig. S1. </w:t>
      </w:r>
      <w: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 xml:space="preserve">Forest plots of the relationship between WBC and all-cause mortality in raw and imputed data. </w:t>
      </w:r>
    </w:p>
    <w:p>
      <w:pP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</w:pPr>
      <w:bookmarkStart w:id="0" w:name="OLE_LINK44"/>
      <w:bookmarkStart w:id="1" w:name="OLE_LINK43"/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All models were adjusted for </w:t>
      </w:r>
      <w:bookmarkStart w:id="2" w:name="OLE_LINK25"/>
      <w:bookmarkStart w:id="3" w:name="OLE_LINK24"/>
      <w:bookmarkStart w:id="4" w:name="OLE_LINK22"/>
      <w:bookmarkStart w:id="5" w:name="OLE_LINK23"/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age, sex, DM, HTN, HCO3-, PO43-, CCI, MAP, MV, Hb, Cre, Alb, UO, APACHE II score, SOFA score, Cause of CRRT</w:t>
      </w:r>
      <w:bookmarkEnd w:id="2"/>
      <w:bookmarkEnd w:id="3"/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.</w:t>
      </w:r>
      <w:bookmarkEnd w:id="0"/>
      <w:bookmarkEnd w:id="1"/>
      <w:bookmarkEnd w:id="4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84"/>
    <w:rsid w:val="000144B1"/>
    <w:rsid w:val="001C6DED"/>
    <w:rsid w:val="00294963"/>
    <w:rsid w:val="004A471C"/>
    <w:rsid w:val="004F194D"/>
    <w:rsid w:val="00554D43"/>
    <w:rsid w:val="00581002"/>
    <w:rsid w:val="00603471"/>
    <w:rsid w:val="00693555"/>
    <w:rsid w:val="007A1C73"/>
    <w:rsid w:val="00940509"/>
    <w:rsid w:val="00986685"/>
    <w:rsid w:val="00A87C96"/>
    <w:rsid w:val="00A97633"/>
    <w:rsid w:val="00C662CE"/>
    <w:rsid w:val="00CC0A84"/>
    <w:rsid w:val="00D87452"/>
    <w:rsid w:val="00E52A0E"/>
    <w:rsid w:val="00E97A37"/>
    <w:rsid w:val="00F64EF6"/>
    <w:rsid w:val="5387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310</Words>
  <Characters>1767</Characters>
  <Lines>14</Lines>
  <Paragraphs>4</Paragraphs>
  <TotalTime>16</TotalTime>
  <ScaleCrop>false</ScaleCrop>
  <LinksUpToDate>false</LinksUpToDate>
  <CharactersWithSpaces>2073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2023-05-05T04:46:00Z</dcterms:created>
  <dc:creator>Harvey Wong</dc:creator>
  <cp:lastModifiedBy>7mr゜... /乏味^</cp:lastModifiedBy>
  <dcterms:modified xsi:type="dcterms:W3CDTF">2026-07-20T11:56:11Z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6449534AE9724BC091245A5FF3560388_13</vt:lpwstr>
  </property>
</Properties>
</file>