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Supplementary Information</w:t>
      </w:r>
    </w:p>
    <w:p>
      <w:pPr>
        <w:pStyle w:val="Heading1"/>
      </w:pPr>
      <w:r>
        <w:t>Supplementary Figures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86400" cy="332409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S1_domain_adaptatio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40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/>
      </w:pPr>
      <w:r>
        <w:rPr>
          <w:b/>
          <w:sz w:val="20"/>
        </w:rPr>
        <w:t>Supplementary Figure S1 | Domain-adaptation benchmark for cross-cohort transfer.</w:t>
      </w:r>
      <w:r>
        <w:rPr>
          <w:sz w:val="20"/>
        </w:rPr>
        <w:t xml:space="preserve"> External AUROC (SVM, frozen PPMI model) for ten harmonisation/transfer methods on NEUROCON (blue), Tao Wu (green) and the pooled cohort (red), with 95% bootstrap CIs. No method gave a significant gain; only CORAL was directionally consistent across both cohorts; deep adversarial methods under-performed at this sample size.</w:t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86400" cy="237010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4_D2_bulk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01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/>
      </w:pPr>
      <w:r>
        <w:rPr>
          <w:b/>
          <w:sz w:val="20"/>
        </w:rPr>
        <w:t>Supplementary Figure S2 | The PD substantia-nigra signature is expressed in bulk human retina.</w:t>
      </w:r>
      <w:r>
        <w:rPr>
          <w:sz w:val="20"/>
        </w:rPr>
        <w:t xml:space="preserve"> Expression percentile of PD gene sets in retina bulk RNA-seq (GSE115828, n=453) versus the genome-wide background; DDC at the 97th percentile, SLC6A3/DAT not retina-expressed.</w:t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120640" cy="452301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5_D2_scRNA_heatmap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45230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/>
      </w:pPr>
      <w:r>
        <w:rPr>
          <w:b/>
          <w:sz w:val="20"/>
        </w:rPr>
        <w:t>Supplementary Figure S3 | PD genes across retinal cell types (single-nucleus heatmap).</w:t>
      </w:r>
      <w:r>
        <w:rPr>
          <w:sz w:val="20"/>
        </w:rPr>
        <w:t xml:space="preserve"> Mean log-normalised expression of key PD genes across retinal cell types (GSE137537); RGC column outlined. Complements the EWCE enrichment in Figure 5.</w:t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120640" cy="26084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S4_clinical_visual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6084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/>
      </w:pPr>
      <w:r>
        <w:rPr>
          <w:b/>
          <w:sz w:val="20"/>
        </w:rPr>
        <w:t>Supplementary Figure S4 | Visual-network connectivity and visuospatial function in patients.</w:t>
      </w:r>
      <w:r>
        <w:rPr>
          <w:sz w:val="20"/>
        </w:rPr>
        <w:t xml:space="preserve"> In PD patients (n=88), within-visual-network functional connectivity versus (left) Benton Judgment of Line Orientation (visuospatial; Spearman rho=-0.25, P=0.017) and (right) MoCA (global cognition; rho=-0.08, P=0.48). Lines are linear fits. The association was specific to visuospatial function and is reported as exploratory (nominal P, not corrected for the measures tested).</w:t>
      </w:r>
    </w:p>
    <w:p>
      <w:pPr/>
      <w:r>
        <w:rPr>
          <w:b/>
        </w:rPr>
        <w:t xml:space="preserve">Supplementary Figure S5. </w:t>
      </w:r>
      <w:r>
        <w:t xml:space="preserve">Protein-level and independent retinal corroboration of the signature genes. Human Protein Atlas data for the 170-gene signature. (A) Retinal expression (log10 nTPM) of the signature genes versus a size-matched background; the distributions do not differ (Mann–Whitney P = 0.45), so no preferential retinal enrichment is claimed, yet 87% of signature genes are expressed (≥1 nTPM) and all carry antibody-based protein evidence. (B) Retinal expression of the dopaminergic core, with high </w:t>
      </w:r>
      <w:r>
        <w:rPr>
          <w:i/>
        </w:rPr>
        <w:t>DDC</w:t>
      </w:r>
      <w:r>
        <w:t xml:space="preserve"> and near-absent </w:t>
      </w:r>
      <w:r>
        <w:rPr>
          <w:i/>
        </w:rPr>
        <w:t>SLC6A3</w:t>
      </w:r>
      <w:r>
        <w:t>, independently reproducing the synthesis-without-transport pattern. nTPM, normalised transcripts per million.</w:t>
      </w:r>
    </w:p>
    <w:p>
      <w:pPr/>
      <w:r>
        <w:rPr>
          <w:b/>
        </w:rPr>
        <w:t xml:space="preserve">Supplementary Figure S6. </w:t>
      </w:r>
      <w:r>
        <w:t>The inner-retinal localization is specific within neurons. EWCE of the signature in the retina snRNA atlas with the bootstrap null restricted to neuronal genes (expression-matched). The signature remains enriched in retinal ganglion (z = 7.2) and amacrine (z = 5.7) cells and is depleted in photoreceptors; the result is unchanged after removing all dopaminergic genes — excluding a generic neuronal effect.</w:t>
      </w:r>
    </w:p>
    <w:p>
      <w:pPr>
        <w:pStyle w:val="Heading1"/>
      </w:pPr>
      <w:r>
        <w:t>Supplementary Tables</w:t>
      </w:r>
    </w:p>
    <w:p>
      <w:r>
        <w:rPr>
          <w:rFonts w:ascii="Times New Roman" w:hAnsi="Times New Roman"/>
          <w:b/>
          <w:sz w:val="18"/>
        </w:rPr>
        <w:t xml:space="preserve">Supplementary Table S1. </w:t>
      </w:r>
      <w:r>
        <w:rPr>
          <w:rFonts w:ascii="Times New Roman" w:hAnsi="Times New Roman"/>
          <w:sz w:val="18"/>
        </w:rPr>
        <w:t>Cross-cohort domain-adaptation benchmark. PD-versus-HC classification AUROC (95% bootstrap CI) of the frozen PPMI support-vector model evaluated in the two external cohorts and their pool after each of ten harmonization or domain-adaptation methods. No method used external diagnostic labels; ComBat was the pre-specified primary harmonizer. Only CORAL improved the pooled estimate while remaining consistent across both cohorts, and no method reached significance over the per-site z-score baseline, indicating protocol-level domain shift rather than a correctable batch effect. The complete table with sensitivity and specificity is provided in Supplementary_Table_S1_domain_adaptation.xlsx.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16"/>
              </w:rPr>
              <w:t>Method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16"/>
              </w:rPr>
              <w:t>Type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16"/>
              </w:rPr>
              <w:t>NEUROCON (n=42)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16"/>
              </w:rPr>
              <w:t>Tao Wu (n=35)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16"/>
              </w:rPr>
              <w:t>Pooled (n=77)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Baseline (per-site z-score)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reference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0.71 [0.53–0.86]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0.56 [0.36–0.75]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0.63 [0.51–0.75]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ComBat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harmonization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0.70 [0.53–0.86]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0.55 [0.35–0.75]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0.63 [0.50–0.76]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CORAL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2nd-order alignment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0.71 [0.53–0.86]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0.62 [0.41–0.80]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0.67 [0.54–0.78]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CovBat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harmonization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0.73 [0.54–0.88]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0.54 [0.33–0.73]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0.63 [0.50–0.76]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Riemannian re-centering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SPD manifold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0.52 [0.34–0.70]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0.71 [0.54–0.87]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0.60 [0.46–0.73]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Optimal transport (Sinkhorn)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optimal transport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0.67 [0.49–0.84]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0.59 [0.39–0.79]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0.62 [0.48–0.74]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Subspace alignment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shallow transfer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0.69 [0.51–0.84]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0.59 [0.40–0.78]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0.63 [0.50–0.75]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Transfer-component analysis (TCA)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shallow transfer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0.64 [0.46–0.81]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0.57 [0.36–0.75]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0.61 [0.47–0.73]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DANN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deep domain-adapt.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0.64 [0.47–0.80]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0.58 [0.38–0.77]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0.61 [0.48–0.74]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Deep CORAL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deep domain-adapt.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0.57 [0.39–0.74]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0.53 [0.33–0.73]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sz w:val="16"/>
              </w:rPr>
              <w:t>0.54 [0.40–0.66]</w:t>
            </w:r>
          </w:p>
        </w:tc>
      </w:tr>
    </w:tbl>
    <w:p>
      <w:r>
        <w:rPr>
          <w:rFonts w:ascii="Times New Roman" w:hAnsi="Times New Roman"/>
          <w:b/>
          <w:sz w:val="18"/>
        </w:rPr>
        <w:t xml:space="preserve">Supplementary Table S2. </w:t>
      </w:r>
      <w:r>
        <w:rPr>
          <w:rFonts w:ascii="Times New Roman" w:hAnsi="Times New Roman"/>
          <w:sz w:val="18"/>
        </w:rPr>
        <w:t>Full differential-expression, gene-ontology, EWCE and retinal co-expression results. The significant subsets are tabulated below; the complete genome-wide tables are provided as a seven-sheet workbook (Supplementary_Table_S2_full_results.xlsx): S2a substantia-nigra differential expression (all 6,450 genes), S2b whole-blood differential expression (all 13,101 genes), S2c/S2d GO biological-process enrichment, S2e expression-weighted cell-type enrichment across the four gene sets, and S2f/S2g per-gene Spearman co-expression with the retinal dopamine score (single-nucleus and bulk). DEG, differentially expressed gene; FC, fold-change; EWCE, expression-weighted cell-type enrichment.</w:t>
      </w:r>
    </w:p>
    <w:p>
      <w:r>
        <w:rPr>
          <w:rFonts w:ascii="Times New Roman" w:hAnsi="Times New Roman"/>
          <w:b w:val="0"/>
          <w:i/>
          <w:sz w:val="17"/>
        </w:rPr>
        <w:t>S2a. Substantia-nigra differentially expressed genes (FDR&lt;0.05; 11 genes).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sz w:val="15"/>
              </w:rPr>
              <w:t>gene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b/>
                <w:sz w:val="15"/>
              </w:rPr>
              <w:t>logFC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b/>
                <w:sz w:val="15"/>
              </w:rPr>
              <w:t>AveExpr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b/>
                <w:sz w:val="15"/>
              </w:rPr>
              <w:t>t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b/>
                <w:sz w:val="15"/>
              </w:rPr>
              <w:t>P.Value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b/>
                <w:sz w:val="15"/>
              </w:rPr>
              <w:t>adj.P.Val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AGTR1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-1.56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5.53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-5.74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6.79e-08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2.61e-04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DDC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-2.04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6.9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-5.7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8.08e-08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2.61e-04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SLC6A3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-1.69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7.16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-5.26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6.05e-07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0.00112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SV2C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-1.7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7.58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-5.23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6.95e-07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0.00112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KCNJ6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-1.58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6.7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-4.98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2.04e-06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0.00264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DLK1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-1.41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5.83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-4.84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3.77e-06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0.00405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SSSCA1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-0.93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4.72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-4.36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2.66e-05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0.0245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TMEM255A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-1.12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7.45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-4.22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4.57e-05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0.0358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ANK1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-1.01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6.56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-4.19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5.24e-05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0.0358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CLSTN2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-1.08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5.82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-4.17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5.55e-05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0.0358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CBLN1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-1.08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5.52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-4.15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6.16e-05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0.0361</w:t>
            </w:r>
          </w:p>
        </w:tc>
      </w:tr>
    </w:tbl>
    <w:p>
      <w:r>
        <w:rPr>
          <w:rFonts w:ascii="Times New Roman" w:hAnsi="Times New Roman"/>
          <w:b w:val="0"/>
          <w:i/>
          <w:sz w:val="17"/>
        </w:rPr>
        <w:t>S2b. Whole-blood differentially expressed genes (FDR&lt;0.05; 28 genes).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rFonts w:ascii="Times New Roman" w:hAnsi="Times New Roman"/>
                <w:b/>
                <w:sz w:val="15"/>
              </w:rPr>
              <w:t>gene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b/>
                <w:sz w:val="15"/>
              </w:rPr>
              <w:t>logFC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b/>
                <w:sz w:val="15"/>
              </w:rPr>
              <w:t>AveExpr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b/>
                <w:sz w:val="15"/>
              </w:rPr>
              <w:t>t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b/>
                <w:sz w:val="15"/>
              </w:rPr>
              <w:t>P.Value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b/>
                <w:sz w:val="15"/>
              </w:rPr>
              <w:t>adj.P.Val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PTGDS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0.35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8.09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6.32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5.27e-10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6.90e-06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ADGRG3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0.27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8.62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6.06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2.53e-09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1.66e-05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BMX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0.31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5.53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4.80e-08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9.92e-05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MMP9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0.37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9.53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5.38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1.08e-07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1.41e-04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SPI1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8.35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5.29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1.75e-07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1.55e-04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PDLIM7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0.28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7.35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5.19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2.89e-07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1.65e-04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ZYX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0.27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9.62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5.04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6.20e-07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2.46e-04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GPX3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0.34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5.27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7.80e-07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2.56e-04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LOC100130872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0.28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7.92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4.86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1.50e-06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3.44e-04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LRRN3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-0.45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6.34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-4.8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2.01e-06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4.08e-04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FCAR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0.31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6.15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2.02e-06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4.08e-04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G6PD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0.27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8.08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2.02e-06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4.08e-04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ARG1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0.35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5.96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4.47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9.22e-06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0.00102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RPS4Y1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1.01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7.76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4.23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2.70e-05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0.00222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XIST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-1.24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7.53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-4.2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3.12e-05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0.00235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TXLNGY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0.67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4.54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4.12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4.30e-05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0.00292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TRAK2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-0.28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8.05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-4.05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5.71e-05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0.0035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DDX3Y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0.72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4.53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4.05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5.91e-05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0.00359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RNF24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0.29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10.1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4.04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6.11e-05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0.00365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HBG2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-0.3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12.9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-3.83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1.43e-04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0.00649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CFD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9.19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3.73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2.11e-04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0.00846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LILRA5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0.27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7.39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3.67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2.67e-04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0.0096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TUBB2A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-0.62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7.2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-3.59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3.58e-04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0.0114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KDM5D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0.61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4.96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3.54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4.30e-04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0.0129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EIF1AY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0.62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4.21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3.44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6.32e-04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0.0168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USP9Y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0.31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3.4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3.36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8.41e-04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0.0202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CA1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-0.29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8.62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-3.33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9.14e-04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0.0215</w:t>
            </w:r>
          </w:p>
        </w:tc>
      </w:tr>
      <w:tr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KRT1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-0.29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8.54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-3.2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0.00147</w:t>
            </w:r>
          </w:p>
        </w:tc>
        <w:tc>
          <w:tcPr>
            <w:tcW w:type="dxa" w:w="1440"/>
          </w:tcPr>
          <w:p>
            <w:r>
              <w:rPr>
                <w:rFonts w:ascii="Times New Roman" w:hAnsi="Times New Roman"/>
                <w:sz w:val="15"/>
              </w:rPr>
              <w:t>0.0298</w:t>
            </w:r>
          </w:p>
        </w:tc>
      </w:tr>
    </w:tbl>
    <w:p>
      <w:r>
        <w:rPr>
          <w:rFonts w:ascii="Times New Roman" w:hAnsi="Times New Roman"/>
          <w:b w:val="0"/>
          <w:i/>
          <w:sz w:val="17"/>
        </w:rPr>
        <w:t>S2c. Substantia-nigra GO biological-process enrichment (15 terms).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rPr>
                <w:rFonts w:ascii="Times New Roman" w:hAnsi="Times New Roman"/>
                <w:b/>
                <w:sz w:val="15"/>
              </w:rPr>
              <w:t>ID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b/>
                <w:sz w:val="15"/>
              </w:rPr>
              <w:t>Description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b/>
                <w:sz w:val="15"/>
              </w:rPr>
              <w:t>FoldEnrichment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b/>
                <w:sz w:val="15"/>
              </w:rPr>
              <w:t>Count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b/>
                <w:sz w:val="15"/>
              </w:rPr>
              <w:t>p.adjust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b/>
                <w:sz w:val="15"/>
              </w:rPr>
              <w:t>qvalue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b/>
                <w:sz w:val="15"/>
              </w:rPr>
              <w:t>geneID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GO:0042416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dopamine biosynthetic process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290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0.00549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0.00271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DDC/SLC6A3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GO:0009713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catechol-containing compound biosynthetic process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157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0.00645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0.00319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DDC/SLC6A3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GO:0042423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catecholamine biosynthetic process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157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0.00645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0.00319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DDC/SLC6A3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GO:1904862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inhibitory synapse assembly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130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0.00711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0.00351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CLSTN2/CBLN1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GO:0042401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biogenic amine biosynthetic process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94.3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0.00954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0.00472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DDC/SLC6A3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GO:0009309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amine biosynthetic process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92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0.00954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0.00472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DDC/SLC6A3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GO:0042417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dopamine metabolic process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83.8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0.00986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0.00488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DDC/SLC6A3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GO:0046189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phenol-containing compound biosynthetic process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77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0.0102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0.00506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DDC/SLC6A3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GO:0006584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catecholamine metabolic process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63.9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0.0119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0.00587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DDC/SLC6A3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GO:0009712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catechol-containing compound metabolic process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63.9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0.0119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0.00587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DDC/SLC6A3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GO:0051965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positive regulation of synapse assembly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52.4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0.0161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0.00795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CLSTN2/CBLN1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GO:0006576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biogenic amine metabolic process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43.9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0.021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0.0104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DDC/SLC6A3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GO:0009308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amine metabolic process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38.1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0.0256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0.0127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DDC/SLC6A3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GO:0018958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phenol-containing compound metabolic process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32.2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0.0325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0.0161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DDC/SLC6A3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GO:1901890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positive regulation of cell junction assembly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31.4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0.0325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0.0161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CLSTN2/CBLN1</w:t>
            </w:r>
          </w:p>
        </w:tc>
      </w:tr>
    </w:tbl>
    <w:p>
      <w:r>
        <w:rPr>
          <w:rFonts w:ascii="Times New Roman" w:hAnsi="Times New Roman"/>
          <w:b w:val="0"/>
          <w:i/>
          <w:sz w:val="17"/>
        </w:rPr>
        <w:t>S2d. Whole-blood GO biological-process enrichment (6 terms).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rPr>
                <w:rFonts w:ascii="Times New Roman" w:hAnsi="Times New Roman"/>
                <w:b/>
                <w:sz w:val="15"/>
              </w:rPr>
              <w:t>ID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b/>
                <w:sz w:val="15"/>
              </w:rPr>
              <w:t>Description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b/>
                <w:sz w:val="15"/>
              </w:rPr>
              <w:t>FoldEnrichment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b/>
                <w:sz w:val="15"/>
              </w:rPr>
              <w:t>Count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b/>
                <w:sz w:val="15"/>
              </w:rPr>
              <w:t>p.adjust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b/>
                <w:sz w:val="15"/>
              </w:rPr>
              <w:t>qvalue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b/>
                <w:sz w:val="15"/>
              </w:rPr>
              <w:t>geneID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GO:0002444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myeloid leukocyte mediated immunity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26.6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4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0.00609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0.00469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PTGDS/SPI1/FCAR/ARG1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GO:0002446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neutrophil mediated immunity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58.9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3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0.00609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0.00469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SPI1/FCAR/ARG1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GO:0002262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myeloid cell homeostasis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15.6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4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0.0263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0.0203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SPI1/FCAR/G6PD/HBG2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GO:0071346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cellular response to type II interferon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22.9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3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0.0376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0.029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ZYX/FCAR/ARG1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GO:0002888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positive regulation of myeloid leukocyte mediated immunity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74.8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0.0376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0.029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SPI1/ARG1</w:t>
            </w:r>
          </w:p>
        </w:tc>
      </w:tr>
      <w:tr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GO:0002443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leukocyte mediated immunity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8.1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5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0.0376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0.029</w:t>
            </w:r>
          </w:p>
        </w:tc>
        <w:tc>
          <w:tcPr>
            <w:tcW w:type="dxa" w:w="1234"/>
          </w:tcPr>
          <w:p>
            <w:r>
              <w:rPr>
                <w:rFonts w:ascii="Times New Roman" w:hAnsi="Times New Roman"/>
                <w:sz w:val="15"/>
              </w:rPr>
              <w:t>PTGDS/SPI1/FCAR/ARG1/KDM5D</w:t>
            </w:r>
          </w:p>
        </w:tc>
      </w:tr>
    </w:tbl>
    <w:p>
      <w:r>
        <w:rPr>
          <w:rFonts w:ascii="Times New Roman" w:hAnsi="Times New Roman"/>
          <w:b w:val="0"/>
          <w:i/>
          <w:sz w:val="17"/>
        </w:rPr>
        <w:t>S2e. Expression-weighted cell-type enrichment in retina (z&gt;0 = over-represented; q = BH-adjusted).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</w:tcPr>
          <w:p>
            <w:r>
              <w:rPr>
                <w:rFonts w:ascii="Times New Roman" w:hAnsi="Times New Roman"/>
                <w:b/>
                <w:sz w:val="15"/>
              </w:rPr>
              <w:t>geneset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b/>
                <w:sz w:val="15"/>
              </w:rPr>
              <w:t>cell_type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b/>
                <w:sz w:val="15"/>
              </w:rPr>
              <w:t>n_genes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b/>
                <w:sz w:val="15"/>
              </w:rPr>
              <w:t>obs_spec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b/>
                <w:sz w:val="15"/>
              </w:rPr>
              <w:t>null_mean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b/>
                <w:sz w:val="15"/>
              </w:rPr>
              <w:t>z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b/>
                <w:sz w:val="15"/>
              </w:rPr>
              <w:t>p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b/>
                <w:sz w:val="15"/>
              </w:rPr>
              <w:t>q_BH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PD-SN signature (170)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ACs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163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0.214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0.134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8.39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1.00e-04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4.00e-04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PD-SN signature (170)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RGCs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163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0.074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0.047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7.71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1.00e-04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4.00e-04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PD-SN signature (170)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HCs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163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0.164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2.27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0.0158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0.0474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PD-SN signature (170)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BPs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163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0.25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0.394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0.886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PD-SN signature (170)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Macroglia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163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0.101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-1.34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0.912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PD-SN signature (170)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Cones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163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0.094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-1.65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0.957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PD-SN signature (170)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Endo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163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0.148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-2.72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0.999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PD-SN signature (170)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Rods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163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0.059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0.074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-2.84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0.999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PD-SN signature (170)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Microglia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163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0.065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-4.23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Signature WITHOUT dopaminergic markers (circularity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ACs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156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0.216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0.134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8.5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1.00e-04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4.00e-04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Signature WITHOUT dopaminergic markers (circularity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RGCs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156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0.074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0.047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7.57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1.00e-04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4.00e-04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Signature WITHOUT dopaminergic markers (circularity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HCs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156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1.89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0.036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0.108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Signature WITHOUT dopaminergic markers (circularity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BPs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156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0.68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0.24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0.541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Signature WITHOUT dopaminergic markers (circularity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Cones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156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0.096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-1.33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0.911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Signature WITHOUT dopaminergic markers (circularity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Macroglia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156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0.098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-1.58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0.951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Signature WITHOUT dopaminergic markers (circularity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Endo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156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0.149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-2.49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0.997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Signature WITHOUT dopaminergic markers (circularity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Rods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156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0.059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0.074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-2.88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0.999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Signature WITHOUT dopaminergic markers (circularity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Microglia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156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0.061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-4.42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Robust PD-SN DEGs (11)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RGCs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0.096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0.046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2.82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0.014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0.063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Robust PD-SN DEGs (11)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ACs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0.282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0.147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2.66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0.0119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0.063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Robust PD-SN DEGs (11)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Macroglia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0.46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0.28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0.839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Robust PD-SN DEGs (11)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Rods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0.071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0.075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-0.14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0.494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0.843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Robust PD-SN DEGs (11)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HCs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-0.26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0.547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0.843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Robust PD-SN DEGs (11)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Microglia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0.092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-0.35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0.562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0.843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Robust PD-SN DEGs (11)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Cones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0.067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-0.88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0.805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0.969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Robust PD-SN DEGs (11)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Endo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0.082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0.145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-1.04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0.862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0.969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Robust PD-SN DEGs (11)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BPs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0.053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-1.8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0.993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0.993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Dopaminergic core (positive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HCs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0.231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0.136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2.04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0.0382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0.315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Dopaminergic core (positive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RGCs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0.081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0.053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1.6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0.0701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0.315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Dopaminergic core (positive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Macroglia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0.162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0.156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0.469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Dopaminergic core (positive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ACs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0.155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0.132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0.51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0.28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0.503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Dopaminergic core (positive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Microglia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0.135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0.49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0.252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0.503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Dopaminergic core (positive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Rods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0.073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-0.27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0.555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0.833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Dopaminergic core (positive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Endo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0.079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0.139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-1.18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0.931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0.998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Dopaminergic core (positive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Cones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0.028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0.112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-1.79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0.998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0.998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Dopaminergic core (positive control)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BPs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8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0.056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0.119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-1.91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0.996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/>
                <w:sz w:val="15"/>
              </w:rPr>
              <w:t>0.998</w:t>
            </w:r>
          </w:p>
        </w:tc>
      </w:tr>
    </w:tbl>
    <w:p>
      <w:r>
        <w:rPr>
          <w:rFonts w:ascii="Times New Roman" w:hAnsi="Times New Roman"/>
          <w:b w:val="0"/>
          <w:i/>
          <w:sz w:val="17"/>
        </w:rPr>
        <w:t>S2f. Single-nucleus retina: top-20 signature genes by co-expression with the dopamine score (full 166 in workbook).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rFonts w:ascii="Times New Roman" w:hAnsi="Times New Roman"/>
                <w:b/>
                <w:sz w:val="15"/>
              </w:rPr>
              <w:t>gene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b/>
                <w:sz w:val="15"/>
              </w:rPr>
              <w:t>rho_vs_DA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b/>
                <w:sz w:val="15"/>
              </w:rPr>
              <w:t>p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DDC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0.346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2.00e-15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DRD2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0.208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2.91e-06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PBX1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0.197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9.80e-06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ATP6V1G2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0.176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7.78e-05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ATP6V0E2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0.164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2.50e-04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RAB3A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0.161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3.06e-04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BSN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0.146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0.00113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HSPA12A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0.145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0.00114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SV2A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0.144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0.00128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LYPD1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0.143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0.00135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SNAP91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0.131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0.00337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SNCA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0.127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0.00459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FHOD3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0.125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0.0053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PEG10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0.125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0.00523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NRXN3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0.124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0.00562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SCN3B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0.121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0.00682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SYN1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0.121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0.00672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CADPS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0.121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0.0069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CERK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0.114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0.0111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CSRNP3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0.111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0.0129</w:t>
            </w:r>
          </w:p>
        </w:tc>
      </w:tr>
    </w:tbl>
    <w:p>
      <w:r>
        <w:rPr>
          <w:rFonts w:ascii="Times New Roman" w:hAnsi="Times New Roman"/>
          <w:b w:val="0"/>
          <w:i/>
          <w:sz w:val="17"/>
        </w:rPr>
        <w:t>S2g. Bulk retina: top-20 signature genes by co-expression with the dopamine score (full 163 in workbook).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rFonts w:ascii="Times New Roman" w:hAnsi="Times New Roman"/>
                <w:b/>
                <w:sz w:val="15"/>
              </w:rPr>
              <w:t>gene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b/>
                <w:sz w:val="15"/>
              </w:rPr>
              <w:t>rho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b/>
                <w:sz w:val="15"/>
              </w:rPr>
              <w:t>p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SV2A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0.711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CPLX2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0.684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SLIT1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0.673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CRY2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0.67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CBLN1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0.618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IQSEC3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0.617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PTPRN2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0.592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CACNB3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0.58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SYNGR3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0.56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SYN1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0.548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SCN3B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0.542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CACNA2D2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0.541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NUP93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0.529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ASMTL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0.515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SNCB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0.513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PRKAR1B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0.504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NSG1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0.5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ANK1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0.499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CALY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0.498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  <w:tr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ACHE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0.493</w:t>
            </w:r>
          </w:p>
        </w:tc>
        <w:tc>
          <w:tcPr>
            <w:tcW w:type="dxa" w:w="2880"/>
          </w:tcPr>
          <w:p>
            <w:r>
              <w:rPr>
                <w:rFonts w:ascii="Times New Roman" w:hAnsi="Times New Roman"/>
                <w:sz w:val="15"/>
              </w:rPr>
              <w:t>0.00e+00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