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0C1D6">
      <w:pPr>
        <w:spacing w:line="360" w:lineRule="auto"/>
        <w:jc w:val="both"/>
        <w:rPr>
          <w:rFonts w:ascii="Arial" w:hAnsi="Arial" w:cs="Arial"/>
          <w:b/>
          <w:bCs/>
        </w:rPr>
      </w:pPr>
      <w:bookmarkStart w:id="0" w:name="_GoBack"/>
      <w:r>
        <w:drawing>
          <wp:inline distT="0" distB="0" distL="0" distR="0">
            <wp:extent cx="5274310" cy="4429760"/>
            <wp:effectExtent l="0" t="0" r="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2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6691731">
      <w:pPr>
        <w:spacing w:line="360" w:lineRule="auto"/>
        <w:jc w:val="both"/>
        <w:rPr>
          <w:rFonts w:ascii="Arial" w:hAnsi="Arial" w:cs="Arial"/>
          <w:b/>
          <w:bCs/>
          <w:sz w:val="20"/>
          <w:szCs w:val="21"/>
        </w:rPr>
      </w:pPr>
      <w:r>
        <w:rPr>
          <w:rFonts w:ascii="Arial" w:hAnsi="Arial" w:cs="Arial"/>
          <w:b/>
          <w:bCs/>
          <w:sz w:val="20"/>
          <w:szCs w:val="21"/>
        </w:rPr>
        <w:t>Supplementary Fig</w:t>
      </w:r>
      <w:r>
        <w:rPr>
          <w:rFonts w:hint="eastAsia" w:ascii="Arial" w:hAnsi="Arial" w:cs="Arial"/>
          <w:b/>
          <w:bCs/>
          <w:sz w:val="20"/>
          <w:szCs w:val="21"/>
          <w:lang w:val="en-US" w:eastAsia="zh-CN"/>
        </w:rPr>
        <w:t>.</w:t>
      </w:r>
      <w:r>
        <w:rPr>
          <w:rFonts w:ascii="Arial" w:hAnsi="Arial" w:cs="Arial"/>
          <w:b/>
          <w:bCs/>
          <w:sz w:val="20"/>
          <w:szCs w:val="21"/>
        </w:rPr>
        <w:t xml:space="preserve"> 1 The GPX4 inhibitor RSL3 significantly enhances radiosensitivity in ESCC cells (ECA109 and TE-1).</w:t>
      </w:r>
      <w:r>
        <w:rPr>
          <w:rFonts w:hint="eastAsia" w:ascii="Arial" w:hAnsi="Arial" w:cs="Arial"/>
          <w:b/>
          <w:bCs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 xml:space="preserve">(A) qPCR analysis indicated that the significant upregulation of </w:t>
      </w:r>
      <w:r>
        <w:rPr>
          <w:rFonts w:ascii="Arial" w:hAnsi="Arial" w:cs="Arial"/>
          <w:i/>
          <w:iCs/>
          <w:sz w:val="20"/>
          <w:szCs w:val="21"/>
        </w:rPr>
        <w:t>GPX4</w:t>
      </w:r>
      <w:r>
        <w:rPr>
          <w:rFonts w:ascii="Arial" w:hAnsi="Arial" w:cs="Arial"/>
          <w:sz w:val="20"/>
          <w:szCs w:val="21"/>
        </w:rPr>
        <w:t xml:space="preserve"> mRNA induced by 4 Gy irradiation was unaffected by RSL3 treatment.</w:t>
      </w:r>
      <w:r>
        <w:rPr>
          <w:rFonts w:hint="eastAsia" w:ascii="Arial" w:hAnsi="Arial" w:cs="Arial"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>(B) Western blot analysis confirmed that 4 Gy irradiation markedly increased GPX4 protein expression, which remained unaltered by RSL3.</w:t>
      </w:r>
      <w:r>
        <w:rPr>
          <w:rFonts w:hint="eastAsia" w:ascii="Arial" w:hAnsi="Arial" w:cs="Arial"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>(C) CCK-8 assays demonstrated that while RSL3 alone had no significant impact on cell viability, it significantly enhanced the viability suppression induced by 4 Gy irradiation.</w:t>
      </w:r>
      <w:r>
        <w:rPr>
          <w:rFonts w:hint="eastAsia" w:ascii="Arial" w:hAnsi="Arial" w:cs="Arial"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>(D) Colony formation assays revealed that RSL3 alone did not affect colony formation but markedly potentiated the inhibitory effects of 4 Gy irradiation.</w:t>
      </w:r>
      <w:r>
        <w:rPr>
          <w:rFonts w:hint="eastAsia" w:ascii="Arial" w:hAnsi="Arial" w:cs="Arial"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>(E) RSL3 alone did not alter ROS levels, but it significantly augmented the 4 Gy-induced increase in ROS accumulation.</w:t>
      </w:r>
      <w:r>
        <w:rPr>
          <w:rFonts w:hint="eastAsia" w:ascii="Arial" w:hAnsi="Arial" w:cs="Arial"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>(F) RSL3 alone had no effect on ferrous ion levels, yet it significantly exacerbated the 4 Gy-induced elevation in ferrous ions.</w:t>
      </w:r>
    </w:p>
    <w:p w14:paraId="5B488B33">
      <w:pPr>
        <w:spacing w:line="360" w:lineRule="auto"/>
        <w:jc w:val="both"/>
        <w:rPr>
          <w:rFonts w:ascii="Arial" w:hAnsi="Arial" w:cs="Arial"/>
          <w:b/>
          <w:bCs/>
        </w:rPr>
      </w:pPr>
      <w:r>
        <w:drawing>
          <wp:inline distT="0" distB="0" distL="0" distR="0">
            <wp:extent cx="5274310" cy="505079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11486">
      <w:pPr>
        <w:spacing w:line="360" w:lineRule="auto"/>
        <w:jc w:val="both"/>
        <w:rPr>
          <w:rFonts w:ascii="Arial" w:hAnsi="Arial" w:cs="Arial"/>
          <w:b/>
          <w:bCs/>
          <w:sz w:val="20"/>
          <w:szCs w:val="21"/>
        </w:rPr>
      </w:pPr>
      <w:r>
        <w:rPr>
          <w:rFonts w:ascii="Arial" w:hAnsi="Arial" w:cs="Arial"/>
          <w:b/>
          <w:bCs/>
          <w:sz w:val="20"/>
          <w:szCs w:val="21"/>
        </w:rPr>
        <w:t>Supplementary Fig</w:t>
      </w:r>
      <w:r>
        <w:rPr>
          <w:rFonts w:hint="eastAsia" w:ascii="Arial" w:hAnsi="Arial" w:cs="Arial"/>
          <w:b/>
          <w:bCs/>
          <w:sz w:val="20"/>
          <w:szCs w:val="21"/>
          <w:lang w:val="en-US" w:eastAsia="zh-CN"/>
        </w:rPr>
        <w:t xml:space="preserve">. </w:t>
      </w:r>
      <w:r>
        <w:rPr>
          <w:rFonts w:ascii="Arial" w:hAnsi="Arial" w:cs="Arial"/>
          <w:b/>
          <w:bCs/>
          <w:sz w:val="20"/>
          <w:szCs w:val="21"/>
        </w:rPr>
        <w:t>2</w:t>
      </w:r>
      <w:r>
        <w:rPr>
          <w:rFonts w:hint="eastAsia" w:ascii="Arial" w:hAnsi="Arial" w:cs="Arial"/>
          <w:b/>
          <w:bCs/>
          <w:sz w:val="20"/>
          <w:szCs w:val="21"/>
          <w:lang w:val="en-US" w:eastAsia="zh-CN"/>
        </w:rPr>
        <w:t xml:space="preserve"> </w:t>
      </w:r>
      <w:r>
        <w:rPr>
          <w:rFonts w:ascii="Arial" w:hAnsi="Arial" w:cs="Arial"/>
          <w:b/>
          <w:bCs/>
          <w:sz w:val="20"/>
          <w:szCs w:val="21"/>
        </w:rPr>
        <w:t xml:space="preserve">Pharmacological inhibition of METTL3 regulates the m6A modification and expression of </w:t>
      </w:r>
      <w:r>
        <w:rPr>
          <w:rFonts w:ascii="Arial" w:hAnsi="Arial" w:cs="Arial"/>
          <w:b/>
          <w:bCs/>
          <w:i/>
          <w:iCs/>
          <w:sz w:val="20"/>
          <w:szCs w:val="21"/>
        </w:rPr>
        <w:t>GPX4</w:t>
      </w:r>
      <w:r>
        <w:rPr>
          <w:rFonts w:ascii="Arial" w:hAnsi="Arial" w:cs="Arial"/>
          <w:b/>
          <w:bCs/>
          <w:sz w:val="20"/>
          <w:szCs w:val="21"/>
        </w:rPr>
        <w:t xml:space="preserve"> mRNA.</w:t>
      </w:r>
      <w:r>
        <w:rPr>
          <w:rFonts w:hint="eastAsia" w:ascii="Arial" w:hAnsi="Arial" w:cs="Arial"/>
          <w:b/>
          <w:bCs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 xml:space="preserve">(A) qPCR analysis showed that 4 Gy irradiation significantly upregulated </w:t>
      </w:r>
      <w:r>
        <w:rPr>
          <w:rFonts w:ascii="Arial" w:hAnsi="Arial" w:cs="Arial"/>
          <w:i/>
          <w:iCs/>
          <w:sz w:val="20"/>
          <w:szCs w:val="21"/>
        </w:rPr>
        <w:t>METTL3</w:t>
      </w:r>
      <w:r>
        <w:rPr>
          <w:rFonts w:ascii="Arial" w:hAnsi="Arial" w:cs="Arial"/>
          <w:sz w:val="20"/>
          <w:szCs w:val="21"/>
        </w:rPr>
        <w:t xml:space="preserve"> and </w:t>
      </w:r>
      <w:r>
        <w:rPr>
          <w:rFonts w:ascii="Arial" w:hAnsi="Arial" w:cs="Arial"/>
          <w:i/>
          <w:iCs/>
          <w:sz w:val="20"/>
          <w:szCs w:val="21"/>
        </w:rPr>
        <w:t>GPX4</w:t>
      </w:r>
      <w:r>
        <w:rPr>
          <w:rFonts w:ascii="Arial" w:hAnsi="Arial" w:cs="Arial"/>
          <w:sz w:val="20"/>
          <w:szCs w:val="21"/>
        </w:rPr>
        <w:t xml:space="preserve"> mRNA expression. Treatment with the METTL3 inhibitor DAA did not alter </w:t>
      </w:r>
      <w:r>
        <w:rPr>
          <w:rFonts w:ascii="Arial" w:hAnsi="Arial" w:cs="Arial"/>
          <w:i/>
          <w:iCs/>
          <w:sz w:val="20"/>
          <w:szCs w:val="21"/>
        </w:rPr>
        <w:t>METTL3</w:t>
      </w:r>
      <w:r>
        <w:rPr>
          <w:rFonts w:ascii="Arial" w:hAnsi="Arial" w:cs="Arial"/>
          <w:sz w:val="20"/>
          <w:szCs w:val="21"/>
        </w:rPr>
        <w:t xml:space="preserve"> expression but successfully abrogated the 4 Gy-induced upregulation of </w:t>
      </w:r>
      <w:r>
        <w:rPr>
          <w:rFonts w:ascii="Arial" w:hAnsi="Arial" w:cs="Arial"/>
          <w:i/>
          <w:iCs/>
          <w:sz w:val="20"/>
          <w:szCs w:val="21"/>
        </w:rPr>
        <w:t>GPX4</w:t>
      </w:r>
      <w:r>
        <w:rPr>
          <w:rFonts w:ascii="Arial" w:hAnsi="Arial" w:cs="Arial"/>
          <w:sz w:val="20"/>
          <w:szCs w:val="21"/>
        </w:rPr>
        <w:t xml:space="preserve"> mRNA.</w:t>
      </w:r>
      <w:r>
        <w:rPr>
          <w:rFonts w:hint="eastAsia" w:ascii="Arial" w:hAnsi="Arial" w:cs="Arial"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>(B) Western blot analysis demonstrated that 4 Gy irradiation significantly increased METTL3 and GPX4 protein levels. DAA treatment did not affect METTL3 expression but abolished the irradiation-induced increase in GPX4 protein.</w:t>
      </w:r>
      <w:r>
        <w:rPr>
          <w:rFonts w:hint="eastAsia" w:ascii="Arial" w:hAnsi="Arial" w:cs="Arial"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 xml:space="preserve">(C) MeRIP-qPCR assays indicated that 4 Gy irradiation significantly enhanced the m6A modification of </w:t>
      </w:r>
      <w:r>
        <w:rPr>
          <w:rFonts w:ascii="Arial" w:hAnsi="Arial" w:cs="Arial"/>
          <w:i/>
          <w:iCs/>
          <w:sz w:val="20"/>
          <w:szCs w:val="21"/>
        </w:rPr>
        <w:t>GPX4</w:t>
      </w:r>
      <w:r>
        <w:rPr>
          <w:rFonts w:ascii="Arial" w:hAnsi="Arial" w:cs="Arial"/>
          <w:sz w:val="20"/>
          <w:szCs w:val="21"/>
        </w:rPr>
        <w:t xml:space="preserve"> mRNA, an effect reversed by DAA.</w:t>
      </w:r>
      <w:r>
        <w:rPr>
          <w:rFonts w:hint="eastAsia" w:ascii="Arial" w:hAnsi="Arial" w:cs="Arial"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 xml:space="preserve">(D) Actinomycin D assays revealed that the 4 Gy-induced enhancement of </w:t>
      </w:r>
      <w:r>
        <w:rPr>
          <w:rFonts w:ascii="Arial" w:hAnsi="Arial" w:cs="Arial"/>
          <w:i/>
          <w:iCs/>
          <w:sz w:val="20"/>
          <w:szCs w:val="21"/>
        </w:rPr>
        <w:t>GPX4</w:t>
      </w:r>
      <w:r>
        <w:rPr>
          <w:rFonts w:ascii="Arial" w:hAnsi="Arial" w:cs="Arial"/>
          <w:sz w:val="20"/>
          <w:szCs w:val="21"/>
        </w:rPr>
        <w:t xml:space="preserve"> mRNA stability was negated by DAA treatment.</w:t>
      </w:r>
    </w:p>
    <w:p w14:paraId="6F4D08DB">
      <w:pPr>
        <w:spacing w:line="360" w:lineRule="auto"/>
        <w:jc w:val="center"/>
        <w:rPr>
          <w:rFonts w:ascii="Arial" w:hAnsi="Arial" w:cs="Arial"/>
          <w:b/>
          <w:bCs/>
        </w:rPr>
      </w:pPr>
      <w:r>
        <w:drawing>
          <wp:inline distT="0" distB="0" distL="0" distR="0">
            <wp:extent cx="4486275" cy="481965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9B1E4">
      <w:pPr>
        <w:spacing w:line="360" w:lineRule="auto"/>
        <w:jc w:val="both"/>
        <w:rPr>
          <w:rFonts w:ascii="Arial" w:hAnsi="Arial" w:cs="Arial"/>
          <w:b/>
          <w:bCs/>
          <w:sz w:val="20"/>
          <w:szCs w:val="21"/>
        </w:rPr>
      </w:pPr>
      <w:r>
        <w:rPr>
          <w:rFonts w:ascii="Arial" w:hAnsi="Arial" w:cs="Arial"/>
          <w:b/>
          <w:bCs/>
          <w:sz w:val="20"/>
          <w:szCs w:val="21"/>
        </w:rPr>
        <w:t>Supplementary Fig</w:t>
      </w:r>
      <w:r>
        <w:rPr>
          <w:rFonts w:hint="eastAsia" w:ascii="Arial" w:hAnsi="Arial" w:cs="Arial"/>
          <w:b/>
          <w:bCs/>
          <w:sz w:val="20"/>
          <w:szCs w:val="21"/>
          <w:lang w:val="en-US" w:eastAsia="zh-CN"/>
        </w:rPr>
        <w:t>.</w:t>
      </w:r>
      <w:r>
        <w:rPr>
          <w:rFonts w:ascii="Arial" w:hAnsi="Arial" w:cs="Arial"/>
          <w:b/>
          <w:bCs/>
          <w:sz w:val="20"/>
          <w:szCs w:val="21"/>
        </w:rPr>
        <w:t xml:space="preserve"> 3 </w:t>
      </w:r>
      <w:r>
        <w:rPr>
          <w:rFonts w:ascii="Arial" w:hAnsi="Arial" w:cs="Arial"/>
          <w:sz w:val="20"/>
          <w:szCs w:val="21"/>
        </w:rPr>
        <w:t>Real-time qPCR validation of METTL3 knockdown and GPX4 overexpression efficiencies in ESCC cell lines (ECA109 and TE-1) under 0 Gy and 4 Gy conditions.</w:t>
      </w:r>
    </w:p>
    <w:p w14:paraId="07AEB56E">
      <w:pPr>
        <w:spacing w:line="360" w:lineRule="auto"/>
        <w:jc w:val="center"/>
        <w:rPr>
          <w:rFonts w:ascii="Arial" w:hAnsi="Arial" w:cs="Arial"/>
          <w:b/>
          <w:bCs/>
        </w:rPr>
      </w:pPr>
      <w:r>
        <w:drawing>
          <wp:inline distT="0" distB="0" distL="0" distR="0">
            <wp:extent cx="5057775" cy="68580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2F83A">
      <w:pPr>
        <w:spacing w:line="360" w:lineRule="auto"/>
        <w:jc w:val="both"/>
        <w:rPr>
          <w:rFonts w:ascii="Arial" w:hAnsi="Arial" w:cs="Arial"/>
          <w:b/>
          <w:bCs/>
          <w:sz w:val="20"/>
          <w:szCs w:val="21"/>
        </w:rPr>
      </w:pPr>
      <w:r>
        <w:rPr>
          <w:rFonts w:ascii="Arial" w:hAnsi="Arial" w:cs="Arial"/>
          <w:b/>
          <w:bCs/>
          <w:sz w:val="20"/>
          <w:szCs w:val="21"/>
        </w:rPr>
        <w:t>Supplementary Fig</w:t>
      </w:r>
      <w:r>
        <w:rPr>
          <w:rFonts w:hint="eastAsia" w:ascii="Arial" w:hAnsi="Arial" w:cs="Arial"/>
          <w:b/>
          <w:bCs/>
          <w:sz w:val="20"/>
          <w:szCs w:val="21"/>
          <w:lang w:val="en-US" w:eastAsia="zh-CN"/>
        </w:rPr>
        <w:t>.</w:t>
      </w:r>
      <w:r>
        <w:rPr>
          <w:rFonts w:ascii="Arial" w:hAnsi="Arial" w:cs="Arial"/>
          <w:b/>
          <w:bCs/>
          <w:sz w:val="20"/>
          <w:szCs w:val="21"/>
        </w:rPr>
        <w:t xml:space="preserve"> 4 </w:t>
      </w:r>
      <w:r>
        <w:rPr>
          <w:rFonts w:ascii="Arial" w:hAnsi="Arial" w:cs="Arial"/>
          <w:sz w:val="20"/>
          <w:szCs w:val="21"/>
        </w:rPr>
        <w:t>Western blot validation of METTL3 knockdown and GPX4 overexpression efficiencies in ESCC cell lines (ECA109 and TE-1) under 0 Gy and 4 Gy conditions.</w:t>
      </w:r>
    </w:p>
    <w:p w14:paraId="3C1EC0E9">
      <w:pPr>
        <w:spacing w:line="360" w:lineRule="auto"/>
        <w:jc w:val="center"/>
        <w:rPr>
          <w:rFonts w:ascii="Arial" w:hAnsi="Arial" w:cs="Arial"/>
          <w:b/>
          <w:bCs/>
        </w:rPr>
      </w:pPr>
      <w:r>
        <w:drawing>
          <wp:inline distT="0" distB="0" distL="0" distR="0">
            <wp:extent cx="5274310" cy="54006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5972A">
      <w:pPr>
        <w:jc w:val="both"/>
        <w:rPr>
          <w:rFonts w:ascii="Arial" w:hAnsi="Arial" w:cs="Arial"/>
          <w:b/>
          <w:bCs/>
          <w:sz w:val="20"/>
          <w:szCs w:val="21"/>
        </w:rPr>
      </w:pPr>
      <w:r>
        <w:rPr>
          <w:rFonts w:ascii="Arial" w:hAnsi="Arial" w:cs="Arial"/>
          <w:b/>
          <w:bCs/>
          <w:sz w:val="20"/>
          <w:szCs w:val="21"/>
        </w:rPr>
        <w:t>Supplementary Fig</w:t>
      </w:r>
      <w:r>
        <w:rPr>
          <w:rFonts w:hint="eastAsia" w:ascii="Arial" w:hAnsi="Arial" w:cs="Arial"/>
          <w:b/>
          <w:bCs/>
          <w:sz w:val="20"/>
          <w:szCs w:val="21"/>
          <w:lang w:val="en-US" w:eastAsia="zh-CN"/>
        </w:rPr>
        <w:t>.</w:t>
      </w:r>
      <w:r>
        <w:rPr>
          <w:rFonts w:ascii="Arial" w:hAnsi="Arial" w:cs="Arial"/>
          <w:b/>
          <w:bCs/>
          <w:sz w:val="20"/>
          <w:szCs w:val="21"/>
        </w:rPr>
        <w:t xml:space="preserve"> 5 In vivo validation of the METTL3/GPX4 axis in regulating ferroptosis and radioresistance in ESCC.</w:t>
      </w:r>
      <w:r>
        <w:rPr>
          <w:rFonts w:hint="eastAsia" w:ascii="Arial" w:hAnsi="Arial" w:cs="Arial"/>
          <w:b/>
          <w:bCs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>Nude mice bearing subcutaneous ECA109 xenografts were irradiated with 4 Gy on day 5 post-implantation, alongside non-irradiated controls. The competing effects of METTL3 knockdown and GPX4 overexpression were evaluated.</w:t>
      </w:r>
      <w:r>
        <w:rPr>
          <w:rFonts w:hint="eastAsia" w:ascii="Arial" w:hAnsi="Arial" w:cs="Arial"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>(A) Representative images of the resected tumors.</w:t>
      </w:r>
      <w:r>
        <w:rPr>
          <w:rFonts w:hint="eastAsia" w:ascii="Arial" w:hAnsi="Arial" w:cs="Arial"/>
          <w:sz w:val="20"/>
          <w:szCs w:val="21"/>
        </w:rPr>
        <w:t xml:space="preserve"> </w:t>
      </w:r>
      <w:r>
        <w:rPr>
          <w:rFonts w:ascii="Arial" w:hAnsi="Arial" w:cs="Arial"/>
          <w:sz w:val="20"/>
          <w:szCs w:val="21"/>
        </w:rPr>
        <w:t>(B–C) Tumor growth curves (B) and tumor weights (C) indicated that under control conditions (0 Gy), METTL3 knockdown or GPX4 overexpression did not significantly impact tumor growth. Following 4 Gy irradiation, METTL3 knockdown markedly suppressed tumor growth, while GPX4 overexpression promoted tumor growth and effectively reversed the suppressive effect of METTL3 knockdown.</w:t>
      </w:r>
    </w:p>
    <w:p w14:paraId="5E9992E1">
      <w:pPr>
        <w:jc w:val="both"/>
        <w:rPr>
          <w:rFonts w:ascii="Arial" w:hAnsi="Arial" w:cs="Arial"/>
          <w:b/>
          <w:bCs/>
        </w:rPr>
      </w:pPr>
    </w:p>
    <w:p w14:paraId="0C40E67C">
      <w:pPr>
        <w:jc w:val="both"/>
        <w:rPr>
          <w:rFonts w:hint="eastAsia" w:ascii="Arial" w:hAnsi="Arial" w:cs="Arial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82"/>
    <w:rsid w:val="00152008"/>
    <w:rsid w:val="00457ABA"/>
    <w:rsid w:val="00465467"/>
    <w:rsid w:val="00586E67"/>
    <w:rsid w:val="00685F71"/>
    <w:rsid w:val="00771660"/>
    <w:rsid w:val="00A57C82"/>
    <w:rsid w:val="00A72813"/>
    <w:rsid w:val="00DA37E8"/>
    <w:rsid w:val="00DA5654"/>
    <w:rsid w:val="00FF6D9B"/>
    <w:rsid w:val="198C304D"/>
    <w:rsid w:val="218A6B2A"/>
    <w:rsid w:val="325F7434"/>
    <w:rsid w:val="61F94329"/>
    <w:rsid w:val="7C49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427</Words>
  <Characters>2526</Characters>
  <Lines>25</Lines>
  <Paragraphs>7</Paragraphs>
  <TotalTime>3</TotalTime>
  <ScaleCrop>false</ScaleCrop>
  <LinksUpToDate>false</LinksUpToDate>
  <CharactersWithSpaces>2948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2026-04-29T06:12:00Z</dcterms:created>
  <dc:creator>Jinlong Liu</dc:creator>
  <cp:lastModifiedBy>刀客特</cp:lastModifiedBy>
  <dcterms:modified xsi:type="dcterms:W3CDTF">2026-07-20T13:33:15Z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2F79CC1C776C47F39AD1335DFD6C6366_13</vt:lpwstr>
  </property>
  <property fmtid="{D5CDD505-2E9C-101B-9397-08002B2CF9AE}" pid="4" name="KSOTemplateDocerSaveRecord">
    <vt:lpwstr>eyJoZGlkIjoiNjRhNTNlMThmN2ZmZDk0ZDNjZTI2ZDc3OWZmM2ZiYjciLCJ1c2VySWQiOiI1MjEwMTI4OTQifQ==</vt:lpwstr>
  </property>
</Properties>
</file>