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15051" w14:textId="33B7113C" w:rsidR="00F079B3" w:rsidRPr="00E10571" w:rsidRDefault="00D74210">
      <w:pPr>
        <w:rPr>
          <w:rFonts w:ascii="Times New Roman" w:hAnsi="Times New Roman" w:cs="Times New Roman"/>
          <w:b/>
          <w:sz w:val="24"/>
          <w:szCs w:val="24"/>
        </w:rPr>
      </w:pPr>
      <w:r w:rsidRPr="00E1057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10571" w:rsidRPr="00E10571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r w:rsidR="00E10571" w:rsidRPr="00E10571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="00E10571" w:rsidRPr="00E10571">
        <w:rPr>
          <w:rFonts w:ascii="Times New Roman" w:hAnsi="Times New Roman" w:cs="Times New Roman"/>
          <w:b/>
          <w:sz w:val="24"/>
          <w:szCs w:val="24"/>
        </w:rPr>
        <w:t>SI)</w:t>
      </w:r>
    </w:p>
    <w:p w14:paraId="6538C170" w14:textId="54FBA9FA" w:rsidR="00D74210" w:rsidRDefault="00D74210">
      <w:pPr>
        <w:rPr>
          <w:rFonts w:ascii="Times New Roman" w:hAnsi="Times New Roman" w:cs="Times New Roman"/>
          <w:sz w:val="24"/>
          <w:szCs w:val="24"/>
        </w:rPr>
      </w:pPr>
    </w:p>
    <w:p w14:paraId="0F39F6A0" w14:textId="77777777" w:rsidR="00E10571" w:rsidRPr="00E10571" w:rsidRDefault="00E10571" w:rsidP="00E1057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571">
        <w:rPr>
          <w:rFonts w:ascii="Times New Roman" w:hAnsi="Times New Roman" w:cs="Times New Roman"/>
          <w:b/>
          <w:sz w:val="24"/>
          <w:szCs w:val="24"/>
        </w:rPr>
        <w:t>Association of combined stress hyperglycemia ratio and glycemic variability with 30-day and 360-day mortality after coronary revascularization</w:t>
      </w:r>
    </w:p>
    <w:p w14:paraId="55B4AC11" w14:textId="74BBEFE3" w:rsidR="00E10571" w:rsidRPr="00E10571" w:rsidRDefault="00E10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files </w:t>
      </w:r>
      <w:proofErr w:type="gramStart"/>
      <w:r>
        <w:rPr>
          <w:rFonts w:ascii="Times New Roman" w:hAnsi="Times New Roman" w:cs="Times New Roman"/>
          <w:sz w:val="24"/>
          <w:szCs w:val="24"/>
        </w:rPr>
        <w:t>includes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13542359" w14:textId="77777777" w:rsidR="00E10571" w:rsidRDefault="00E10571">
      <w:pPr>
        <w:rPr>
          <w:rFonts w:ascii="Times New Roman" w:hAnsi="Times New Roman" w:cs="Times New Roman"/>
          <w:sz w:val="24"/>
          <w:szCs w:val="24"/>
        </w:rPr>
      </w:pPr>
    </w:p>
    <w:p w14:paraId="45FFB86E" w14:textId="2C59FF7A" w:rsidR="00E10571" w:rsidRDefault="00E10571" w:rsidP="00D74210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Suppplementary figures:</w:t>
      </w:r>
    </w:p>
    <w:p w14:paraId="69E97108" w14:textId="61900410" w:rsidR="002C4472" w:rsidRPr="00210D35" w:rsidRDefault="002C4472" w:rsidP="002C4472">
      <w:pPr>
        <w:spacing w:line="480" w:lineRule="auto"/>
        <w:rPr>
          <w:rFonts w:ascii="Times New Roman" w:hAnsi="Times New Roman" w:cs="Times New Roman"/>
        </w:rPr>
      </w:pPr>
      <w:r w:rsidRPr="00210D35">
        <w:rPr>
          <w:rFonts w:ascii="Times New Roman" w:hAnsi="Times New Roman" w:cs="Times New Roman"/>
        </w:rPr>
        <w:t>Comparison of 30-day mortality rates between the SHR and GV groups</w:t>
      </w:r>
    </w:p>
    <w:tbl>
      <w:tblPr>
        <w:tblW w:w="6140" w:type="dxa"/>
        <w:tblLook w:val="04A0" w:firstRow="1" w:lastRow="0" w:firstColumn="1" w:lastColumn="0" w:noHBand="0" w:noVBand="1"/>
      </w:tblPr>
      <w:tblGrid>
        <w:gridCol w:w="748"/>
        <w:gridCol w:w="967"/>
        <w:gridCol w:w="807"/>
        <w:gridCol w:w="2422"/>
        <w:gridCol w:w="1196"/>
      </w:tblGrid>
      <w:tr w:rsidR="002C4472" w:rsidRPr="00210D35" w14:paraId="57940599" w14:textId="77777777" w:rsidTr="003D6644">
        <w:trPr>
          <w:trHeight w:val="280"/>
        </w:trPr>
        <w:tc>
          <w:tcPr>
            <w:tcW w:w="6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22C8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30-day mortality</w:t>
            </w:r>
          </w:p>
        </w:tc>
      </w:tr>
      <w:tr w:rsidR="002C4472" w:rsidRPr="00210D35" w14:paraId="530CC6C6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9965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4973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A564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BA85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Mortality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622A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2C4472" w:rsidRPr="00210D35" w14:paraId="053BC2FF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6CE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AA2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D59B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93C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AF9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</w:tr>
      <w:tr w:rsidR="002C4472" w:rsidRPr="00210D35" w14:paraId="2BB96942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586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126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09B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F88B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8EC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5C4ADAD5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CEA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006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AB6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C22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BC8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3B5409BC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172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79ED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354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461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0EC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22D0E756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427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DE6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670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B3C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2478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2C4472" w:rsidRPr="00210D35" w14:paraId="144CDFA2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9C9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3317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BD1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FCFD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4375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27D8CD96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14B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28D7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85B8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8D8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6767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3EB1AAA0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ADF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DB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356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617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8.58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644D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5152E05F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8EFF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A26E" w14:textId="77777777" w:rsidR="002C4472" w:rsidRPr="00210D35" w:rsidRDefault="002C4472" w:rsidP="003D66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2EF9" w14:textId="77777777" w:rsidR="002C4472" w:rsidRPr="00210D35" w:rsidRDefault="002C4472" w:rsidP="003D66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FE92" w14:textId="77777777" w:rsidR="002C4472" w:rsidRPr="00210D35" w:rsidRDefault="002C4472" w:rsidP="003D66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E108" w14:textId="77777777" w:rsidR="002C4472" w:rsidRPr="00210D35" w:rsidRDefault="002C4472" w:rsidP="003D66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2C4472" w:rsidRPr="00210D35" w14:paraId="2658E1D2" w14:textId="77777777" w:rsidTr="003D6644">
        <w:trPr>
          <w:trHeight w:val="280"/>
        </w:trPr>
        <w:tc>
          <w:tcPr>
            <w:tcW w:w="6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8F0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360-day mortality</w:t>
            </w:r>
          </w:p>
        </w:tc>
      </w:tr>
      <w:tr w:rsidR="002C4472" w:rsidRPr="00210D35" w14:paraId="37B92766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C01A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7CDF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4567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5EAC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Mortality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813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2C4472" w:rsidRPr="00210D35" w14:paraId="749E3902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36A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SHR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03F5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8C9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8A37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3D4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0.129</w:t>
            </w:r>
          </w:p>
        </w:tc>
      </w:tr>
      <w:tr w:rsidR="002C4472" w:rsidRPr="00210D35" w14:paraId="4735F3AB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03B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D61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941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03E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8EF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14204A41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B678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0125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C37A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13C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DDA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3F71B47A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5963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EBAB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FD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325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12.88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F2A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0E950471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950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GV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CAF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0E6B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EA8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E83C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2C4472" w:rsidRPr="00210D35" w14:paraId="0F5A1719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10D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948B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782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54D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13DF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421085C0" w14:textId="77777777" w:rsidTr="003D6644">
        <w:trPr>
          <w:trHeight w:val="28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DFB2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5954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9EB1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C877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40BE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C4472" w:rsidRPr="00210D35" w14:paraId="4AACFEB0" w14:textId="77777777" w:rsidTr="003D6644">
        <w:trPr>
          <w:trHeight w:val="331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F098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A286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EE6F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E6A0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10D3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18.88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5AD9" w14:textId="77777777" w:rsidR="002C4472" w:rsidRPr="00210D35" w:rsidRDefault="002C4472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CD9E690" w14:textId="1F6E9AD9" w:rsidR="002C4472" w:rsidRPr="00210D35" w:rsidRDefault="002C4472" w:rsidP="002C4472">
      <w:pPr>
        <w:spacing w:line="480" w:lineRule="auto"/>
        <w:rPr>
          <w:rFonts w:ascii="Times New Roman" w:hAnsi="Times New Roman" w:cs="Times New Roman"/>
        </w:rPr>
      </w:pPr>
      <w:bookmarkStart w:id="0" w:name="_Hlk226755872"/>
      <w:r w:rsidRPr="00C236AE">
        <w:rPr>
          <w:rFonts w:ascii="Times New Roman" w:hAnsi="Times New Roman" w:cs="Times New Roman"/>
          <w:b/>
          <w:szCs w:val="21"/>
        </w:rPr>
        <w:t>TableSA1</w:t>
      </w:r>
      <w:r w:rsidRPr="00C236AE">
        <w:rPr>
          <w:rFonts w:ascii="Times New Roman" w:hAnsi="Times New Roman" w:cs="Times New Roman"/>
          <w:b/>
          <w:szCs w:val="21"/>
        </w:rPr>
        <w:t>.</w:t>
      </w:r>
      <w:r w:rsidRPr="00C236AE">
        <w:rPr>
          <w:rFonts w:ascii="Times New Roman" w:hAnsi="Times New Roman" w:cs="Times New Roman"/>
          <w:szCs w:val="21"/>
        </w:rPr>
        <w:t xml:space="preserve"> </w:t>
      </w:r>
      <w:r w:rsidRPr="00210D35">
        <w:rPr>
          <w:rFonts w:ascii="Times New Roman" w:hAnsi="Times New Roman" w:cs="Times New Roman"/>
        </w:rPr>
        <w:t>Comparison of 30-day mortality rates between the SHR and GV groups</w:t>
      </w:r>
    </w:p>
    <w:bookmarkEnd w:id="0"/>
    <w:p w14:paraId="2050A96E" w14:textId="3E4E9500" w:rsidR="00C236AE" w:rsidRPr="00210D35" w:rsidRDefault="00C236AE" w:rsidP="00C236AE">
      <w:pPr>
        <w:pStyle w:val="a7"/>
        <w:keepNext/>
        <w:rPr>
          <w:rFonts w:ascii="Times New Roman" w:eastAsiaTheme="minorHAnsi" w:hAnsi="Times New Roman" w:cs="Times New Roman"/>
          <w:sz w:val="21"/>
          <w:szCs w:val="21"/>
        </w:rPr>
      </w:pPr>
      <w:r w:rsidRPr="00210D35">
        <w:rPr>
          <w:rFonts w:ascii="Times New Roman" w:eastAsiaTheme="minorHAnsi" w:hAnsi="Times New Roman" w:cs="Times New Roman"/>
          <w:sz w:val="21"/>
          <w:szCs w:val="21"/>
        </w:rPr>
        <w:t>The associations of SHR and GV with 30-day and 360-day mortality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36"/>
        <w:gridCol w:w="1002"/>
        <w:gridCol w:w="440"/>
        <w:gridCol w:w="1776"/>
        <w:gridCol w:w="1776"/>
        <w:gridCol w:w="1776"/>
      </w:tblGrid>
      <w:tr w:rsidR="00C236AE" w:rsidRPr="00DC1FC8" w14:paraId="4D32D9B4" w14:textId="77777777" w:rsidTr="003D6644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972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Categorical</w:t>
            </w:r>
          </w:p>
        </w:tc>
      </w:tr>
      <w:tr w:rsidR="00C236AE" w:rsidRPr="00DC1FC8" w14:paraId="48733FC9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ACE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2E91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 for trend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D76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9096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A6C9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5A5B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Q4</w:t>
            </w:r>
          </w:p>
        </w:tc>
      </w:tr>
      <w:tr w:rsidR="00C236AE" w:rsidRPr="00DC1FC8" w14:paraId="46615998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2E7D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30-day mortality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43E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C71E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875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EC5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E0B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4E982E9E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EDE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SHR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1D3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BB9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9BC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86B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483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75DD3B15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C4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unadjusted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C08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0.0216*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4A3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032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1.294 (0.447-3.750)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E8C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2.020 (0.669-6.099)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EC9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3.089 (1.219-7.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826)*</w:t>
            </w:r>
            <w:proofErr w:type="gramEnd"/>
          </w:p>
        </w:tc>
      </w:tr>
      <w:tr w:rsidR="00C236AE" w:rsidRPr="00DC1FC8" w14:paraId="5B6D543A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E9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Model 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EBC9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0.0146*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542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8AE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1.458 (0.497-4.274)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AFF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2.159 (0.709-6.577)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78F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3.376 (1.315-8.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664)*</w:t>
            </w:r>
            <w:proofErr w:type="gramEnd"/>
          </w:p>
        </w:tc>
      </w:tr>
      <w:tr w:rsidR="00C236AE" w:rsidRPr="00DC1FC8" w14:paraId="249585F5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0D4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AC2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A58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A62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1.431 (0.465-4.403)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E60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2.102 (0.605-7.311)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650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3.251 (1.104-9.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576)*</w:t>
            </w:r>
            <w:proofErr w:type="gramEnd"/>
          </w:p>
        </w:tc>
      </w:tr>
      <w:tr w:rsidR="00C236AE" w:rsidRPr="00DC1FC8" w14:paraId="25E351C3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C09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A69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B00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4ACB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103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9F8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10A48498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724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unadjusted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7F0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3811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95B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2.550 (0.518-12.545)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F6B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2.515 (0.533-11.853)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28D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3.450 (0.773-15.386)</w:t>
            </w:r>
          </w:p>
        </w:tc>
      </w:tr>
      <w:tr w:rsidR="00C236AE" w:rsidRPr="00DC1FC8" w14:paraId="2D81D90C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6F7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330B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038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971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2.546 (0.509-12.726)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B5B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2.770 (0.578-13.274)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C4E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3.505 (0.777-15.823)</w:t>
            </w:r>
          </w:p>
        </w:tc>
      </w:tr>
      <w:tr w:rsidR="00C236AE" w:rsidRPr="00DC1FC8" w14:paraId="3AB63E1E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5B2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DC8E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E5B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64D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3.055 (0.576-16.217)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566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2.850 (0.525-15.458)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9B4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4.426 (0.844-23.201)</w:t>
            </w:r>
          </w:p>
        </w:tc>
      </w:tr>
      <w:tr w:rsidR="00C236AE" w:rsidRPr="00DC1FC8" w14:paraId="32911844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9EA7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360-day mortality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1607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E92E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4D1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90B1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B888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2064544B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0E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SHR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E30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D16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BBD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8D1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63D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7E5B01A7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956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unadjusted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F67E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1F7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A39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1.302 (0.728-2.328)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D59E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1.501 (0.788-2.861)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D37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1.861 (1.059-3.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270)*</w:t>
            </w:r>
            <w:proofErr w:type="gramEnd"/>
          </w:p>
        </w:tc>
      </w:tr>
      <w:tr w:rsidR="00C236AE" w:rsidRPr="00DC1FC8" w14:paraId="7521A4C9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A0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A4A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0.0181*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6A4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5C6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1.551 (0.854-2.819)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5B6B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1.616 (0.831-3.145)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F1B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2.251 (1.255-4.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036)†</w:t>
            </w:r>
            <w:proofErr w:type="gramEnd"/>
          </w:p>
        </w:tc>
      </w:tr>
      <w:tr w:rsidR="00C236AE" w:rsidRPr="00DC1FC8" w14:paraId="48BC907E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B2E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E3F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1E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6CC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1.368 (0.717-2.606)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820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1.437 (0.716-2.884)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686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1.906 (0.988-3.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674)†</w:t>
            </w:r>
            <w:proofErr w:type="gramEnd"/>
          </w:p>
        </w:tc>
      </w:tr>
      <w:tr w:rsidR="00C236AE" w:rsidRPr="00DC1FC8" w14:paraId="7996058A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10F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6E8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F26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5C1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B013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8FB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36AE" w:rsidRPr="00DC1FC8" w14:paraId="2DA25095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89D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unadjusted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45E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0.0066†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CDF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2EB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1.165 (0.492-2.758)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B584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2.087 (0.96-4.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538)*</w:t>
            </w:r>
            <w:proofErr w:type="gram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41AC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2.225 (1.037-4.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777)*</w:t>
            </w:r>
            <w:proofErr w:type="gramEnd"/>
          </w:p>
        </w:tc>
      </w:tr>
      <w:tr w:rsidR="00C236AE" w:rsidRPr="00DC1FC8" w14:paraId="786B4B52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299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47F2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0.0059†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CA5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FA4A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1.196 (0.497-2.881)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D9C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2.329 (1.045-5.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191)*</w:t>
            </w:r>
            <w:proofErr w:type="gramEnd"/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5D2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2.327 (1.065-5.</w:t>
            </w:r>
            <w:proofErr w:type="gramStart"/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083)*</w:t>
            </w:r>
            <w:proofErr w:type="gramEnd"/>
          </w:p>
        </w:tc>
      </w:tr>
      <w:tr w:rsidR="00C236AE" w:rsidRPr="00DC1FC8" w14:paraId="7B416582" w14:textId="77777777" w:rsidTr="003D6644">
        <w:trPr>
          <w:trHeight w:val="280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798F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3B96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E520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CB39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1.166 (0.469-2.902)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384D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1.995 (0.838-4.747)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BFB5" w14:textId="77777777" w:rsidR="00C236AE" w:rsidRPr="00DC1FC8" w:rsidRDefault="00C236AE" w:rsidP="003D66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F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1.927 (0.806-4.604)</w:t>
            </w:r>
          </w:p>
        </w:tc>
      </w:tr>
    </w:tbl>
    <w:p w14:paraId="2C2E3E3C" w14:textId="0F492B4B" w:rsidR="00C236AE" w:rsidRPr="00210D35" w:rsidRDefault="00C236AE" w:rsidP="00C236AE">
      <w:pPr>
        <w:pStyle w:val="a8"/>
        <w:jc w:val="left"/>
        <w:rPr>
          <w:rFonts w:ascii="Times New Roman" w:eastAsiaTheme="majorHAnsi" w:hAnsi="Times New Roman" w:cs="Times New Roman"/>
          <w:b/>
          <w:sz w:val="21"/>
          <w:szCs w:val="21"/>
        </w:rPr>
      </w:pPr>
      <w:r w:rsidRPr="00C236AE">
        <w:rPr>
          <w:rFonts w:ascii="Times New Roman" w:hAnsi="Times New Roman" w:cs="Times New Roman"/>
          <w:b/>
          <w:sz w:val="21"/>
          <w:szCs w:val="21"/>
        </w:rPr>
        <w:t>TableSA</w:t>
      </w:r>
      <w:r w:rsidRPr="00C236AE">
        <w:rPr>
          <w:rFonts w:ascii="Times New Roman" w:hAnsi="Times New Roman" w:cs="Times New Roman"/>
          <w:b/>
          <w:sz w:val="21"/>
          <w:szCs w:val="21"/>
        </w:rPr>
        <w:t>2</w:t>
      </w:r>
      <w:r w:rsidRPr="00C236AE">
        <w:rPr>
          <w:rFonts w:ascii="Times New Roman" w:hAnsi="Times New Roman" w:cs="Times New Roman"/>
          <w:b/>
          <w:sz w:val="21"/>
          <w:szCs w:val="21"/>
        </w:rPr>
        <w:t>.</w:t>
      </w:r>
      <w:r w:rsidRPr="00C236AE">
        <w:rPr>
          <w:rFonts w:ascii="Times New Roman" w:eastAsiaTheme="majorHAnsi" w:hAnsi="Times New Roman" w:cs="Times New Roman"/>
          <w:b/>
          <w:sz w:val="21"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 w:val="21"/>
          <w:szCs w:val="21"/>
        </w:rPr>
        <w:t>Model 1: adjusted for age, gender, body mass index</w:t>
      </w:r>
    </w:p>
    <w:p w14:paraId="05163C72" w14:textId="77777777" w:rsidR="00C236AE" w:rsidRPr="00210D35" w:rsidRDefault="00C236AE" w:rsidP="00C236AE">
      <w:pPr>
        <w:rPr>
          <w:rFonts w:ascii="Times New Roman" w:eastAsiaTheme="majorHAnsi" w:hAnsi="Times New Roman" w:cs="Times New Roman"/>
          <w:b/>
          <w:szCs w:val="21"/>
        </w:rPr>
      </w:pPr>
      <w:r w:rsidRPr="00210D35">
        <w:rPr>
          <w:rFonts w:ascii="Times New Roman" w:eastAsiaTheme="majorHAnsi" w:hAnsi="Times New Roman" w:cs="Times New Roman"/>
          <w:b/>
          <w:szCs w:val="21"/>
        </w:rPr>
        <w:t xml:space="preserve">Model </w:t>
      </w:r>
      <w:proofErr w:type="gramStart"/>
      <w:r w:rsidRPr="00210D35">
        <w:rPr>
          <w:rFonts w:ascii="Times New Roman" w:eastAsiaTheme="majorHAnsi" w:hAnsi="Times New Roman" w:cs="Times New Roman"/>
          <w:b/>
          <w:szCs w:val="21"/>
        </w:rPr>
        <w:t>2:adjusted</w:t>
      </w:r>
      <w:proofErr w:type="gramEnd"/>
      <w:r w:rsidRPr="00210D35">
        <w:rPr>
          <w:rFonts w:ascii="Times New Roman" w:eastAsiaTheme="majorHAnsi" w:hAnsi="Times New Roman" w:cs="Times New Roman"/>
          <w:b/>
          <w:szCs w:val="21"/>
        </w:rPr>
        <w:t xml:space="preserve"> for model 1 plus diastolic blood pressure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Cs w:val="21"/>
        </w:rPr>
        <w:t>, SOFA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Cs w:val="21"/>
        </w:rPr>
        <w:t>, APSⅢ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>
        <w:rPr>
          <w:rFonts w:ascii="Times New Roman" w:eastAsiaTheme="majorHAnsi" w:hAnsi="Times New Roman" w:cs="Times New Roman" w:hint="eastAsia"/>
          <w:b/>
          <w:szCs w:val="21"/>
        </w:rPr>
        <w:t>,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Cs w:val="21"/>
        </w:rPr>
        <w:t>blood calcium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>
        <w:rPr>
          <w:rFonts w:ascii="Times New Roman" w:eastAsiaTheme="majorHAnsi" w:hAnsi="Times New Roman" w:cs="Times New Roman" w:hint="eastAsia"/>
          <w:b/>
          <w:szCs w:val="21"/>
        </w:rPr>
        <w:t>,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Cs w:val="21"/>
        </w:rPr>
        <w:t>hemoglobin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>
        <w:rPr>
          <w:rFonts w:ascii="Times New Roman" w:eastAsiaTheme="majorHAnsi" w:hAnsi="Times New Roman" w:cs="Times New Roman" w:hint="eastAsia"/>
          <w:b/>
          <w:szCs w:val="21"/>
        </w:rPr>
        <w:t>,</w:t>
      </w:r>
      <w:r>
        <w:rPr>
          <w:rFonts w:ascii="Times New Roman" w:eastAsiaTheme="majorHAnsi" w:hAnsi="Times New Roman" w:cs="Times New Roman"/>
          <w:b/>
          <w:szCs w:val="21"/>
        </w:rPr>
        <w:t xml:space="preserve"> </w:t>
      </w:r>
      <w:r w:rsidRPr="00210D35">
        <w:rPr>
          <w:rFonts w:ascii="Times New Roman" w:eastAsiaTheme="majorHAnsi" w:hAnsi="Times New Roman" w:cs="Times New Roman"/>
          <w:b/>
          <w:szCs w:val="21"/>
        </w:rPr>
        <w:t>Albumin, Estimated Glomerular Filtration Rate, congestive heart failure, diabetes, metastatic solid tumor</w:t>
      </w:r>
    </w:p>
    <w:p w14:paraId="4119A12E" w14:textId="77777777" w:rsidR="00C236AE" w:rsidRPr="00210D35" w:rsidRDefault="00C236AE" w:rsidP="00C236AE">
      <w:pPr>
        <w:rPr>
          <w:rFonts w:ascii="Times New Roman" w:hAnsi="Times New Roman" w:cs="Times New Roman"/>
          <w:b/>
          <w:szCs w:val="21"/>
        </w:rPr>
      </w:pPr>
      <w:r w:rsidRPr="00210D35">
        <w:rPr>
          <w:rFonts w:ascii="Times New Roman" w:hAnsi="Times New Roman" w:cs="Times New Roman"/>
          <w:b/>
          <w:szCs w:val="21"/>
          <w:vertAlign w:val="superscript"/>
        </w:rPr>
        <w:t>*</w:t>
      </w:r>
      <w:r w:rsidRPr="00210D35">
        <w:rPr>
          <w:rFonts w:ascii="Times New Roman" w:hAnsi="Times New Roman" w:cs="Times New Roman"/>
          <w:b/>
          <w:szCs w:val="21"/>
        </w:rPr>
        <w:t xml:space="preserve"> P &lt; 0.05, </w:t>
      </w:r>
      <w:r w:rsidRPr="00210D35">
        <w:rPr>
          <w:rFonts w:ascii="Times New Roman" w:hAnsi="Times New Roman" w:cs="Times New Roman"/>
          <w:b/>
          <w:szCs w:val="21"/>
          <w:vertAlign w:val="superscript"/>
        </w:rPr>
        <w:t>†</w:t>
      </w:r>
      <w:r w:rsidRPr="00210D35">
        <w:rPr>
          <w:rFonts w:ascii="Times New Roman" w:hAnsi="Times New Roman" w:cs="Times New Roman"/>
          <w:b/>
          <w:szCs w:val="21"/>
        </w:rPr>
        <w:t xml:space="preserve">P &lt; 0.01, </w:t>
      </w:r>
      <w:r w:rsidRPr="00210D35">
        <w:rPr>
          <w:rFonts w:ascii="Times New Roman" w:hAnsi="Times New Roman" w:cs="Times New Roman"/>
          <w:b/>
          <w:szCs w:val="21"/>
          <w:vertAlign w:val="superscript"/>
        </w:rPr>
        <w:t>‡</w:t>
      </w:r>
      <w:r w:rsidRPr="00210D35">
        <w:rPr>
          <w:rFonts w:ascii="Times New Roman" w:hAnsi="Times New Roman" w:cs="Times New Roman"/>
          <w:b/>
          <w:szCs w:val="21"/>
        </w:rPr>
        <w:t>P &lt; 0.001</w:t>
      </w:r>
    </w:p>
    <w:p w14:paraId="13AAC490" w14:textId="173E7F78" w:rsidR="00370D50" w:rsidRDefault="00370D50" w:rsidP="00D74210">
      <w:pPr>
        <w:pStyle w:val="a7"/>
        <w:rPr>
          <w:rFonts w:ascii="Times New Roman" w:hAnsi="Times New Roman" w:cs="Times New Roman"/>
          <w:b/>
          <w:sz w:val="21"/>
          <w:szCs w:val="21"/>
        </w:rPr>
      </w:pPr>
    </w:p>
    <w:p w14:paraId="53ACEDDE" w14:textId="77777777" w:rsidR="00C236AE" w:rsidRPr="00C236AE" w:rsidRDefault="00C236AE" w:rsidP="00D74210">
      <w:pPr>
        <w:pStyle w:val="a7"/>
        <w:rPr>
          <w:rFonts w:ascii="Times New Roman" w:hAnsi="Times New Roman" w:cs="Times New Roman" w:hint="eastAsia"/>
          <w:sz w:val="21"/>
          <w:szCs w:val="21"/>
        </w:rPr>
      </w:pPr>
    </w:p>
    <w:p w14:paraId="61F903A5" w14:textId="4D692D8D" w:rsidR="00D74210" w:rsidRDefault="00D74210" w:rsidP="00D74210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63FFA8BB" wp14:editId="043CE1D9">
            <wp:extent cx="4046982" cy="2907783"/>
            <wp:effectExtent l="0" t="0" r="0" b="6985"/>
            <wp:docPr id="1" name="图片 1" descr="D:\mimic\三指标联合分析心梗手术预后\COX表格相关\COX\残差检验\30unadjus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mic\三指标联合分析心梗手术预后\COX表格相关\COX\残差检验\30unadjust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117" cy="29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367FE" w14:textId="4C61B8CC" w:rsidR="00E10571" w:rsidRPr="00E10571" w:rsidRDefault="00E10571" w:rsidP="00D74210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 w:rsidRPr="00E10571">
        <w:rPr>
          <w:rFonts w:ascii="Times New Roman" w:hAnsi="Times New Roman" w:cs="Times New Roman"/>
          <w:sz w:val="21"/>
          <w:szCs w:val="21"/>
        </w:rPr>
        <w:t>1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Pr="00E10571">
        <w:rPr>
          <w:sz w:val="21"/>
          <w:szCs w:val="21"/>
        </w:rPr>
        <w:t xml:space="preserve"> </w:t>
      </w:r>
      <w:r w:rsidRPr="00E10571">
        <w:rPr>
          <w:rFonts w:ascii="Times New Roman" w:hAnsi="Times New Roman" w:cs="Times New Roman"/>
          <w:sz w:val="21"/>
          <w:szCs w:val="21"/>
        </w:rPr>
        <w:t>Schoenfeld residual plots for unadjusted 30-day postoperative mortality</w:t>
      </w:r>
    </w:p>
    <w:p w14:paraId="36EAEBA9" w14:textId="4470DF5D" w:rsidR="00D74210" w:rsidRDefault="00D74210" w:rsidP="00D74210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6F7512" wp14:editId="0789423D">
            <wp:extent cx="5188645" cy="2792657"/>
            <wp:effectExtent l="0" t="0" r="0" b="8255"/>
            <wp:docPr id="2" name="图片 2" descr="D:\mimic\三指标联合分析心梗手术预后\COX表格相关\COX\残差检验\30adjus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mic\三指标联合分析心梗手术预后\COX表格相关\COX\残差检验\30adjust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735" cy="280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5CFB2" w14:textId="53C917A9" w:rsidR="00E10571" w:rsidRPr="00E10571" w:rsidRDefault="00E10571" w:rsidP="00D74210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="00181E5E" w:rsidRPr="00181E5E">
        <w:t xml:space="preserve"> </w:t>
      </w:r>
      <w:r w:rsidR="00181E5E" w:rsidRPr="00181E5E">
        <w:rPr>
          <w:rFonts w:ascii="Times New Roman" w:hAnsi="Times New Roman" w:cs="Times New Roman"/>
          <w:sz w:val="21"/>
          <w:szCs w:val="21"/>
        </w:rPr>
        <w:t>Schoenfeld residual plots assessing the proportional hazards assumption for 30-day outcomes adjusted for gender, age, and BMI</w:t>
      </w:r>
    </w:p>
    <w:p w14:paraId="0F04D64F" w14:textId="76A91509" w:rsidR="00F92268" w:rsidRDefault="00F92268" w:rsidP="00F92268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6489A17B" wp14:editId="41410F0D">
            <wp:extent cx="5199026" cy="3731397"/>
            <wp:effectExtent l="0" t="0" r="1905" b="2540"/>
            <wp:docPr id="3" name="图片 3" descr="D:\mimic\三指标联合分析心梗手术预后\COX表格相关\COX\残差检验\30adjust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imic\三指标联合分析心梗手术预后\COX表格相关\COX\残差检验\30adjusted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491" cy="373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D21F" w14:textId="0C5A8222" w:rsidR="00181E5E" w:rsidRPr="00E10571" w:rsidRDefault="00181E5E" w:rsidP="00181E5E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Pr="00181E5E">
        <w:t xml:space="preserve"> </w:t>
      </w:r>
      <w:r w:rsidRPr="00181E5E">
        <w:rPr>
          <w:rFonts w:ascii="Times New Roman" w:hAnsi="Times New Roman" w:cs="Times New Roman"/>
          <w:sz w:val="21"/>
          <w:szCs w:val="21"/>
        </w:rPr>
        <w:t>Schoenfeld residual plots assessing the proportional hazards assumption for 30-day outcomes adjusted for gender, age, BMI</w:t>
      </w:r>
      <w:r>
        <w:rPr>
          <w:rFonts w:ascii="Times New Roman" w:hAnsi="Times New Roman" w:cs="Times New Roman" w:hint="eastAsia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DBP, SOFA, APSIII, calcium, hemoglobin, albumin, eGFR, congestive heart failure, diabetes with complications, metastatic solid tumor</w:t>
      </w:r>
    </w:p>
    <w:p w14:paraId="4F98F347" w14:textId="77777777" w:rsidR="00181E5E" w:rsidRPr="00181E5E" w:rsidRDefault="00181E5E" w:rsidP="00F92268">
      <w:pPr>
        <w:pStyle w:val="a7"/>
        <w:rPr>
          <w:rFonts w:ascii="Times New Roman" w:hAnsi="Times New Roman" w:cs="Times New Roman"/>
        </w:rPr>
      </w:pPr>
    </w:p>
    <w:p w14:paraId="1B5200B8" w14:textId="1D11AE59" w:rsidR="00F92268" w:rsidRPr="00E10571" w:rsidRDefault="00F92268" w:rsidP="00F92268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5C4865" wp14:editId="569B40CC">
            <wp:extent cx="5249029" cy="2132976"/>
            <wp:effectExtent l="0" t="0" r="8890" b="635"/>
            <wp:docPr id="4" name="图片 4" descr="D:\mimic\三指标联合分析心梗手术预后\COX表格相关\COX\残差检验\360unadjus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imic\三指标联合分析心梗手术预后\COX表格相关\COX\残差检验\360unadjust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46" cy="214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BE3F4" w14:textId="1953763B" w:rsidR="00181E5E" w:rsidRPr="00E10571" w:rsidRDefault="00181E5E" w:rsidP="00181E5E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4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Pr="00E10571">
        <w:rPr>
          <w:sz w:val="21"/>
          <w:szCs w:val="21"/>
        </w:rPr>
        <w:t xml:space="preserve"> </w:t>
      </w:r>
      <w:r w:rsidRPr="00E10571">
        <w:rPr>
          <w:rFonts w:ascii="Times New Roman" w:hAnsi="Times New Roman" w:cs="Times New Roman"/>
          <w:sz w:val="21"/>
          <w:szCs w:val="21"/>
        </w:rPr>
        <w:t>Schoenfeld residual plots for unadjusted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E10571">
        <w:rPr>
          <w:rFonts w:ascii="Times New Roman" w:hAnsi="Times New Roman" w:cs="Times New Roman"/>
          <w:sz w:val="21"/>
          <w:szCs w:val="21"/>
        </w:rPr>
        <w:t>0-day postoperative mortality</w:t>
      </w:r>
    </w:p>
    <w:p w14:paraId="5F54A9C7" w14:textId="499DD331" w:rsidR="00F92268" w:rsidRPr="00181E5E" w:rsidRDefault="00F92268" w:rsidP="00F92268">
      <w:pPr>
        <w:rPr>
          <w:rFonts w:ascii="Times New Roman" w:hAnsi="Times New Roman" w:cs="Times New Roman"/>
          <w:sz w:val="24"/>
          <w:szCs w:val="24"/>
        </w:rPr>
      </w:pPr>
    </w:p>
    <w:p w14:paraId="78269ADD" w14:textId="72BAF2B8" w:rsidR="00F92268" w:rsidRPr="00E10571" w:rsidRDefault="00F92268" w:rsidP="00F92268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3E73B654" wp14:editId="7F6A2B3D">
            <wp:extent cx="5039519" cy="3617147"/>
            <wp:effectExtent l="0" t="0" r="8890" b="2540"/>
            <wp:docPr id="5" name="图片 5" descr="D:\mimic\三指标联合分析心梗手术预后\COX表格相关\COX\残差检验\360adjust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mimic\三指标联合分析心梗手术预后\COX表格相关\COX\残差检验\360adjusted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91" cy="364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84B93" w14:textId="31F0441E" w:rsidR="00181E5E" w:rsidRPr="00E10571" w:rsidRDefault="00181E5E" w:rsidP="00181E5E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Pr="00181E5E">
        <w:t xml:space="preserve"> </w:t>
      </w:r>
      <w:r w:rsidRPr="00181E5E">
        <w:rPr>
          <w:rFonts w:ascii="Times New Roman" w:hAnsi="Times New Roman" w:cs="Times New Roman"/>
          <w:sz w:val="21"/>
          <w:szCs w:val="21"/>
        </w:rPr>
        <w:t>Schoenfeld residual plots assessing the proportional hazards assumption for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181E5E">
        <w:rPr>
          <w:rFonts w:ascii="Times New Roman" w:hAnsi="Times New Roman" w:cs="Times New Roman"/>
          <w:sz w:val="21"/>
          <w:szCs w:val="21"/>
        </w:rPr>
        <w:t>0-day outcomes adjusted for gender, age, and BMI</w:t>
      </w:r>
    </w:p>
    <w:p w14:paraId="72CD7F4C" w14:textId="2613F222" w:rsidR="00F92268" w:rsidRDefault="00F92268" w:rsidP="00F92268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8581B3" wp14:editId="7A337956">
            <wp:extent cx="5553683" cy="3985937"/>
            <wp:effectExtent l="0" t="0" r="9525" b="0"/>
            <wp:docPr id="7" name="图片 7" descr="D:\mimic\三指标联合分析心梗手术预后\COX表格相关\COX\残差检验\360adjust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mimic\三指标联合分析心梗手术预后\COX表格相关\COX\残差检验\360adjusted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769" cy="39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0CBCA" w14:textId="530152A4" w:rsidR="00181E5E" w:rsidRPr="00E10571" w:rsidRDefault="00181E5E" w:rsidP="00181E5E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30702C"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  <w:r w:rsidRPr="00181E5E">
        <w:t xml:space="preserve"> </w:t>
      </w:r>
      <w:r w:rsidRPr="00181E5E">
        <w:rPr>
          <w:rFonts w:ascii="Times New Roman" w:hAnsi="Times New Roman" w:cs="Times New Roman"/>
          <w:sz w:val="21"/>
          <w:szCs w:val="21"/>
        </w:rPr>
        <w:t>Schoenfeld residual plots assessing the proportional hazards assumption for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181E5E">
        <w:rPr>
          <w:rFonts w:ascii="Times New Roman" w:hAnsi="Times New Roman" w:cs="Times New Roman"/>
          <w:sz w:val="21"/>
          <w:szCs w:val="21"/>
        </w:rPr>
        <w:t>0-day outcomes adjusted for gender, age, BMI</w:t>
      </w:r>
      <w:r>
        <w:rPr>
          <w:rFonts w:ascii="Times New Roman" w:hAnsi="Times New Roman" w:cs="Times New Roman" w:hint="eastAsia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DBP, SOFA, APSIII, calcium, hemoglobin, albumin, eGFR, congestive heart failure, diabetes with complications, metastatic solid tumor</w:t>
      </w:r>
    </w:p>
    <w:p w14:paraId="663CBCB8" w14:textId="396101C0" w:rsidR="00181E5E" w:rsidRDefault="00F13977" w:rsidP="00F92268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2B97FB" wp14:editId="071485E3">
            <wp:extent cx="5660346" cy="31470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森林图放补充材料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843" cy="315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E3A3" w14:textId="6115C103" w:rsidR="00F13977" w:rsidRPr="00181E5E" w:rsidRDefault="00F13977" w:rsidP="00F92268">
      <w:pPr>
        <w:pStyle w:val="a7"/>
        <w:rPr>
          <w:rFonts w:ascii="Times New Roman" w:hAnsi="Times New Roman" w:cs="Times New Roman" w:hint="eastAsia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>
        <w:rPr>
          <w:rFonts w:ascii="Times New Roman" w:hAnsi="Times New Roman" w:cs="Times New Roman"/>
          <w:sz w:val="21"/>
          <w:szCs w:val="21"/>
        </w:rPr>
        <w:t>C:</w:t>
      </w:r>
      <w:r w:rsidR="00662E86" w:rsidRPr="00662E86">
        <w:rPr>
          <w:rFonts w:ascii="Times New Roman" w:eastAsiaTheme="majorHAnsi" w:hAnsi="Times New Roman" w:cs="Times New Roman"/>
          <w:sz w:val="21"/>
          <w:szCs w:val="21"/>
        </w:rPr>
        <w:t xml:space="preserve"> </w:t>
      </w:r>
      <w:r w:rsidR="00662E86" w:rsidRPr="00B84B31">
        <w:rPr>
          <w:rFonts w:ascii="Times New Roman" w:eastAsiaTheme="majorHAnsi" w:hAnsi="Times New Roman" w:cs="Times New Roman"/>
          <w:sz w:val="21"/>
          <w:szCs w:val="21"/>
        </w:rPr>
        <w:t xml:space="preserve">Forest plots for subgroup analyses of the combine index of SHR and GV with </w:t>
      </w:r>
      <w:proofErr w:type="gramStart"/>
      <w:r w:rsidR="00662E86" w:rsidRPr="00B84B31">
        <w:rPr>
          <w:rFonts w:ascii="Times New Roman" w:eastAsiaTheme="majorHAnsi" w:hAnsi="Times New Roman" w:cs="Times New Roman"/>
          <w:sz w:val="21"/>
          <w:szCs w:val="21"/>
        </w:rPr>
        <w:t>30 day</w:t>
      </w:r>
      <w:proofErr w:type="gramEnd"/>
      <w:r w:rsidR="00662E86" w:rsidRPr="00B84B31">
        <w:rPr>
          <w:rFonts w:ascii="Times New Roman" w:eastAsiaTheme="majorHAnsi" w:hAnsi="Times New Roman" w:cs="Times New Roman"/>
          <w:sz w:val="21"/>
          <w:szCs w:val="21"/>
        </w:rPr>
        <w:t xml:space="preserve"> mortality and 360 day mortality..</w:t>
      </w:r>
      <w:r w:rsidRPr="00E10571">
        <w:rPr>
          <w:rFonts w:ascii="Times New Roman" w:hAnsi="Times New Roman" w:cs="Times New Roman" w:hint="eastAsia"/>
          <w:sz w:val="21"/>
          <w:szCs w:val="21"/>
        </w:rPr>
        <w:t>.</w:t>
      </w:r>
    </w:p>
    <w:p w14:paraId="6BE45E77" w14:textId="527CC1B7" w:rsidR="003E58AD" w:rsidRDefault="003E58AD" w:rsidP="003E58AD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C154F0" wp14:editId="427B8630">
            <wp:extent cx="5702824" cy="3992307"/>
            <wp:effectExtent l="0" t="0" r="0" b="8255"/>
            <wp:docPr id="8" name="图片 8" descr="D:\mimic\三指标联合分析心梗手术预后\选择重要变量\1\30箱线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imic\三指标联合分析心梗手术预后\选择重要变量\1\30箱线图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34" cy="40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6AF7" w14:textId="30AAC208" w:rsidR="00AC6639" w:rsidRDefault="00AC6639" w:rsidP="00112B40">
      <w:pPr>
        <w:rPr>
          <w:rFonts w:ascii="Times New Roman" w:hAnsi="Times New Roman" w:cs="Times New Roman"/>
          <w:szCs w:val="21"/>
        </w:rPr>
      </w:pPr>
      <w:r w:rsidRPr="00E10571">
        <w:rPr>
          <w:rFonts w:ascii="Times New Roman" w:hAnsi="Times New Roman" w:cs="Times New Roman"/>
          <w:szCs w:val="21"/>
        </w:rPr>
        <w:t>F</w:t>
      </w:r>
      <w:r w:rsidRPr="00E10571">
        <w:rPr>
          <w:rFonts w:ascii="Times New Roman" w:hAnsi="Times New Roman" w:cs="Times New Roman" w:hint="eastAsia"/>
          <w:szCs w:val="21"/>
        </w:rPr>
        <w:t>igure</w:t>
      </w:r>
      <w:r w:rsidRPr="00E10571">
        <w:rPr>
          <w:rFonts w:ascii="Times New Roman" w:hAnsi="Times New Roman" w:cs="Times New Roman"/>
          <w:szCs w:val="21"/>
        </w:rPr>
        <w:t xml:space="preserve"> S</w:t>
      </w:r>
      <w:r w:rsidR="00662E86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1.</w:t>
      </w:r>
      <w:r w:rsidRPr="00AC6639">
        <w:t xml:space="preserve"> </w:t>
      </w:r>
      <w:r w:rsidRPr="00112B40">
        <w:rPr>
          <w:rFonts w:ascii="Times New Roman" w:hAnsi="Times New Roman" w:cs="Times New Roman"/>
          <w:szCs w:val="21"/>
        </w:rPr>
        <w:t>Boxplots of variables selected by the Boruta algorithm for 30-day outcome validation</w:t>
      </w:r>
      <w:r w:rsidR="00112B40">
        <w:rPr>
          <w:rFonts w:ascii="Times New Roman" w:hAnsi="Times New Roman" w:cs="Times New Roman"/>
          <w:szCs w:val="21"/>
        </w:rPr>
        <w:t>.</w:t>
      </w:r>
      <w:r w:rsidRPr="00112B40">
        <w:rPr>
          <w:rFonts w:ascii="Times New Roman" w:hAnsi="Times New Roman" w:cs="Times New Roman"/>
          <w:szCs w:val="21"/>
        </w:rPr>
        <w:t xml:space="preserve"> validated variables:</w:t>
      </w:r>
      <w:r w:rsidR="00112B40" w:rsidRPr="00112B40">
        <w:rPr>
          <w:rFonts w:ascii="Times New Roman" w:hAnsi="Times New Roman" w:cs="Times New Roman"/>
          <w:color w:val="000000" w:themeColor="text1"/>
          <w:kern w:val="24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Hba1c,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Triglycerides.mg.Dl</w:t>
      </w:r>
      <w:r w:rsidR="00112B40" w:rsidRPr="00112B40">
        <w:rPr>
          <w:rFonts w:ascii="Times New Roman" w:hAnsi="Times New Roman" w:cs="Times New Roman"/>
          <w:szCs w:val="21"/>
        </w:rPr>
        <w:t xml:space="preserve">, </w:t>
      </w:r>
      <w:r w:rsidRPr="00112B40">
        <w:rPr>
          <w:rFonts w:ascii="Times New Roman" w:hAnsi="Times New Roman" w:cs="Times New Roman"/>
          <w:szCs w:val="21"/>
        </w:rPr>
        <w:t>HR.Beats.min</w:t>
      </w:r>
      <w:r w:rsidR="00112B40" w:rsidRPr="00112B40">
        <w:rPr>
          <w:rFonts w:ascii="Times New Roman" w:hAnsi="Times New Roman" w:cs="Times New Roman"/>
          <w:szCs w:val="21"/>
        </w:rPr>
        <w:t xml:space="preserve">, </w:t>
      </w:r>
      <w:r w:rsidRPr="00112B40">
        <w:rPr>
          <w:rFonts w:ascii="Times New Roman" w:hAnsi="Times New Roman" w:cs="Times New Roman"/>
          <w:szCs w:val="21"/>
        </w:rPr>
        <w:t>SOFA</w:t>
      </w:r>
      <w:r w:rsidR="00112B40" w:rsidRPr="00112B40">
        <w:rPr>
          <w:rFonts w:ascii="Times New Roman" w:hAnsi="Times New Roman" w:cs="Times New Roman"/>
          <w:szCs w:val="21"/>
        </w:rPr>
        <w:t xml:space="preserve">, </w:t>
      </w:r>
      <w:r w:rsidRPr="00112B40">
        <w:rPr>
          <w:rFonts w:ascii="Times New Roman" w:hAnsi="Times New Roman" w:cs="Times New Roman"/>
          <w:szCs w:val="21"/>
        </w:rPr>
        <w:t>APSIII, Cerebrovascular.Disease</w:t>
      </w:r>
      <w:r w:rsidR="00112B40" w:rsidRPr="00112B40">
        <w:rPr>
          <w:rFonts w:ascii="Times New Roman" w:hAnsi="Times New Roman" w:cs="Times New Roman"/>
          <w:szCs w:val="21"/>
        </w:rPr>
        <w:t xml:space="preserve">, </w:t>
      </w:r>
      <w:proofErr w:type="gramStart"/>
      <w:r w:rsidRPr="00112B40">
        <w:rPr>
          <w:rFonts w:ascii="Times New Roman" w:hAnsi="Times New Roman" w:cs="Times New Roman"/>
          <w:szCs w:val="21"/>
        </w:rPr>
        <w:t>Charlson.comorbidity.index</w:t>
      </w:r>
      <w:proofErr w:type="gramEnd"/>
      <w:r w:rsidR="00112B40" w:rsidRPr="00112B40">
        <w:rPr>
          <w:rFonts w:ascii="Times New Roman" w:hAnsi="Times New Roman" w:cs="Times New Roman"/>
          <w:szCs w:val="21"/>
        </w:rPr>
        <w:t xml:space="preserve">, </w:t>
      </w:r>
      <w:r w:rsidRPr="00112B40">
        <w:rPr>
          <w:rFonts w:ascii="Times New Roman" w:hAnsi="Times New Roman" w:cs="Times New Roman"/>
          <w:szCs w:val="21"/>
        </w:rPr>
        <w:t xml:space="preserve">Creatinine.mg.Dl, Hemoglobin.g.Dl, 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Glucose.mg.Dl, 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eGFR.mL.min.1.73m.2, 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SHR, 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GV, 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TyG,</w:t>
      </w:r>
      <w:r w:rsidR="00112B40" w:rsidRPr="00112B40"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 AIP</w:t>
      </w:r>
    </w:p>
    <w:p w14:paraId="4831CE05" w14:textId="07D5C3E9" w:rsidR="00112B40" w:rsidRPr="00112B40" w:rsidRDefault="00112B40" w:rsidP="00112B40">
      <w:pPr>
        <w:rPr>
          <w:rFonts w:ascii="Times New Roman" w:hAnsi="Times New Roman" w:cs="Times New Roman"/>
          <w:szCs w:val="21"/>
        </w:rPr>
      </w:pPr>
      <w:r w:rsidRPr="00112B40">
        <w:rPr>
          <w:rFonts w:ascii="Times New Roman" w:hAnsi="Times New Roman" w:cs="Times New Roman"/>
          <w:szCs w:val="21"/>
        </w:rPr>
        <w:t>candidate variables</w:t>
      </w:r>
      <w:r w:rsidRPr="00112B40">
        <w:rPr>
          <w:rFonts w:ascii="Times New Roman" w:hAnsi="Times New Roman" w:cs="Times New Roman"/>
          <w:szCs w:val="21"/>
        </w:rPr>
        <w:t>：</w:t>
      </w:r>
      <w:proofErr w:type="gramStart"/>
      <w:r w:rsidRPr="00112B40">
        <w:rPr>
          <w:rFonts w:ascii="Times New Roman" w:hAnsi="Times New Roman" w:cs="Times New Roman"/>
          <w:szCs w:val="21"/>
        </w:rPr>
        <w:t>Mild.liver.disease</w:t>
      </w:r>
      <w:proofErr w:type="gramEnd"/>
      <w:r w:rsidRPr="00112B40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Sodium.mmol.L,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HDL.cmg.Dl</w:t>
      </w:r>
    </w:p>
    <w:p w14:paraId="5CAF1A8A" w14:textId="2193F1D5" w:rsidR="00DC1657" w:rsidRPr="00E10571" w:rsidRDefault="00DC1657" w:rsidP="00DC1657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367EE7" wp14:editId="44021A2C">
            <wp:extent cx="5306518" cy="3714869"/>
            <wp:effectExtent l="0" t="0" r="8890" b="0"/>
            <wp:docPr id="9" name="图片 9" descr="D:\mimic\三指标联合分析心梗手术预后\选择重要变量\1\360箱线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mimic\三指标联合分析心梗手术预后\选择重要变量\1\360箱线图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82" cy="373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140D1" w14:textId="079D9E7D" w:rsidR="00112B40" w:rsidRPr="00112B40" w:rsidRDefault="00112B40" w:rsidP="00112B40">
      <w:pPr>
        <w:rPr>
          <w:rFonts w:ascii="Times New Roman" w:hAnsi="Times New Roman" w:cs="Times New Roman"/>
          <w:szCs w:val="21"/>
        </w:rPr>
      </w:pPr>
      <w:r w:rsidRPr="00E10571">
        <w:rPr>
          <w:rFonts w:ascii="Times New Roman" w:hAnsi="Times New Roman" w:cs="Times New Roman"/>
          <w:szCs w:val="21"/>
        </w:rPr>
        <w:t>F</w:t>
      </w:r>
      <w:r w:rsidRPr="00E10571">
        <w:rPr>
          <w:rFonts w:ascii="Times New Roman" w:hAnsi="Times New Roman" w:cs="Times New Roman" w:hint="eastAsia"/>
          <w:szCs w:val="21"/>
        </w:rPr>
        <w:t>igure</w:t>
      </w:r>
      <w:r w:rsidRPr="00E10571">
        <w:rPr>
          <w:rFonts w:ascii="Times New Roman" w:hAnsi="Times New Roman" w:cs="Times New Roman"/>
          <w:szCs w:val="21"/>
        </w:rPr>
        <w:t xml:space="preserve"> S</w:t>
      </w:r>
      <w:r w:rsidR="00662E86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2.</w:t>
      </w:r>
      <w:r w:rsidRPr="00112B40">
        <w:rPr>
          <w:rFonts w:ascii="Times New Roman" w:hAnsi="Times New Roman" w:cs="Times New Roman"/>
          <w:szCs w:val="21"/>
        </w:rPr>
        <w:t xml:space="preserve"> Boxplots of variables selected by the Boruta algorithm for 3</w:t>
      </w:r>
      <w:r>
        <w:rPr>
          <w:rFonts w:ascii="Times New Roman" w:hAnsi="Times New Roman" w:cs="Times New Roman"/>
          <w:szCs w:val="21"/>
        </w:rPr>
        <w:t>6</w:t>
      </w:r>
      <w:r w:rsidRPr="00112B40">
        <w:rPr>
          <w:rFonts w:ascii="Times New Roman" w:hAnsi="Times New Roman" w:cs="Times New Roman"/>
          <w:szCs w:val="21"/>
        </w:rPr>
        <w:t>0-day outcome validation</w:t>
      </w:r>
      <w:r>
        <w:rPr>
          <w:rFonts w:ascii="Times New Roman" w:hAnsi="Times New Roman" w:cs="Times New Roman"/>
          <w:szCs w:val="21"/>
        </w:rPr>
        <w:t>.</w:t>
      </w:r>
      <w:r w:rsidRPr="00112B40">
        <w:rPr>
          <w:rFonts w:ascii="Times New Roman" w:hAnsi="Times New Roman" w:cs="Times New Roman"/>
          <w:szCs w:val="21"/>
        </w:rPr>
        <w:t xml:space="preserve"> validated variables:</w:t>
      </w:r>
      <w:r w:rsidRPr="00112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Age.years</w:t>
      </w:r>
      <w:proofErr w:type="gramStart"/>
      <w:r w:rsidRPr="00112B40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Triglycerides.mg.Dl</w:t>
      </w:r>
      <w:proofErr w:type="gramEnd"/>
      <w:r w:rsidRPr="00112B40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 xml:space="preserve">DBP.mmHg, HR.Beats.min, SOFA, APSIII, Renal.disease, Severe.liver.disease, Charlson.comorbidity.index, Calcium.mg.Dl, Creatinine.mg.Dl, Hemoglobin.g.Dl, Albumin.g.Dl, eGFR.mL.min.1.73m.2, GV, TyG, HDL.cmg.Dl, 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AIP</w:t>
      </w:r>
    </w:p>
    <w:p w14:paraId="113DFC0D" w14:textId="225D61D6" w:rsidR="00112B40" w:rsidRPr="00112B40" w:rsidRDefault="00112B40" w:rsidP="00112B40">
      <w:pPr>
        <w:rPr>
          <w:rFonts w:ascii="Times New Roman" w:hAnsi="Times New Roman" w:cs="Times New Roman"/>
          <w:szCs w:val="21"/>
        </w:rPr>
      </w:pPr>
      <w:r w:rsidRPr="00112B40">
        <w:rPr>
          <w:rFonts w:ascii="Times New Roman" w:hAnsi="Times New Roman" w:cs="Times New Roman"/>
          <w:szCs w:val="21"/>
        </w:rPr>
        <w:t>candidate variables</w:t>
      </w:r>
      <w:r w:rsidRPr="00112B40">
        <w:rPr>
          <w:rFonts w:ascii="Times New Roman" w:hAnsi="Times New Roman" w:cs="Times New Roman"/>
          <w:szCs w:val="21"/>
        </w:rPr>
        <w:t>：</w:t>
      </w:r>
      <w:proofErr w:type="gramStart"/>
      <w:r w:rsidRPr="00112B40">
        <w:rPr>
          <w:rFonts w:ascii="Times New Roman" w:hAnsi="Times New Roman" w:cs="Times New Roman"/>
          <w:szCs w:val="21"/>
        </w:rPr>
        <w:t>Diabetes.with.</w:t>
      </w:r>
      <w:r>
        <w:rPr>
          <w:rFonts w:ascii="Times New Roman" w:hAnsi="Times New Roman" w:cs="Times New Roman"/>
          <w:szCs w:val="21"/>
        </w:rPr>
        <w:t>complication</w:t>
      </w:r>
      <w:proofErr w:type="gramEnd"/>
      <w:r w:rsidRPr="00112B40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Paraplegia,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Glucose.mg.Dl,</w:t>
      </w:r>
      <w:r>
        <w:rPr>
          <w:rFonts w:ascii="Times New Roman" w:hAnsi="Times New Roman" w:cs="Times New Roman"/>
          <w:szCs w:val="21"/>
        </w:rPr>
        <w:t xml:space="preserve"> </w:t>
      </w:r>
      <w:r w:rsidRPr="00112B40">
        <w:rPr>
          <w:rFonts w:ascii="Times New Roman" w:hAnsi="Times New Roman" w:cs="Times New Roman"/>
          <w:szCs w:val="21"/>
        </w:rPr>
        <w:t>SHR</w:t>
      </w:r>
    </w:p>
    <w:p w14:paraId="61B3D699" w14:textId="4B3CA078" w:rsidR="00DB1572" w:rsidRPr="00E10571" w:rsidRDefault="00DB1572">
      <w:pPr>
        <w:rPr>
          <w:rFonts w:ascii="Times New Roman" w:hAnsi="Times New Roman" w:cs="Times New Roman"/>
          <w:sz w:val="24"/>
          <w:szCs w:val="24"/>
        </w:rPr>
      </w:pPr>
    </w:p>
    <w:p w14:paraId="3EFC2C25" w14:textId="449363BE" w:rsidR="00AB4274" w:rsidRDefault="00AB4274" w:rsidP="00122934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1D4A1B0B" wp14:editId="2FFEB37F">
            <wp:extent cx="4422946" cy="3177915"/>
            <wp:effectExtent l="0" t="0" r="0" b="3810"/>
            <wp:docPr id="11" name="图片 11" descr="D:\mimic\三指标联合分析心梗手术预后\机器学习\2\30day校准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mimic\三指标联合分析心梗手术预后\机器学习\2\30day校准曲线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75" cy="319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A81F3" w14:textId="2A581C87" w:rsidR="00AB4274" w:rsidRPr="00122934" w:rsidRDefault="00122934" w:rsidP="00AB4274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lastRenderedPageBreak/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A07CB0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1.</w:t>
      </w:r>
      <w:r w:rsidRPr="00E10571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Calibration curves for predicting 30-day postoperative mortality in the logistic regression model on the test set.</w:t>
      </w:r>
    </w:p>
    <w:p w14:paraId="1679C6C1" w14:textId="635205C2" w:rsidR="00AB4274" w:rsidRPr="00E10571" w:rsidRDefault="00AB4274" w:rsidP="00AB4274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2538FE20" wp14:editId="3C0E5D49">
            <wp:extent cx="4895392" cy="3517370"/>
            <wp:effectExtent l="0" t="0" r="635" b="6985"/>
            <wp:docPr id="12" name="图片 12" descr="D:\mimic\三指标联合分析心梗手术预后\机器学习\2\360校准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mimic\三指标联合分析心梗手术预后\机器学习\2\360校准曲线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371" cy="352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B9ABB" w14:textId="0D69E245" w:rsidR="00122934" w:rsidRPr="00122934" w:rsidRDefault="00122934" w:rsidP="00122934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A07CB0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2.</w:t>
      </w:r>
      <w:r w:rsidRPr="00E10571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Calibration curves for predicting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122934">
        <w:rPr>
          <w:rFonts w:ascii="Times New Roman" w:hAnsi="Times New Roman" w:cs="Times New Roman"/>
          <w:sz w:val="21"/>
          <w:szCs w:val="21"/>
        </w:rPr>
        <w:t>0-day postoperative mortality in the</w:t>
      </w:r>
      <w:r w:rsidRPr="00DB0839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Random Forest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model on the test set.</w:t>
      </w:r>
    </w:p>
    <w:p w14:paraId="4873D763" w14:textId="11D5DC20" w:rsidR="00AB4274" w:rsidRPr="00E10571" w:rsidRDefault="00AB4274" w:rsidP="00AB4274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2D484460" wp14:editId="0E8B813B">
            <wp:extent cx="3570053" cy="2028669"/>
            <wp:effectExtent l="0" t="0" r="0" b="0"/>
            <wp:docPr id="13" name="图片 13" descr="D:\mimic\三指标联合分析心梗手术预后\机器学习\齐鲁医院验证\30齐鲁医院校准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mimic\三指标联合分析心梗手术预后\机器学习\齐鲁医院验证\30齐鲁医院校准曲线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33" cy="203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4BAC" w14:textId="31FB4305" w:rsidR="00122934" w:rsidRPr="00122934" w:rsidRDefault="00122934" w:rsidP="00122934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A07CB0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3.</w:t>
      </w:r>
      <w:r w:rsidRPr="00E10571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Calibration curves for predicting 30-day postoperative mortality in the logistic regression model on the</w:t>
      </w:r>
      <w:r w:rsidR="005F098B">
        <w:rPr>
          <w:rFonts w:ascii="Times New Roman" w:hAnsi="Times New Roman" w:cs="Times New Roman"/>
          <w:sz w:val="21"/>
          <w:szCs w:val="21"/>
        </w:rPr>
        <w:t xml:space="preserve"> external validation </w:t>
      </w:r>
      <w:r w:rsidRPr="00122934">
        <w:rPr>
          <w:rFonts w:ascii="Times New Roman" w:hAnsi="Times New Roman" w:cs="Times New Roman"/>
          <w:sz w:val="21"/>
          <w:szCs w:val="21"/>
        </w:rPr>
        <w:t>set.</w:t>
      </w:r>
    </w:p>
    <w:p w14:paraId="7E4BD708" w14:textId="26FDB38F" w:rsidR="003F4117" w:rsidRPr="00E10571" w:rsidRDefault="003F4117" w:rsidP="003F4117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012096" wp14:editId="52F07CAC">
            <wp:extent cx="3511824" cy="1988319"/>
            <wp:effectExtent l="0" t="0" r="0" b="0"/>
            <wp:docPr id="14" name="图片 14" descr="D:\mimic\三指标联合分析心梗手术预后\机器学习\齐鲁医院验证\360齐鲁医院校准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mimic\三指标联合分析心梗手术预后\机器学习\齐鲁医院验证\360齐鲁医院校准曲线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63" cy="202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9084C" w14:textId="2E299E9D" w:rsidR="005F098B" w:rsidRPr="00122934" w:rsidRDefault="005F098B" w:rsidP="005F098B">
      <w:pPr>
        <w:pStyle w:val="a7"/>
        <w:rPr>
          <w:rFonts w:ascii="Times New Roman" w:hAnsi="Times New Roman" w:cs="Times New Roman"/>
          <w:sz w:val="21"/>
          <w:szCs w:val="21"/>
        </w:rPr>
      </w:pPr>
      <w:r w:rsidRPr="00E10571">
        <w:rPr>
          <w:rFonts w:ascii="Times New Roman" w:hAnsi="Times New Roman" w:cs="Times New Roman"/>
          <w:sz w:val="21"/>
          <w:szCs w:val="21"/>
        </w:rPr>
        <w:t>F</w:t>
      </w:r>
      <w:r w:rsidRPr="00E10571">
        <w:rPr>
          <w:rFonts w:ascii="Times New Roman" w:hAnsi="Times New Roman" w:cs="Times New Roman" w:hint="eastAsia"/>
          <w:sz w:val="21"/>
          <w:szCs w:val="21"/>
        </w:rPr>
        <w:t>igure</w:t>
      </w:r>
      <w:r w:rsidRPr="00E10571">
        <w:rPr>
          <w:rFonts w:ascii="Times New Roman" w:hAnsi="Times New Roman" w:cs="Times New Roman"/>
          <w:sz w:val="21"/>
          <w:szCs w:val="21"/>
        </w:rPr>
        <w:t xml:space="preserve"> S</w:t>
      </w:r>
      <w:r w:rsidR="00A07CB0">
        <w:rPr>
          <w:rFonts w:ascii="Times New Roman" w:hAnsi="Times New Roman" w:cs="Times New Roman"/>
          <w:sz w:val="21"/>
          <w:szCs w:val="21"/>
        </w:rPr>
        <w:t>E</w:t>
      </w:r>
      <w:r>
        <w:rPr>
          <w:rFonts w:ascii="Times New Roman" w:hAnsi="Times New Roman" w:cs="Times New Roman"/>
          <w:sz w:val="21"/>
          <w:szCs w:val="21"/>
        </w:rPr>
        <w:t>4.</w:t>
      </w:r>
      <w:r w:rsidRPr="00E10571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Calibration curves for predicting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122934">
        <w:rPr>
          <w:rFonts w:ascii="Times New Roman" w:hAnsi="Times New Roman" w:cs="Times New Roman"/>
          <w:sz w:val="21"/>
          <w:szCs w:val="21"/>
        </w:rPr>
        <w:t>0-day postoperative mortality in the</w:t>
      </w:r>
      <w:r w:rsidRPr="00DB0839">
        <w:rPr>
          <w:rFonts w:ascii="Times New Roman" w:hAnsi="Times New Roman" w:cs="Times New Roman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>Random Forest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122934">
        <w:rPr>
          <w:rFonts w:ascii="Times New Roman" w:hAnsi="Times New Roman" w:cs="Times New Roman"/>
          <w:sz w:val="21"/>
          <w:szCs w:val="21"/>
        </w:rPr>
        <w:t xml:space="preserve">model on the </w:t>
      </w:r>
      <w:r>
        <w:rPr>
          <w:rFonts w:ascii="Times New Roman" w:hAnsi="Times New Roman" w:cs="Times New Roman"/>
          <w:sz w:val="21"/>
          <w:szCs w:val="21"/>
        </w:rPr>
        <w:t>external validation</w:t>
      </w:r>
      <w:r w:rsidRPr="00122934">
        <w:rPr>
          <w:rFonts w:ascii="Times New Roman" w:hAnsi="Times New Roman" w:cs="Times New Roman"/>
          <w:sz w:val="21"/>
          <w:szCs w:val="21"/>
        </w:rPr>
        <w:t xml:space="preserve"> set.</w:t>
      </w:r>
    </w:p>
    <w:p w14:paraId="798D52E7" w14:textId="1C03DF64" w:rsidR="003F4117" w:rsidRPr="00E10571" w:rsidRDefault="003F4117" w:rsidP="003F4117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0C4621DA" wp14:editId="2C84B5A3">
            <wp:extent cx="4565475" cy="1803816"/>
            <wp:effectExtent l="0" t="0" r="6985" b="0"/>
            <wp:docPr id="17" name="图片 17" descr="D:\mimic\三指标联合分析心梗手术预后\机器学习\2\30DCA重新裁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mimic\三指标联合分析心梗手术预后\机器学习\2\30DCA重新裁剪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54" cy="181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E7526" w14:textId="2A7DADA6" w:rsidR="003F4117" w:rsidRPr="005F098B" w:rsidRDefault="005F098B" w:rsidP="003F4117">
      <w:pPr>
        <w:pStyle w:val="a7"/>
        <w:rPr>
          <w:rFonts w:ascii="Times New Roman" w:hAnsi="Times New Roman" w:cs="Times New Roman"/>
          <w:sz w:val="21"/>
          <w:szCs w:val="21"/>
        </w:rPr>
      </w:pPr>
      <w:r w:rsidRPr="005F098B">
        <w:rPr>
          <w:rFonts w:ascii="Times New Roman" w:hAnsi="Times New Roman" w:cs="Times New Roman"/>
          <w:sz w:val="21"/>
          <w:szCs w:val="21"/>
        </w:rPr>
        <w:t>Figure S</w:t>
      </w:r>
      <w:r w:rsidR="00A07CB0">
        <w:rPr>
          <w:rFonts w:ascii="Times New Roman" w:hAnsi="Times New Roman" w:cs="Times New Roman"/>
          <w:sz w:val="21"/>
          <w:szCs w:val="21"/>
        </w:rPr>
        <w:t>F</w:t>
      </w:r>
      <w:r w:rsidRPr="005F098B">
        <w:rPr>
          <w:rFonts w:ascii="Times New Roman" w:hAnsi="Times New Roman" w:cs="Times New Roman"/>
          <w:sz w:val="21"/>
          <w:szCs w:val="21"/>
        </w:rPr>
        <w:t>1. Decision curve analysis (DCA) for predicting 30-day postoperative mortality using the logistic regression model in the test set.</w:t>
      </w:r>
    </w:p>
    <w:p w14:paraId="4326A211" w14:textId="2111E8C3" w:rsidR="003F4117" w:rsidRDefault="003F4117" w:rsidP="003F4117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19C8B078" wp14:editId="267C494C">
            <wp:extent cx="4427354" cy="1668333"/>
            <wp:effectExtent l="0" t="0" r="0" b="8255"/>
            <wp:docPr id="16" name="图片 16" descr="D:\mimic\三指标联合分析心梗手术预后\机器学习\2\360dca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mimic\三指标联合分析心梗手术预后\机器学习\2\360dca曲线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656" cy="168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6F830" w14:textId="4542583B" w:rsidR="005F098B" w:rsidRPr="005F098B" w:rsidRDefault="005F098B" w:rsidP="005F098B">
      <w:pPr>
        <w:pStyle w:val="a7"/>
        <w:rPr>
          <w:rFonts w:ascii="Times New Roman" w:hAnsi="Times New Roman" w:cs="Times New Roman"/>
          <w:sz w:val="21"/>
          <w:szCs w:val="21"/>
        </w:rPr>
      </w:pPr>
      <w:r w:rsidRPr="005F098B">
        <w:rPr>
          <w:rFonts w:ascii="Times New Roman" w:hAnsi="Times New Roman" w:cs="Times New Roman"/>
          <w:sz w:val="21"/>
          <w:szCs w:val="21"/>
        </w:rPr>
        <w:t>Figure S</w:t>
      </w:r>
      <w:r w:rsidR="00A07CB0"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2</w:t>
      </w:r>
      <w:r w:rsidRPr="005F098B">
        <w:rPr>
          <w:rFonts w:ascii="Times New Roman" w:hAnsi="Times New Roman" w:cs="Times New Roman"/>
          <w:sz w:val="21"/>
          <w:szCs w:val="21"/>
        </w:rPr>
        <w:t>. Decision curve analysis (DCA) for predicting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5F098B">
        <w:rPr>
          <w:rFonts w:ascii="Times New Roman" w:hAnsi="Times New Roman" w:cs="Times New Roman"/>
          <w:sz w:val="21"/>
          <w:szCs w:val="21"/>
        </w:rPr>
        <w:t xml:space="preserve">0-day postoperative mortality using the </w:t>
      </w:r>
      <w:r>
        <w:rPr>
          <w:rFonts w:ascii="Times New Roman" w:hAnsi="Times New Roman" w:cs="Times New Roman"/>
          <w:sz w:val="21"/>
          <w:szCs w:val="21"/>
        </w:rPr>
        <w:t>Random Forest</w:t>
      </w:r>
      <w:r w:rsidRPr="005F098B">
        <w:rPr>
          <w:rFonts w:ascii="Times New Roman" w:hAnsi="Times New Roman" w:cs="Times New Roman"/>
          <w:sz w:val="21"/>
          <w:szCs w:val="21"/>
        </w:rPr>
        <w:t xml:space="preserve"> model in the test set.</w:t>
      </w:r>
    </w:p>
    <w:p w14:paraId="471B34D7" w14:textId="77777777" w:rsidR="005F098B" w:rsidRPr="005F098B" w:rsidRDefault="005F098B" w:rsidP="003F4117">
      <w:pPr>
        <w:pStyle w:val="a7"/>
        <w:rPr>
          <w:rFonts w:ascii="Times New Roman" w:hAnsi="Times New Roman" w:cs="Times New Roman"/>
        </w:rPr>
      </w:pPr>
    </w:p>
    <w:p w14:paraId="0DB6FDEE" w14:textId="7A3CB7B0" w:rsidR="00EF13AB" w:rsidRPr="00E10571" w:rsidRDefault="00EF13AB" w:rsidP="00EF13AB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0396A4" wp14:editId="76C7200D">
            <wp:extent cx="5360399" cy="1506168"/>
            <wp:effectExtent l="0" t="0" r="0" b="0"/>
            <wp:docPr id="18" name="图片 18" descr="D:\mimic\三指标联合分析心梗手术预后\机器学习\齐鲁医院验证\30齐鲁医院D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mimic\三指标联合分析心梗手术预后\机器学习\齐鲁医院验证\30齐鲁医院DC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81" cy="152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D18B" w14:textId="2FE8C19C" w:rsidR="005F098B" w:rsidRPr="005F098B" w:rsidRDefault="005F098B" w:rsidP="005F098B">
      <w:pPr>
        <w:pStyle w:val="a7"/>
        <w:rPr>
          <w:rFonts w:ascii="Times New Roman" w:hAnsi="Times New Roman" w:cs="Times New Roman"/>
          <w:sz w:val="21"/>
          <w:szCs w:val="21"/>
        </w:rPr>
      </w:pPr>
      <w:r w:rsidRPr="005F098B">
        <w:rPr>
          <w:rFonts w:ascii="Times New Roman" w:hAnsi="Times New Roman" w:cs="Times New Roman"/>
          <w:sz w:val="21"/>
          <w:szCs w:val="21"/>
        </w:rPr>
        <w:t>Figure S</w:t>
      </w:r>
      <w:r w:rsidR="00A07CB0"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5F098B">
        <w:rPr>
          <w:rFonts w:ascii="Times New Roman" w:hAnsi="Times New Roman" w:cs="Times New Roman"/>
          <w:sz w:val="21"/>
          <w:szCs w:val="21"/>
        </w:rPr>
        <w:t xml:space="preserve">. Decision curve analysis (DCA) for predicting 30-day postoperative mortality using the logistic regression model in the </w:t>
      </w:r>
      <w:r>
        <w:rPr>
          <w:rFonts w:ascii="Times New Roman" w:hAnsi="Times New Roman" w:cs="Times New Roman"/>
          <w:sz w:val="21"/>
          <w:szCs w:val="21"/>
        </w:rPr>
        <w:t>external validation</w:t>
      </w:r>
      <w:r w:rsidRPr="005F098B">
        <w:rPr>
          <w:rFonts w:ascii="Times New Roman" w:hAnsi="Times New Roman" w:cs="Times New Roman"/>
          <w:sz w:val="21"/>
          <w:szCs w:val="21"/>
        </w:rPr>
        <w:t xml:space="preserve"> set.</w:t>
      </w:r>
    </w:p>
    <w:p w14:paraId="4766C4AC" w14:textId="0D52BAF1" w:rsidR="00EF13AB" w:rsidRPr="00E10571" w:rsidRDefault="00EF13AB" w:rsidP="00EF13AB">
      <w:pPr>
        <w:pStyle w:val="a7"/>
        <w:rPr>
          <w:rFonts w:ascii="Times New Roman" w:hAnsi="Times New Roman" w:cs="Times New Roman"/>
        </w:rPr>
      </w:pPr>
      <w:r w:rsidRPr="00E10571">
        <w:rPr>
          <w:rFonts w:ascii="Times New Roman" w:hAnsi="Times New Roman" w:cs="Times New Roman"/>
          <w:noProof/>
        </w:rPr>
        <w:drawing>
          <wp:inline distT="0" distB="0" distL="0" distR="0" wp14:anchorId="3B22F6E7" wp14:editId="7CDBC8A5">
            <wp:extent cx="4927704" cy="1658557"/>
            <wp:effectExtent l="0" t="0" r="6350" b="0"/>
            <wp:docPr id="19" name="图片 19" descr="D:\mimic\三指标联合分析心梗手术预后\机器学习\齐鲁医院验证\360齐鲁医院DCA曲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mimic\三指标联合分析心梗手术预后\机器学习\齐鲁医院验证\360齐鲁医院DCA曲线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183" cy="167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B99A0" w14:textId="48FD06F6" w:rsidR="005F098B" w:rsidRPr="005F098B" w:rsidRDefault="005F098B" w:rsidP="005F098B">
      <w:pPr>
        <w:pStyle w:val="a7"/>
        <w:rPr>
          <w:rFonts w:ascii="Times New Roman" w:hAnsi="Times New Roman" w:cs="Times New Roman"/>
          <w:sz w:val="21"/>
          <w:szCs w:val="21"/>
        </w:rPr>
      </w:pPr>
      <w:r w:rsidRPr="005F098B">
        <w:rPr>
          <w:rFonts w:ascii="Times New Roman" w:hAnsi="Times New Roman" w:cs="Times New Roman"/>
          <w:sz w:val="21"/>
          <w:szCs w:val="21"/>
        </w:rPr>
        <w:t>Figure S</w:t>
      </w:r>
      <w:r w:rsidR="00A07CB0">
        <w:rPr>
          <w:rFonts w:ascii="Times New Roman" w:hAnsi="Times New Roman" w:cs="Times New Roman"/>
          <w:sz w:val="21"/>
          <w:szCs w:val="21"/>
        </w:rPr>
        <w:t>F</w:t>
      </w:r>
      <w:bookmarkStart w:id="1" w:name="_GoBack"/>
      <w:bookmarkEnd w:id="1"/>
      <w:r>
        <w:rPr>
          <w:rFonts w:ascii="Times New Roman" w:hAnsi="Times New Roman" w:cs="Times New Roman"/>
          <w:sz w:val="21"/>
          <w:szCs w:val="21"/>
        </w:rPr>
        <w:t>4</w:t>
      </w:r>
      <w:r w:rsidRPr="005F098B">
        <w:rPr>
          <w:rFonts w:ascii="Times New Roman" w:hAnsi="Times New Roman" w:cs="Times New Roman"/>
          <w:sz w:val="21"/>
          <w:szCs w:val="21"/>
        </w:rPr>
        <w:t>. Decision curve analysis (DCA) for predicting 3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5F098B">
        <w:rPr>
          <w:rFonts w:ascii="Times New Roman" w:hAnsi="Times New Roman" w:cs="Times New Roman"/>
          <w:sz w:val="21"/>
          <w:szCs w:val="21"/>
        </w:rPr>
        <w:t xml:space="preserve">0-day postoperative mortality using the </w:t>
      </w:r>
      <w:r>
        <w:rPr>
          <w:rFonts w:ascii="Times New Roman" w:hAnsi="Times New Roman" w:cs="Times New Roman"/>
          <w:sz w:val="21"/>
          <w:szCs w:val="21"/>
        </w:rPr>
        <w:t>Random Forest</w:t>
      </w:r>
      <w:r w:rsidRPr="005F098B">
        <w:rPr>
          <w:rFonts w:ascii="Times New Roman" w:hAnsi="Times New Roman" w:cs="Times New Roman"/>
          <w:sz w:val="21"/>
          <w:szCs w:val="21"/>
        </w:rPr>
        <w:t xml:space="preserve"> model in the </w:t>
      </w:r>
      <w:r>
        <w:rPr>
          <w:rFonts w:ascii="Times New Roman" w:hAnsi="Times New Roman" w:cs="Times New Roman"/>
          <w:sz w:val="21"/>
          <w:szCs w:val="21"/>
        </w:rPr>
        <w:t>external validation</w:t>
      </w:r>
      <w:r w:rsidRPr="005F098B">
        <w:rPr>
          <w:rFonts w:ascii="Times New Roman" w:hAnsi="Times New Roman" w:cs="Times New Roman"/>
          <w:sz w:val="21"/>
          <w:szCs w:val="21"/>
        </w:rPr>
        <w:t xml:space="preserve"> set.</w:t>
      </w:r>
    </w:p>
    <w:p w14:paraId="0553F7D9" w14:textId="77777777" w:rsidR="00EF13AB" w:rsidRPr="005F098B" w:rsidRDefault="00EF13AB" w:rsidP="00EF13AB">
      <w:pPr>
        <w:pStyle w:val="a7"/>
        <w:rPr>
          <w:rFonts w:ascii="Times New Roman" w:hAnsi="Times New Roman" w:cs="Times New Roman"/>
        </w:rPr>
      </w:pPr>
    </w:p>
    <w:p w14:paraId="29E5D2EC" w14:textId="77777777" w:rsidR="00EF13AB" w:rsidRPr="00E10571" w:rsidRDefault="00EF13AB" w:rsidP="00EF13AB">
      <w:pPr>
        <w:pStyle w:val="a7"/>
        <w:rPr>
          <w:rFonts w:ascii="Times New Roman" w:hAnsi="Times New Roman" w:cs="Times New Roman"/>
          <w:noProof/>
        </w:rPr>
      </w:pPr>
    </w:p>
    <w:p w14:paraId="16B1AC1F" w14:textId="77777777" w:rsidR="003F4117" w:rsidRPr="00E10571" w:rsidRDefault="003F4117" w:rsidP="00AB4274">
      <w:pPr>
        <w:pStyle w:val="a7"/>
        <w:rPr>
          <w:rFonts w:ascii="Times New Roman" w:hAnsi="Times New Roman" w:cs="Times New Roman"/>
        </w:rPr>
      </w:pPr>
    </w:p>
    <w:p w14:paraId="2F9B7704" w14:textId="77777777" w:rsidR="00AB4274" w:rsidRPr="00E10571" w:rsidRDefault="00AB4274" w:rsidP="00AB4274">
      <w:pPr>
        <w:pStyle w:val="a7"/>
        <w:rPr>
          <w:rFonts w:ascii="Times New Roman" w:hAnsi="Times New Roman" w:cs="Times New Roman"/>
        </w:rPr>
      </w:pPr>
    </w:p>
    <w:p w14:paraId="36EEC47C" w14:textId="77777777" w:rsidR="00AB4274" w:rsidRPr="00E10571" w:rsidRDefault="00AB4274">
      <w:pPr>
        <w:rPr>
          <w:rFonts w:ascii="Times New Roman" w:hAnsi="Times New Roman" w:cs="Times New Roman"/>
          <w:sz w:val="24"/>
          <w:szCs w:val="24"/>
        </w:rPr>
      </w:pPr>
    </w:p>
    <w:sectPr w:rsidR="00AB4274" w:rsidRPr="00E10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16068" w14:textId="77777777" w:rsidR="00201AFE" w:rsidRDefault="00201AFE" w:rsidP="00D74210">
      <w:r>
        <w:separator/>
      </w:r>
    </w:p>
  </w:endnote>
  <w:endnote w:type="continuationSeparator" w:id="0">
    <w:p w14:paraId="1BEF2ACD" w14:textId="77777777" w:rsidR="00201AFE" w:rsidRDefault="00201AFE" w:rsidP="00D7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BE280" w14:textId="77777777" w:rsidR="00201AFE" w:rsidRDefault="00201AFE" w:rsidP="00D74210">
      <w:r>
        <w:separator/>
      </w:r>
    </w:p>
  </w:footnote>
  <w:footnote w:type="continuationSeparator" w:id="0">
    <w:p w14:paraId="4CAF8A49" w14:textId="77777777" w:rsidR="00201AFE" w:rsidRDefault="00201AFE" w:rsidP="00D74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78"/>
    <w:rsid w:val="00112B40"/>
    <w:rsid w:val="00122934"/>
    <w:rsid w:val="00181E5E"/>
    <w:rsid w:val="00201AFE"/>
    <w:rsid w:val="002C4472"/>
    <w:rsid w:val="002C724B"/>
    <w:rsid w:val="0030702C"/>
    <w:rsid w:val="00370D50"/>
    <w:rsid w:val="00384BA9"/>
    <w:rsid w:val="00391F2D"/>
    <w:rsid w:val="003E58AD"/>
    <w:rsid w:val="003F4117"/>
    <w:rsid w:val="00551C6E"/>
    <w:rsid w:val="005F098B"/>
    <w:rsid w:val="006156F0"/>
    <w:rsid w:val="00662E86"/>
    <w:rsid w:val="007339AC"/>
    <w:rsid w:val="00A07CB0"/>
    <w:rsid w:val="00AB4274"/>
    <w:rsid w:val="00AC6639"/>
    <w:rsid w:val="00C236AE"/>
    <w:rsid w:val="00D74210"/>
    <w:rsid w:val="00DB1572"/>
    <w:rsid w:val="00DC1657"/>
    <w:rsid w:val="00E10571"/>
    <w:rsid w:val="00E20278"/>
    <w:rsid w:val="00EF13AB"/>
    <w:rsid w:val="00F13977"/>
    <w:rsid w:val="00F92268"/>
    <w:rsid w:val="00FA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6C328"/>
  <w15:chartTrackingRefBased/>
  <w15:docId w15:val="{679F2170-8C4A-45CC-934A-346E20B1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21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742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caption"/>
    <w:basedOn w:val="a"/>
    <w:next w:val="a"/>
    <w:uiPriority w:val="35"/>
    <w:unhideWhenUsed/>
    <w:qFormat/>
    <w:rsid w:val="00C236A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10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86182</dc:creator>
  <cp:keywords/>
  <dc:description/>
  <cp:lastModifiedBy>86182</cp:lastModifiedBy>
  <cp:revision>4</cp:revision>
  <dcterms:created xsi:type="dcterms:W3CDTF">2026-03-18T07:48:00Z</dcterms:created>
  <dcterms:modified xsi:type="dcterms:W3CDTF">2026-04-16T03:05:00Z</dcterms:modified>
</cp:coreProperties>
</file>