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32"/>
        </w:rPr>
        <w:t>Supplementary Material</w:t>
      </w:r>
    </w:p>
    <w:p>
      <w:r>
        <w:rPr>
          <w:i/>
        </w:rPr>
        <w:t>Phenotype-resolved cis-eQTL Mendelian Randomization and Colocalization Prioritize MAPK3 and UQCC1 in Two Selected Osteoarthritis Candidate Regions</w:t>
      </w:r>
    </w:p>
    <w:p/>
    <w:p>
      <w:r>
        <w:rPr>
          <w:i/>
        </w:rPr>
        <w:t>Phenotype order throughout: AllOA, KneeHipOA, KneeOA, HipOA. Genomic coordinates are GRCh37/hg19. All p-values are nominal; no false-discovery-rate or Bonferroni correction was applied across the 56 gene-phenotype cells. Data files for each supplementary table are provided as separate CSV/TXT files named Table_S1 to Table_S10; supplementary figures are provided as separate TIFF and PNG files named Figure_S1 to Figure_S6.</w:t>
      </w:r>
    </w:p>
    <w:p/>
    <w:p>
      <w:r>
        <w:rPr>
          <w:b/>
          <w:sz w:val="28"/>
        </w:rPr>
        <w:t>Supplementary Methods</w:t>
      </w:r>
    </w:p>
    <w:p>
      <w:r>
        <w:rPr>
          <w:b/>
        </w:rPr>
        <w:t>S.M.1 Candidate-region and gene-selection provenance</w:t>
      </w:r>
    </w:p>
    <w:p>
      <w:r>
        <w:t>Two candidate regions were nominated from an earlier exploratory genome-wide analysis and were subsequently evaluated using the corrected, focused pipeline described here. The earlier exploratory screen served only to nominate regions. Two loci were carried forward: a chromosome 16 region containing MAPK3, and a chromosome 20 region around the GDF5 lead variant rs143384. Within the chromosome 20 region, genes were enumerated by proximity to the GDF5 lead SNP; GDF5 itself was excluded because it has no cis-eQTL probe in eQTLGen whole blood. Because the two regions were selected after inspection of the earlier exploratory results, the present analysis is described as a focused follow-up rather than a prospective, prespecified test. Fourteen genes with a testable whole-blood cis-eQTL probe in these two regions constituted the fixed panel.</w:t>
      </w:r>
    </w:p>
    <w:p>
      <w:r>
        <w:rPr>
          <w:b/>
        </w:rPr>
        <w:t>S.M.2 cis-eQTL exposure data and instrument selection</w:t>
      </w:r>
    </w:p>
    <w:p>
      <w:r>
        <w:t>cis-eQTL summary statistics were taken from eQTLGen whole blood (N = 31,684 samples). eQTLGen reports Z-scores; SNP effect sizes were derived as beta = Z / sqrt(2·AF·(1−AF)) with the corresponding standard error, i.e., effects are on a standardized (per-SD) expression scale. Instruments were cis-eQTLs at p &lt; 5×10⁻⁸, LD-clumped against the 1000 Genomes Phase 3 European reference (n = 503) at r² = 0.001 within a 1000 kb window.</w:t>
      </w:r>
    </w:p>
    <w:p>
      <w:r>
        <w:rPr>
          <w:b/>
        </w:rPr>
        <w:t>S.M.3 OA GWAS outcome data</w:t>
      </w:r>
    </w:p>
    <w:p>
      <w:r>
        <w:t>Four OA phenotypes were analyzed separately: AllOA, KneeHipOA, KneeOA, and HipOA (case/control counts in Table 1). The analysis used combined-sex Genetics of Osteoarthritis consortium summary statistics; provenance is documented by filename and MD5 checksum in the reproducibility package.</w:t>
      </w:r>
    </w:p>
    <w:p>
      <w:r>
        <w:rPr>
          <w:b/>
        </w:rPr>
        <w:t>S.M.4 Harmonization and palindromic-variant handling</w:t>
      </w:r>
    </w:p>
    <w:p>
      <w:r>
        <w:t>Exposure and outcome statistics were merged by chromosome:position key and harmonized by allele identity, aligning outcome effects to the exposure effect allele and flagging strand flips. Palindromic (A/T, C/G) variants were handled during harmonization by allele-frequency-based alignment; they were not explicitly excluded.</w:t>
      </w:r>
    </w:p>
    <w:p>
      <w:r>
        <w:rPr>
          <w:b/>
        </w:rPr>
        <w:t>S.M.5 Mendelian randomization</w:t>
      </w:r>
    </w:p>
    <w:p>
      <w:r>
        <w:t>For each gene–phenotype cell with at least one instrument, MR was performed using inverse-variance-weighted (IVW), MR-Egger, and weighted-median estimators, with the MR-Egger intercept reported as a directional-pleiotropy diagnostic. Cells without a genome-wide-significant instrument (ROMO1, SPAG4; all phenotypes) have no MR result.</w:t>
      </w:r>
    </w:p>
    <w:p>
      <w:r>
        <w:rPr>
          <w:b/>
        </w:rPr>
        <w:t>S.M.6 coloc.abf</w:t>
      </w:r>
    </w:p>
    <w:p>
      <w:r>
        <w:t>Single-variant Bayesian colocalization used the full harmonized regional SNP set per cell with default priors p1 = 1×10⁻⁴, p2 = 1×10⁻⁴, p12 = 1×10⁻⁵. Posterior probabilities PP.H0–PP.H4 were computed; PP.H3 and PP.H4 are reported in the main text, and the full PP.H0–PP.H4 vector per cell is provided in Supplementary Table S5.</w:t>
      </w:r>
    </w:p>
    <w:p>
      <w:r>
        <w:rPr>
          <w:b/>
        </w:rPr>
        <w:t>S.M.7 coloc.susie convergence and LD processing</w:t>
      </w:r>
    </w:p>
    <w:p>
      <w:r>
        <w:t>coloc.susie fine-mapping was applied as an exploratory sensitivity analysis. Because a large fraction of cells did not converge on the wide default window under the out-of-sample 1000G EUR reference, a windowed analysis was performed for MAPK3 and UQCC1 at ±100, ±250, and ±500 kb around the eQTL and OA lead SNPs (seed 20250715). Fitting used a bounded single pass (runsusie with repeat_until_convergence = FALSE, maxit = 100, 180-second timeout). A staged escalation was recorded per attempt: (1) window narrowing only; (2) if non-convergent, pruning of near-duplicate SNPs at r² &gt; 0.99; (3) if still non-convergent, Matrix::nearPD repair of the LD matrix. Windows with &lt; 20 SNPs were recorded as TOO_FEW_SNPS. The single positive result (UQCC1 × AllOA, ±500 kb) was reached at stage 2 and is reported as exploratory.</w:t>
      </w:r>
    </w:p>
    <w:p>
      <w:r>
        <w:rPr>
          <w:b/>
        </w:rPr>
        <w:t>S.M.8 SMR and HEIDI</w:t>
      </w:r>
    </w:p>
    <w:p>
      <w:r>
        <w:t>Summary-data-based MR (SMR) and the HEIDI heterogeneity test were run against the eQTLGen BESD using GCTA/SMR, reporting b_SMR, SE, p_SMR, and p_HEIDI (HEIDI p &gt; 0.05 = shared variant not rejected). SMR used --peqtl-smr 5×10⁻⁸, --cis-wind 2000, --diff-freq-prop 0.3.</w:t>
      </w:r>
    </w:p>
    <w:p>
      <w:r>
        <w:rPr>
          <w:b/>
        </w:rPr>
        <w:t>S.M.9 Post hoc targeted sensitivity analyses</w:t>
      </w:r>
    </w:p>
    <w:p>
      <w:r>
        <w:t>Three targeted analyses were run after the main grid: (i) MAPK3 coloc.abf window sensitivity (full region and ±100/±250/±500 kb) and leave-one-SNP-out analysis (dropping each of the top-20 SNPs by OA |Z| and eQTL |Z|); (ii) UQCC1 windowed coloc.susie (S.M.7); (iii) a UQCC1 region-specific GCTA-COJO conditional analysis for KneeOA, conditioning on the UQCC1 eQTL lead SNP rs4911178, with a multi-SNP SMR cross-check. All three are exploratory and region-specific.</w:t>
      </w:r>
    </w:p>
    <w:p>
      <w:r>
        <w:rPr>
          <w:b/>
        </w:rPr>
        <w:t>S.M.10 Reproducibility procedures</w:t>
      </w:r>
    </w:p>
    <w:p>
      <w:r>
        <w:t>The full 56-cell grid was run under a fixed seed (20250715). An independent re-execution from a fresh working directory under a different seed (99999777) covered a representative 12-cell subset (MAPK3, CEP250, UQCC1 × four phenotypes) with no reuse of intermediates, to test determinism of coloc.abf, MR, and SMR/HEIDI and seed-stability of coloc.susie.</w:t>
      </w:r>
    </w:p>
    <w:p>
      <w:r>
        <w:rPr>
          <w:b/>
        </w:rPr>
        <w:t>S.M.11 Software</w:t>
      </w:r>
    </w:p>
    <w:p>
      <w:r>
        <w:t>Analysis was performed in R 4.4.3 with the TwoSampleMR (0.7.9), coloc (5.2.3), susieR (0.14.2), Rfast (2.1.5.2), data.table (1.18.4), and ieugwasr (1.1.0.9000) packages, and command-line tools PLINK v1.90b7.2, PLINK2 v2.0.0-a.6.9LM, SMR v1.3.1, and GCTA v1.94.1.</w:t>
      </w:r>
    </w:p>
    <w:p/>
    <w:p>
      <w:r>
        <w:rPr>
          <w:b/>
          <w:sz w:val="28"/>
        </w:rPr>
        <w:t>Supplementary Tables</w:t>
      </w:r>
    </w:p>
    <w:p>
      <w:r>
        <w:rPr>
          <w:b/>
        </w:rPr>
        <w:t xml:space="preserve">Table S1. </w:t>
      </w:r>
      <w:r>
        <w:t>Gene provenance for the two selected regions. The 14 candidate genes with a testable eQTLGen whole-blood cis-eQTL probe, their region assignment (chromosome 16 MAPK3 locus; chromosome 20 GDF5/UQCC1 locus), and the number of phenotype cells evaluated. GDF5 is listed as excluded because it has no whole-blood cis-eQTL probe in eQTLGen and could not be instrumented. (File: Table_S1_gene_provenance.csv)</w:t>
      </w:r>
    </w:p>
    <w:p>
      <w:r>
        <w:rPr>
          <w:b/>
        </w:rPr>
        <w:t xml:space="preserve">Table S2. </w:t>
      </w:r>
      <w:r>
        <w:t>Complete 56-cell result grid (14 genes × 4 phenotypes). Per-cell summary of n_snps, coloc.abf PP.H3/PP.H4, number of MR instruments, MR-IVW and weighted-median estimates, MR-Egger intercept p, SMR estimate and p, HEIDI p, and coloc.susie status. (File: Table_S2_all_56_cells.csv)</w:t>
      </w:r>
    </w:p>
    <w:p>
      <w:r>
        <w:rPr>
          <w:b/>
        </w:rPr>
        <w:t xml:space="preserve">Table S3. </w:t>
      </w:r>
      <w:r>
        <w:t>Instrument-level cis-eQTL details for all instrumented cells (per-SNP effect alleles, effect sizes, standard errors, p-values, and strand-flip flags). Compiled verbatim from the frozen per-cell instrument files. (File: Table_S3_instrument_level_cis_eQTL.csv)</w:t>
      </w:r>
    </w:p>
    <w:p>
      <w:r>
        <w:rPr>
          <w:b/>
        </w:rPr>
        <w:t xml:space="preserve">Table S4. </w:t>
      </w:r>
      <w:r>
        <w:t>Complete MR estimator results (IVW, MR-Egger, weighted median, and MR-Egger intercept) for all instrumented gene–phenotype cells. Compiled verbatim from the frozen per-cell MR files. (File: Table_S4_MR_estimators.csv)</w:t>
      </w:r>
    </w:p>
    <w:p>
      <w:r>
        <w:rPr>
          <w:b/>
        </w:rPr>
        <w:t xml:space="preserve">Table S5. </w:t>
      </w:r>
      <w:r>
        <w:t>coloc.abf full posterior probabilities PP.H0–PP.H4 for all 56 cells, including sdY-estimated variants. Compiled verbatim from the frozen per-cell coloc.abf files. (File: Table_S5_coloc_abf_posteriors.csv)</w:t>
      </w:r>
    </w:p>
    <w:p>
      <w:r>
        <w:rPr>
          <w:b/>
        </w:rPr>
        <w:t xml:space="preserve">Table S6. </w:t>
      </w:r>
      <w:r>
        <w:t>SMR and HEIDI full results for all instrumented cells (top SNP, GWAS and eQTL effect sizes, b_SMR, SE, p_SMR, p_HEIDI, HEIDI SNP count, mapped-SNP count). Compiled verbatim from the frozen per-cell SMR files. (File: Table_S6_SMR_HEIDI.csv)</w:t>
      </w:r>
    </w:p>
    <w:p>
      <w:r>
        <w:rPr>
          <w:b/>
        </w:rPr>
        <w:t xml:space="preserve">Table S7. </w:t>
      </w:r>
      <w:r>
        <w:t>coloc.susie window diagnostics for MAPK3 and UQCC1 (±100/±250/±500 kb): convergence status, credible-set counts, and windowed PP.H4. (File: Table_S7_coloc_susie_window_diagnostics.csv)</w:t>
      </w:r>
    </w:p>
    <w:p>
      <w:r>
        <w:rPr>
          <w:b/>
        </w:rPr>
        <w:t xml:space="preserve">Table S8. </w:t>
      </w:r>
      <w:r>
        <w:t>MAPK3 coloc.abf window sensitivity and leave-one-out analysis. (a) PP.H3/PP.H4 across the full region and ±100/±250/±500 kb windows; (b) leave-one-out summary (median PP.H4, min–max, worst SNP, single-SNP dependence flag); (c) full per-drop leave-one-out results. (Files: Table_S8a_MAPK3_abf_window.csv, Table_S8b_MAPK3_abf_LOO_summary.csv, Table_S8c_MAPK3_abf_LOO_full.csv)</w:t>
      </w:r>
    </w:p>
    <w:p>
      <w:r>
        <w:rPr>
          <w:b/>
        </w:rPr>
        <w:t xml:space="preserve">Table S9. </w:t>
      </w:r>
      <w:r>
        <w:t>UQCC1 KneeOA region-specific GCTA-COJO conditional analysis. (a) Independent COJO signals; (b) association conditioned on the UQCC1 eQTL lead SNP rs4911178; (c) multi-SNP SMR cross-check. (Files: Table_S9a_UQCC1_COJO_independent_signals.txt, Table_S9b_UQCC1_conditional_on_eqtllead.txt, Table_S9c_UQCC1_SMR_multi.csv)</w:t>
      </w:r>
    </w:p>
    <w:p>
      <w:r>
        <w:rPr>
          <w:b/>
        </w:rPr>
        <w:t xml:space="preserve">Table S10. </w:t>
      </w:r>
      <w:r>
        <w:t>Two-run reproducibility comparison for the representative 12-cell subset executed under an independent seed and fresh working directory. (File: Table_S10_two_run_reproducibility.txt)</w:t>
      </w:r>
    </w:p>
    <w:p/>
    <w:p>
      <w:r>
        <w:rPr>
          <w:b/>
          <w:sz w:val="28"/>
        </w:rPr>
        <w:t>Supplementary Figures</w:t>
      </w:r>
    </w:p>
    <w:p>
      <w:r>
        <w:rPr>
          <w:b/>
        </w:rPr>
        <w:t xml:space="preserve">Figure S1. </w:t>
      </w:r>
      <w:r>
        <w:t>Study workflow and analysis schematic. Full-detail schematic of the analysis. This work is a focused follow-up of two OA-associated regions nominated by an earlier exploratory genome-wide cis-eQTL Mendelian randomization screen; it is not an independent genome-wide discovery analysis and was not prospectively pre-registered. Two regions were carried forward, chromosome 16 (MAPK3) and chromosome 20 (GDF5/UQCC1), yielding 14 genes with a testable whole-blood cis-eQTL probe (eQTLGen). Each gene was evaluated against four independently analyzed OA phenotypes (AllOA, KneeHipOA, KneeOA, HipOA), giving a 14 × 4 = 56 gene-phenotype grid. For each cell, four methods were applied: cis-eQTL MR (IVW, MR-Egger, weighted median), single-variant Bayesian colocalization (coloc.abf), summary-data-based MR with the HEIDI heterogeneity test (SMR/HEIDI), and exploratory fine-mapping colocalization (coloc.susie). Post hoc targeted sensitivity analyses and a structured post-analysis evidence-grading framework were then applied. No false-discovery-rate or Bonferroni correction was applied across the 56 cells. (File: Figure_S1.tiff / Figure_S1.png)</w:t>
      </w:r>
    </w:p>
    <w:p>
      <w:r>
        <w:rPr>
          <w:b/>
        </w:rPr>
        <w:t xml:space="preserve">Figure S2. </w:t>
      </w:r>
      <w:r>
        <w:t>MAPK3 (chromosome 16) regional colocalization across all four phenotypes. Miami-style regional plots for the chromosome 16 MAPK3 locus (GRCh37), one per phenotype. Upward points: cis-eQTL -log10 P (eQTLGen whole blood); downward points: OA GWAS -log10 P. Dashed grey lines mark genome-wide significance (P = 5 × 10⁻⁸); the OA GWAS lead SNP is indicated. eQTL -log10 P values reaching the numerical floor are capped at 40 and drawn as open triangles. Full per-phenotype companion to main Figure 2B. (File: Figure_S2.tiff / Figure_S2.png)</w:t>
      </w:r>
    </w:p>
    <w:p>
      <w:r>
        <w:rPr>
          <w:b/>
        </w:rPr>
        <w:t xml:space="preserve">Figure S3. </w:t>
      </w:r>
      <w:r>
        <w:t>UQCC1/GDF5 (chromosome 20) regional colocalization across all four phenotypes. As Figure S2, for the chromosome 20 UQCC1/GDF5 locus (GRCh37), one panel per phenotype, with the OA GWAS lead SNP indicated. Full per-phenotype companion to main Figure 3B. (File: Figure_S3.tiff / Figure_S3.png)</w:t>
      </w:r>
    </w:p>
    <w:p>
      <w:r>
        <w:rPr>
          <w:b/>
        </w:rPr>
        <w:t xml:space="preserve">Figure S4. </w:t>
      </w:r>
      <w:r>
        <w:t>MAPK3 colocalization window / sensitivity analysis. coloc.abf PP.H4 for MAPK3 across the full region and the ±100, ±250, and ±500 kb windows, by phenotype. PP.H4 was stable across windows (AllOA 0.945–0.953; KneeHipOA 0.991–0.996; KneeOA approximately 0.979; HipOA 0.825–0.838). This robustness pertains to the coloc.abf posterior only. (File: Figure_S4.tiff / Figure_S4.png)</w:t>
      </w:r>
    </w:p>
    <w:p>
      <w:r>
        <w:rPr>
          <w:b/>
        </w:rPr>
        <w:t xml:space="preserve">Figure S5. </w:t>
      </w:r>
      <w:r>
        <w:t>MAPK3 leave-one-out Mendelian randomization / colocalization sensitivity. Median PP.H4 (point) with min–max whiskers across single-SNP drops, by phenotype. No single-SNP dependence was observed in any phenotype. (File: Figure_S5.tiff / Figure_S5.png)</w:t>
      </w:r>
    </w:p>
    <w:p>
      <w:r>
        <w:rPr>
          <w:b/>
        </w:rPr>
        <w:t xml:space="preserve">Figure S6. </w:t>
      </w:r>
      <w:r>
        <w:t>UQCC1 conditional (GCTA-COJO) and coloc.susie analysis. Region-specific conditional analysis on chromosome 20: association before and after conditioning on the UQCC1 eQTL lead SNP (rs4911178). Conditioning removed all genome-wide-significant association (minimum conditional P = 1.5 × 10⁻⁴), consistent with a single regional signal. The panel also summarizes the exploratory coloc.susie diagnostics for the locus, including the exploratory windowed UQCC1 × AllOA result (PP.H4 = 0.993) obtained at the ±500 kb window after r² &gt; 0.99 pruning, which is exploratory and is not independent confirmation of the coloc.abf finding. (File: Figure_S6.tiff / Figure_S6.png)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